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ajorHAnsi" w:eastAsiaTheme="majorEastAsia" w:hAnsiTheme="majorHAnsi" w:cstheme="majorBidi"/>
          <w:noProof/>
          <w:sz w:val="72"/>
          <w:szCs w:val="72"/>
          <w:highlight w:val="yellow"/>
          <w:lang w:val="sr-Cyrl-CS" w:eastAsia="en-US"/>
        </w:rPr>
        <w:id w:val="223569285"/>
        <w:docPartObj>
          <w:docPartGallery w:val="Cover Pages"/>
          <w:docPartUnique/>
        </w:docPartObj>
      </w:sdtPr>
      <w:sdtEndPr>
        <w:rPr>
          <w:rFonts w:asciiTheme="minorHAnsi" w:eastAsiaTheme="minorHAnsi" w:hAnsiTheme="minorHAnsi" w:cstheme="minorBidi"/>
          <w:sz w:val="22"/>
          <w:szCs w:val="22"/>
        </w:rPr>
      </w:sdtEndPr>
      <w:sdtContent>
        <w:p w:rsidR="00856492" w:rsidRPr="00BF3CDE" w:rsidRDefault="002C10E6">
          <w:pPr>
            <w:pStyle w:val="NoSpacing"/>
            <w:rPr>
              <w:rFonts w:asciiTheme="majorHAnsi" w:eastAsiaTheme="majorEastAsia" w:hAnsiTheme="majorHAnsi" w:cstheme="majorBidi"/>
              <w:noProof/>
              <w:sz w:val="72"/>
              <w:szCs w:val="72"/>
              <w:highlight w:val="yellow"/>
              <w:lang w:val="sr-Cyrl-CS"/>
            </w:rPr>
          </w:pPr>
          <w:r w:rsidRPr="00BF3CDE">
            <w:rPr>
              <w:noProof/>
              <w:highlight w:val="yellow"/>
              <w:lang w:val="sr-Latn-RS" w:eastAsia="sr-Latn-RS"/>
            </w:rPr>
            <mc:AlternateContent>
              <mc:Choice Requires="wps">
                <w:drawing>
                  <wp:anchor distT="0" distB="0" distL="114300" distR="114300" simplePos="0" relativeHeight="251660288" behindDoc="0" locked="0" layoutInCell="0" allowOverlap="1" wp14:anchorId="60C3A49C" wp14:editId="4C8EDACC">
                    <wp:simplePos x="0" y="0"/>
                    <wp:positionH relativeFrom="page">
                      <wp:align>center</wp:align>
                    </wp:positionH>
                    <wp:positionV relativeFrom="topMargin">
                      <wp:align>top</wp:align>
                    </wp:positionV>
                    <wp:extent cx="7917180" cy="1216025"/>
                    <wp:effectExtent l="0" t="0" r="24765" b="22225"/>
                    <wp:wrapNone/>
                    <wp:docPr id="10"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7180" cy="1216550"/>
                            </a:xfrm>
                            <a:prstGeom prst="rect">
                              <a:avLst/>
                            </a:prstGeom>
                            <a:solidFill>
                              <a:schemeClr val="accent1"/>
                            </a:solidFill>
                            <a:ln w="9525">
                              <a:solidFill>
                                <a:schemeClr val="accent1"/>
                              </a:solidFill>
                              <a:miter lim="800000"/>
                              <a:headEnd/>
                              <a:tailEnd/>
                            </a:ln>
                          </wps:spPr>
                          <wps:txb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6088"/>
                                </w:tblGrid>
                                <w:tr w:rsidR="009F57E4" w:rsidTr="00856492">
                                  <w:tc>
                                    <w:tcPr>
                                      <w:tcW w:w="2235" w:type="dxa"/>
                                    </w:tcPr>
                                    <w:p w:rsidR="009F57E4" w:rsidRPr="00856492" w:rsidRDefault="009F57E4" w:rsidP="00856492">
                                      <w:pPr>
                                        <w:pStyle w:val="NoSpacing"/>
                                        <w:ind w:firstLine="1134"/>
                                        <w:rPr>
                                          <w:noProof/>
                                          <w:color w:val="FFFFFF" w:themeColor="background1"/>
                                          <w:sz w:val="16"/>
                                        </w:rPr>
                                      </w:pPr>
                                    </w:p>
                                    <w:p w:rsidR="009F57E4" w:rsidRPr="00856492" w:rsidRDefault="009F57E4" w:rsidP="00856492">
                                      <w:pPr>
                                        <w:pStyle w:val="NoSpacing"/>
                                        <w:ind w:firstLine="993"/>
                                        <w:jc w:val="center"/>
                                        <w:rPr>
                                          <w:noProof/>
                                          <w:color w:val="FFFFFF" w:themeColor="background1"/>
                                          <w:sz w:val="18"/>
                                        </w:rPr>
                                      </w:pPr>
                                      <w:r w:rsidRPr="00856492">
                                        <w:rPr>
                                          <w:noProof/>
                                          <w:color w:val="FFFFFF" w:themeColor="background1"/>
                                          <w:sz w:val="18"/>
                                          <w:lang w:val="sr-Latn-RS" w:eastAsia="sr-Latn-RS"/>
                                        </w:rPr>
                                        <w:drawing>
                                          <wp:inline distT="0" distB="0" distL="0" distR="0" wp14:anchorId="4A48AB43" wp14:editId="60DF12EA">
                                            <wp:extent cx="409575" cy="438150"/>
                                            <wp:effectExtent l="0" t="0" r="9525"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9575" cy="438150"/>
                                                    </a:xfrm>
                                                    <a:prstGeom prst="rect">
                                                      <a:avLst/>
                                                    </a:prstGeom>
                                                    <a:noFill/>
                                                    <a:ln>
                                                      <a:noFill/>
                                                    </a:ln>
                                                  </pic:spPr>
                                                </pic:pic>
                                              </a:graphicData>
                                            </a:graphic>
                                          </wp:inline>
                                        </w:drawing>
                                      </w:r>
                                    </w:p>
                                  </w:tc>
                                  <w:tc>
                                    <w:tcPr>
                                      <w:tcW w:w="6088" w:type="dxa"/>
                                    </w:tcPr>
                                    <w:p w:rsidR="009F57E4" w:rsidRPr="00856492" w:rsidRDefault="009F57E4" w:rsidP="00856492">
                                      <w:pPr>
                                        <w:pStyle w:val="NoSpacing"/>
                                        <w:rPr>
                                          <w:noProof/>
                                          <w:color w:val="FFFFFF" w:themeColor="background1"/>
                                          <w:sz w:val="16"/>
                                        </w:rPr>
                                      </w:pPr>
                                    </w:p>
                                    <w:p w:rsidR="009F57E4" w:rsidRPr="00BE5F5C" w:rsidRDefault="009F57E4" w:rsidP="00856492">
                                      <w:pPr>
                                        <w:pStyle w:val="NoSpacing"/>
                                        <w:rPr>
                                          <w:noProof/>
                                          <w:color w:val="FFFFFF" w:themeColor="background1"/>
                                          <w:sz w:val="2"/>
                                          <w:szCs w:val="2"/>
                                        </w:rPr>
                                      </w:pPr>
                                    </w:p>
                                    <w:p w:rsidR="009F57E4" w:rsidRPr="00856492" w:rsidRDefault="009F57E4" w:rsidP="00856492">
                                      <w:pPr>
                                        <w:pStyle w:val="NoSpacing"/>
                                        <w:rPr>
                                          <w:noProof/>
                                          <w:color w:val="FFFFFF" w:themeColor="background1"/>
                                          <w:sz w:val="18"/>
                                        </w:rPr>
                                      </w:pPr>
                                      <w:r w:rsidRPr="00856492">
                                        <w:rPr>
                                          <w:noProof/>
                                          <w:color w:val="FFFFFF" w:themeColor="background1"/>
                                          <w:sz w:val="18"/>
                                        </w:rPr>
                                        <w:t>Друштво за реосигурање „Дунав Ре“</w:t>
                                      </w:r>
                                    </w:p>
                                    <w:p w:rsidR="009F57E4" w:rsidRPr="00856492" w:rsidRDefault="009F57E4" w:rsidP="00856492">
                                      <w:pPr>
                                        <w:pStyle w:val="NoSpacing"/>
                                        <w:rPr>
                                          <w:noProof/>
                                          <w:color w:val="FFFFFF" w:themeColor="background1"/>
                                          <w:sz w:val="18"/>
                                        </w:rPr>
                                      </w:pPr>
                                      <w:r w:rsidRPr="00856492">
                                        <w:rPr>
                                          <w:noProof/>
                                          <w:color w:val="FFFFFF" w:themeColor="background1"/>
                                          <w:sz w:val="18"/>
                                        </w:rPr>
                                        <w:t>Кнез Михаилова 6/II, Београд, Србија</w:t>
                                      </w:r>
                                    </w:p>
                                    <w:p w:rsidR="009F57E4" w:rsidRPr="00856492" w:rsidRDefault="009F57E4" w:rsidP="00856492">
                                      <w:pPr>
                                        <w:pStyle w:val="NoSpacing"/>
                                        <w:rPr>
                                          <w:noProof/>
                                          <w:color w:val="FFFFFF" w:themeColor="background1"/>
                                          <w:sz w:val="18"/>
                                        </w:rPr>
                                      </w:pPr>
                                      <w:r w:rsidRPr="00856492">
                                        <w:rPr>
                                          <w:noProof/>
                                          <w:color w:val="FFFFFF" w:themeColor="background1"/>
                                          <w:sz w:val="18"/>
                                        </w:rPr>
                                        <w:t>www.dunavre.rs ; office@dunavre.rs</w:t>
                                      </w:r>
                                    </w:p>
                                    <w:p w:rsidR="009F57E4" w:rsidRPr="00856492" w:rsidRDefault="009F57E4" w:rsidP="00856492">
                                      <w:pPr>
                                        <w:pStyle w:val="NoSpacing"/>
                                        <w:rPr>
                                          <w:color w:val="FFFFFF" w:themeColor="background1"/>
                                          <w:sz w:val="18"/>
                                        </w:rPr>
                                      </w:pPr>
                                    </w:p>
                                    <w:p w:rsidR="009F57E4" w:rsidRPr="00856492" w:rsidRDefault="009F57E4" w:rsidP="00856492">
                                      <w:pPr>
                                        <w:pStyle w:val="NoSpacing"/>
                                        <w:rPr>
                                          <w:noProof/>
                                          <w:color w:val="FFFFFF" w:themeColor="background1"/>
                                          <w:sz w:val="18"/>
                                        </w:rPr>
                                      </w:pPr>
                                    </w:p>
                                  </w:tc>
                                </w:tr>
                              </w:tbl>
                              <w:p w:rsidR="009F57E4" w:rsidRDefault="009F57E4" w:rsidP="00856492">
                                <w:pPr>
                                  <w:pStyle w:val="NoSpacing"/>
                                  <w:ind w:firstLine="1276"/>
                                </w:pPr>
                              </w:p>
                            </w:txbxContent>
                          </wps:txbx>
                          <wps:bodyPr rot="0" vert="horz" wrap="square" lIns="91440" tIns="45720" rIns="91440" bIns="45720" anchor="t" anchorCtr="0" upright="1">
                            <a:noAutofit/>
                          </wps:bodyPr>
                        </wps:wsp>
                      </a:graphicData>
                    </a:graphic>
                    <wp14:sizeRelH relativeFrom="page">
                      <wp14:pctWidth>105000</wp14:pctWidth>
                    </wp14:sizeRelH>
                    <wp14:sizeRelV relativeFrom="topMargin">
                      <wp14:pctHeight>0</wp14:pctHeight>
                    </wp14:sizeRelV>
                  </wp:anchor>
                </w:drawing>
              </mc:Choice>
              <mc:Fallback>
                <w:pict>
                  <v:rect id="Rectangle 3" o:spid="_x0000_s1026" style="position:absolute;margin-left:0;margin-top:0;width:623.4pt;height:95.75pt;z-index:251660288;visibility:visible;mso-wrap-style:square;mso-width-percent:1050;mso-height-percent:0;mso-wrap-distance-left:9pt;mso-wrap-distance-top:0;mso-wrap-distance-right:9pt;mso-wrap-distance-bottom:0;mso-position-horizontal:center;mso-position-horizontal-relative:page;mso-position-vertical:top;mso-position-vertical-relative:top-margin-area;mso-width-percent:105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" o:allowincell="f" fillcolor="#4f81bd [3204]" strokecolor="#4f81bd [3204]">
                    <v:textbox>
                      <w:txbxContent>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5"/>
                            <w:gridCol w:w="6088"/>
                          </w:tblGrid>
                          <w:tr w:rsidR="009F57E4" w:rsidTr="00856492">
                            <w:tc>
                              <w:tcPr>
                                <w:tcW w:w="2235" w:type="dxa"/>
                              </w:tcPr>
                              <w:p w:rsidR="009F57E4" w:rsidRPr="00856492" w:rsidRDefault="009F57E4" w:rsidP="00856492">
                                <w:pPr>
                                  <w:pStyle w:val="NoSpacing"/>
                                  <w:ind w:firstLine="1134"/>
                                  <w:rPr>
                                    <w:noProof/>
                                    <w:color w:val="FFFFFF" w:themeColor="background1"/>
                                    <w:sz w:val="16"/>
                                  </w:rPr>
                                </w:pPr>
                              </w:p>
                              <w:p w:rsidR="009F57E4" w:rsidRPr="00856492" w:rsidRDefault="009F57E4" w:rsidP="00856492">
                                <w:pPr>
                                  <w:pStyle w:val="NoSpacing"/>
                                  <w:ind w:firstLine="993"/>
                                  <w:jc w:val="center"/>
                                  <w:rPr>
                                    <w:noProof/>
                                    <w:color w:val="FFFFFF" w:themeColor="background1"/>
                                    <w:sz w:val="18"/>
                                  </w:rPr>
                                </w:pPr>
                                <w:r w:rsidRPr="00856492">
                                  <w:rPr>
                                    <w:noProof/>
                                    <w:color w:val="FFFFFF" w:themeColor="background1"/>
                                    <w:sz w:val="18"/>
                                    <w:lang w:val="sr-Latn-RS" w:eastAsia="sr-Latn-RS"/>
                                  </w:rPr>
                                  <w:drawing>
                                    <wp:inline distT="0" distB="0" distL="0" distR="0" wp14:anchorId="4A48AB43" wp14:editId="60DF12EA">
                                      <wp:extent cx="409575" cy="438150"/>
                                      <wp:effectExtent l="0" t="0" r="9525"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9575" cy="438150"/>
                                              </a:xfrm>
                                              <a:prstGeom prst="rect">
                                                <a:avLst/>
                                              </a:prstGeom>
                                              <a:noFill/>
                                              <a:ln>
                                                <a:noFill/>
                                              </a:ln>
                                            </pic:spPr>
                                          </pic:pic>
                                        </a:graphicData>
                                      </a:graphic>
                                    </wp:inline>
                                  </w:drawing>
                                </w:r>
                              </w:p>
                            </w:tc>
                            <w:tc>
                              <w:tcPr>
                                <w:tcW w:w="6088" w:type="dxa"/>
                              </w:tcPr>
                              <w:p w:rsidR="009F57E4" w:rsidRPr="00856492" w:rsidRDefault="009F57E4" w:rsidP="00856492">
                                <w:pPr>
                                  <w:pStyle w:val="NoSpacing"/>
                                  <w:rPr>
                                    <w:noProof/>
                                    <w:color w:val="FFFFFF" w:themeColor="background1"/>
                                    <w:sz w:val="16"/>
                                  </w:rPr>
                                </w:pPr>
                              </w:p>
                              <w:p w:rsidR="009F57E4" w:rsidRPr="00BE5F5C" w:rsidRDefault="009F57E4" w:rsidP="00856492">
                                <w:pPr>
                                  <w:pStyle w:val="NoSpacing"/>
                                  <w:rPr>
                                    <w:noProof/>
                                    <w:color w:val="FFFFFF" w:themeColor="background1"/>
                                    <w:sz w:val="2"/>
                                    <w:szCs w:val="2"/>
                                  </w:rPr>
                                </w:pPr>
                              </w:p>
                              <w:p w:rsidR="009F57E4" w:rsidRPr="00856492" w:rsidRDefault="009F57E4" w:rsidP="00856492">
                                <w:pPr>
                                  <w:pStyle w:val="NoSpacing"/>
                                  <w:rPr>
                                    <w:noProof/>
                                    <w:color w:val="FFFFFF" w:themeColor="background1"/>
                                    <w:sz w:val="18"/>
                                  </w:rPr>
                                </w:pPr>
                                <w:r w:rsidRPr="00856492">
                                  <w:rPr>
                                    <w:noProof/>
                                    <w:color w:val="FFFFFF" w:themeColor="background1"/>
                                    <w:sz w:val="18"/>
                                  </w:rPr>
                                  <w:t>Друштво за реосигурање „Дунав Ре“</w:t>
                                </w:r>
                              </w:p>
                              <w:p w:rsidR="009F57E4" w:rsidRPr="00856492" w:rsidRDefault="009F57E4" w:rsidP="00856492">
                                <w:pPr>
                                  <w:pStyle w:val="NoSpacing"/>
                                  <w:rPr>
                                    <w:noProof/>
                                    <w:color w:val="FFFFFF" w:themeColor="background1"/>
                                    <w:sz w:val="18"/>
                                  </w:rPr>
                                </w:pPr>
                                <w:r w:rsidRPr="00856492">
                                  <w:rPr>
                                    <w:noProof/>
                                    <w:color w:val="FFFFFF" w:themeColor="background1"/>
                                    <w:sz w:val="18"/>
                                  </w:rPr>
                                  <w:t>Кнез Михаилова 6/II, Београд, Србија</w:t>
                                </w:r>
                              </w:p>
                              <w:p w:rsidR="009F57E4" w:rsidRPr="00856492" w:rsidRDefault="009F57E4" w:rsidP="00856492">
                                <w:pPr>
                                  <w:pStyle w:val="NoSpacing"/>
                                  <w:rPr>
                                    <w:noProof/>
                                    <w:color w:val="FFFFFF" w:themeColor="background1"/>
                                    <w:sz w:val="18"/>
                                  </w:rPr>
                                </w:pPr>
                                <w:r w:rsidRPr="00856492">
                                  <w:rPr>
                                    <w:noProof/>
                                    <w:color w:val="FFFFFF" w:themeColor="background1"/>
                                    <w:sz w:val="18"/>
                                  </w:rPr>
                                  <w:t>www.dunavre.rs ; office@dunavre.rs</w:t>
                                </w:r>
                              </w:p>
                              <w:p w:rsidR="009F57E4" w:rsidRPr="00856492" w:rsidRDefault="009F57E4" w:rsidP="00856492">
                                <w:pPr>
                                  <w:pStyle w:val="NoSpacing"/>
                                  <w:rPr>
                                    <w:color w:val="FFFFFF" w:themeColor="background1"/>
                                    <w:sz w:val="18"/>
                                  </w:rPr>
                                </w:pPr>
                              </w:p>
                              <w:p w:rsidR="009F57E4" w:rsidRPr="00856492" w:rsidRDefault="009F57E4" w:rsidP="00856492">
                                <w:pPr>
                                  <w:pStyle w:val="NoSpacing"/>
                                  <w:rPr>
                                    <w:noProof/>
                                    <w:color w:val="FFFFFF" w:themeColor="background1"/>
                                    <w:sz w:val="18"/>
                                  </w:rPr>
                                </w:pPr>
                              </w:p>
                            </w:tc>
                          </w:tr>
                        </w:tbl>
                        <w:p w:rsidR="009F57E4" w:rsidRDefault="009F57E4" w:rsidP="00856492">
                          <w:pPr>
                            <w:pStyle w:val="NoSpacing"/>
                            <w:ind w:firstLine="1276"/>
                          </w:pPr>
                        </w:p>
                      </w:txbxContent>
                    </v:textbox>
                    <w10:wrap anchorx="page" anchory="margin"/>
                  </v:rect>
                </w:pict>
              </mc:Fallback>
            </mc:AlternateContent>
          </w:r>
        </w:p>
        <w:p w:rsidR="00856492" w:rsidRPr="00BF3CDE" w:rsidRDefault="00856492">
          <w:pPr>
            <w:pStyle w:val="NoSpacing"/>
            <w:rPr>
              <w:rFonts w:asciiTheme="majorHAnsi" w:eastAsiaTheme="majorEastAsia" w:hAnsiTheme="majorHAnsi" w:cstheme="majorBidi"/>
              <w:noProof/>
              <w:sz w:val="72"/>
              <w:szCs w:val="72"/>
              <w:highlight w:val="yellow"/>
              <w:lang w:val="sr-Cyrl-CS"/>
            </w:rPr>
          </w:pPr>
        </w:p>
        <w:p w:rsidR="00856492" w:rsidRPr="00BF3CDE" w:rsidRDefault="00856492">
          <w:pPr>
            <w:pStyle w:val="NoSpacing"/>
            <w:rPr>
              <w:rFonts w:asciiTheme="majorHAnsi" w:eastAsiaTheme="majorEastAsia" w:hAnsiTheme="majorHAnsi" w:cstheme="majorBidi"/>
              <w:noProof/>
              <w:sz w:val="72"/>
              <w:szCs w:val="72"/>
              <w:highlight w:val="yellow"/>
              <w:lang w:val="sr-Cyrl-CS"/>
            </w:rPr>
          </w:pPr>
        </w:p>
        <w:p w:rsidR="00856492" w:rsidRDefault="00856492">
          <w:pPr>
            <w:pStyle w:val="NoSpacing"/>
            <w:rPr>
              <w:rFonts w:asciiTheme="majorHAnsi" w:eastAsiaTheme="majorEastAsia" w:hAnsiTheme="majorHAnsi" w:cstheme="majorBidi"/>
              <w:noProof/>
              <w:sz w:val="72"/>
              <w:szCs w:val="72"/>
              <w:highlight w:val="yellow"/>
              <w:lang w:val="sr-Latn-RS"/>
            </w:rPr>
          </w:pPr>
        </w:p>
        <w:p w:rsidR="002C10E6" w:rsidRDefault="002C10E6">
          <w:pPr>
            <w:pStyle w:val="NoSpacing"/>
            <w:rPr>
              <w:rFonts w:asciiTheme="majorHAnsi" w:eastAsiaTheme="majorEastAsia" w:hAnsiTheme="majorHAnsi" w:cstheme="majorBidi"/>
              <w:noProof/>
              <w:sz w:val="72"/>
              <w:szCs w:val="72"/>
              <w:highlight w:val="yellow"/>
              <w:lang w:val="sr-Latn-RS"/>
            </w:rPr>
          </w:pPr>
        </w:p>
        <w:p w:rsidR="002C10E6" w:rsidRDefault="002C10E6">
          <w:pPr>
            <w:pStyle w:val="NoSpacing"/>
            <w:rPr>
              <w:rFonts w:asciiTheme="majorHAnsi" w:eastAsiaTheme="majorEastAsia" w:hAnsiTheme="majorHAnsi" w:cstheme="majorBidi"/>
              <w:noProof/>
              <w:sz w:val="72"/>
              <w:szCs w:val="72"/>
              <w:highlight w:val="yellow"/>
              <w:lang w:val="sr-Latn-RS"/>
            </w:rPr>
          </w:pPr>
        </w:p>
        <w:p w:rsidR="002C10E6" w:rsidRDefault="002C10E6">
          <w:pPr>
            <w:pStyle w:val="NoSpacing"/>
            <w:rPr>
              <w:rFonts w:asciiTheme="majorHAnsi" w:eastAsiaTheme="majorEastAsia" w:hAnsiTheme="majorHAnsi" w:cstheme="majorBidi"/>
              <w:noProof/>
              <w:sz w:val="72"/>
              <w:szCs w:val="72"/>
              <w:highlight w:val="yellow"/>
              <w:lang w:val="sr-Latn-RS"/>
            </w:rPr>
          </w:pPr>
        </w:p>
        <w:p w:rsidR="002C10E6" w:rsidRPr="002C10E6" w:rsidRDefault="002C10E6">
          <w:pPr>
            <w:pStyle w:val="NoSpacing"/>
            <w:rPr>
              <w:rFonts w:asciiTheme="majorHAnsi" w:eastAsiaTheme="majorEastAsia" w:hAnsiTheme="majorHAnsi" w:cstheme="majorBidi"/>
              <w:noProof/>
              <w:sz w:val="72"/>
              <w:szCs w:val="72"/>
              <w:highlight w:val="yellow"/>
              <w:lang w:val="sr-Latn-RS"/>
            </w:rPr>
          </w:pPr>
        </w:p>
        <w:p w:rsidR="00856492" w:rsidRPr="00BF3CDE" w:rsidRDefault="002A45ED">
          <w:pPr>
            <w:pStyle w:val="NoSpacing"/>
            <w:rPr>
              <w:rFonts w:asciiTheme="majorHAnsi" w:eastAsiaTheme="majorEastAsia" w:hAnsiTheme="majorHAnsi" w:cstheme="majorBidi"/>
              <w:noProof/>
              <w:sz w:val="72"/>
              <w:szCs w:val="72"/>
              <w:highlight w:val="yellow"/>
              <w:lang w:val="sr-Cyrl-CS"/>
            </w:rPr>
          </w:pPr>
          <w:r w:rsidRPr="00BF3CDE">
            <w:rPr>
              <w:noProof/>
              <w:highlight w:val="yellow"/>
              <w:lang w:val="sr-Latn-RS" w:eastAsia="sr-Latn-RS"/>
            </w:rPr>
            <mc:AlternateContent>
              <mc:Choice Requires="wps">
                <w:drawing>
                  <wp:anchor distT="0" distB="0" distL="114300" distR="114300" simplePos="0" relativeHeight="251662336" behindDoc="0" locked="0" layoutInCell="0" allowOverlap="1" wp14:anchorId="1F6CB40E" wp14:editId="28443ECD">
                    <wp:simplePos x="0" y="0"/>
                    <wp:positionH relativeFrom="leftMargin">
                      <wp:align>center</wp:align>
                    </wp:positionH>
                    <wp:positionV relativeFrom="page">
                      <wp:align>center</wp:align>
                    </wp:positionV>
                    <wp:extent cx="90805" cy="11210290"/>
                    <wp:effectExtent l="0" t="0" r="23495" b="12700"/>
                    <wp:wrapNone/>
                    <wp:docPr id="8"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1029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5" o:spid="_x0000_s1026" style="position:absolute;margin-left:0;margin-top:0;width:7.15pt;height:882.7pt;z-index:251662336;visibility:visible;mso-wrap-style:square;mso-width-percent:0;mso-height-percent:1050;mso-wrap-distance-left:9pt;mso-wrap-distance-top:0;mso-wrap-distance-right:9pt;mso-wrap-distance-bottom:0;mso-position-horizontal:center;mso-position-horizontal-relative:lef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" o:allowincell="f" strokecolor="#4f81bd [3204]">
                    <w10:wrap anchorx="margin" anchory="page"/>
                  </v:rect>
                </w:pict>
              </mc:Fallback>
            </mc:AlternateContent>
          </w:r>
          <w:r w:rsidRPr="00BF3CDE">
            <w:rPr>
              <w:noProof/>
              <w:highlight w:val="yellow"/>
              <w:lang w:val="sr-Latn-RS" w:eastAsia="sr-Latn-RS"/>
            </w:rPr>
            <mc:AlternateContent>
              <mc:Choice Requires="wps">
                <w:drawing>
                  <wp:anchor distT="0" distB="0" distL="114300" distR="114300" simplePos="0" relativeHeight="251661312" behindDoc="0" locked="0" layoutInCell="0" allowOverlap="1" wp14:anchorId="5D29FD69" wp14:editId="2EEB952A">
                    <wp:simplePos x="0" y="0"/>
                    <wp:positionH relativeFrom="rightMargin">
                      <wp:align>center</wp:align>
                    </wp:positionH>
                    <wp:positionV relativeFrom="page">
                      <wp:align>center</wp:align>
                    </wp:positionV>
                    <wp:extent cx="90805" cy="11210290"/>
                    <wp:effectExtent l="0" t="0" r="23495" b="12700"/>
                    <wp:wrapNone/>
                    <wp:docPr id="9"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1210290"/>
                            </a:xfrm>
                            <a:prstGeom prst="rect">
                              <a:avLst/>
                            </a:prstGeom>
                            <a:solidFill>
                              <a:srgbClr val="FFFFFF"/>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105000</wp14:pctHeight>
                    </wp14:sizeRelV>
                  </wp:anchor>
                </w:drawing>
              </mc:Choice>
              <mc:Fallback>
                <w:pict>
                  <v:rect id="Rectangle 4" o:spid="_x0000_s1026" style="position:absolute;margin-left:0;margin-top:0;width:7.15pt;height:882.7pt;z-index:251661312;visibility:visible;mso-wrap-style:square;mso-width-percent:0;mso-height-percent:1050;mso-wrap-distance-left:9pt;mso-wrap-distance-top:0;mso-wrap-distance-right:9pt;mso-wrap-distance-bottom:0;mso-position-horizontal:center;mso-position-horizontal-relative:right-margin-area;mso-position-vertical:center;mso-position-vertical-relative:page;mso-width-percent:0;mso-height-percent:10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" o:allowincell="f" strokecolor="#4f81bd [3204]">
                    <w10:wrap anchorx="margin" anchory="page"/>
                  </v:rect>
                </w:pict>
              </mc:Fallback>
            </mc:AlternateContent>
          </w:r>
        </w:p>
        <w:sdt>
          <w:sdtPr>
            <w:rPr>
              <w:rFonts w:asciiTheme="majorHAnsi" w:eastAsiaTheme="majorEastAsia" w:hAnsiTheme="majorHAnsi" w:cstheme="majorBidi"/>
              <w:b/>
              <w:noProof/>
              <w:sz w:val="44"/>
              <w:szCs w:val="72"/>
              <w:lang w:val="sr-Cyrl-CS"/>
            </w:rPr>
            <w:alias w:val="Title"/>
            <w:id w:val="14700071"/>
            <w:dataBinding w:prefixMappings="xmlns:ns0='http://schemas.openxmlformats.org/package/2006/metadata/core-properties' xmlns:ns1='http://purl.org/dc/elements/1.1/'" w:xpath="/ns0:coreProperties[1]/ns1:title[1]" w:storeItemID="{6C3C8BC8-F283-45AE-878A-BAB7291924A1}"/>
            <w:text/>
          </w:sdtPr>
          <w:sdtEndPr/>
          <w:sdtContent>
            <w:p w:rsidR="00856492" w:rsidRPr="00BF3CDE" w:rsidRDefault="00D672C5" w:rsidP="00856492">
              <w:pPr>
                <w:pStyle w:val="NoSpacing"/>
                <w:jc w:val="center"/>
                <w:rPr>
                  <w:rFonts w:asciiTheme="majorHAnsi" w:eastAsiaTheme="majorEastAsia" w:hAnsiTheme="majorHAnsi" w:cstheme="majorBidi"/>
                  <w:noProof/>
                  <w:sz w:val="44"/>
                  <w:szCs w:val="72"/>
                  <w:lang w:val="sr-Cyrl-CS"/>
                </w:rPr>
              </w:pPr>
              <w:r w:rsidRPr="003A1E79">
                <w:rPr>
                  <w:rFonts w:asciiTheme="majorHAnsi" w:eastAsiaTheme="majorEastAsia" w:hAnsiTheme="majorHAnsi" w:cstheme="majorBidi"/>
                  <w:b/>
                  <w:noProof/>
                  <w:sz w:val="44"/>
                  <w:szCs w:val="72"/>
                  <w:lang w:val="sr-Cyrl-CS"/>
                </w:rPr>
                <w:t>ГОДИШЊИ ИЗВЕШТАЈ О ПОСЛОВАЊУ ЗА 201</w:t>
              </w:r>
              <w:r w:rsidR="00613313" w:rsidRPr="003A1E79">
                <w:rPr>
                  <w:rFonts w:asciiTheme="majorHAnsi" w:eastAsiaTheme="majorEastAsia" w:hAnsiTheme="majorHAnsi" w:cstheme="majorBidi"/>
                  <w:b/>
                  <w:noProof/>
                  <w:sz w:val="44"/>
                  <w:szCs w:val="72"/>
                  <w:lang w:val="sr-Latn-RS"/>
                </w:rPr>
                <w:t>5</w:t>
              </w:r>
              <w:r w:rsidRPr="003A1E79">
                <w:rPr>
                  <w:rFonts w:asciiTheme="majorHAnsi" w:eastAsiaTheme="majorEastAsia" w:hAnsiTheme="majorHAnsi" w:cstheme="majorBidi"/>
                  <w:b/>
                  <w:noProof/>
                  <w:sz w:val="44"/>
                  <w:szCs w:val="72"/>
                  <w:lang w:val="sr-Cyrl-CS"/>
                </w:rPr>
                <w:t>. ГОДИНУ</w:t>
              </w:r>
            </w:p>
          </w:sdtContent>
        </w:sdt>
        <w:p w:rsidR="00856492" w:rsidRPr="00BF3CDE" w:rsidRDefault="00856492">
          <w:pPr>
            <w:pStyle w:val="NoSpacing"/>
            <w:rPr>
              <w:rFonts w:asciiTheme="majorHAnsi" w:eastAsiaTheme="majorEastAsia" w:hAnsiTheme="majorHAnsi" w:cstheme="majorBidi"/>
              <w:noProof/>
              <w:sz w:val="36"/>
              <w:szCs w:val="36"/>
              <w:highlight w:val="yellow"/>
              <w:lang w:val="sr-Cyrl-CS"/>
            </w:rPr>
          </w:pPr>
        </w:p>
        <w:p w:rsidR="00856492" w:rsidRPr="00BF3CDE" w:rsidRDefault="00856492">
          <w:pPr>
            <w:pStyle w:val="NoSpacing"/>
            <w:rPr>
              <w:rFonts w:asciiTheme="majorHAnsi" w:eastAsiaTheme="majorEastAsia" w:hAnsiTheme="majorHAnsi" w:cstheme="majorBidi"/>
              <w:noProof/>
              <w:sz w:val="36"/>
              <w:szCs w:val="36"/>
              <w:highlight w:val="yellow"/>
              <w:lang w:val="sr-Cyrl-CS"/>
            </w:rPr>
          </w:pPr>
        </w:p>
        <w:p w:rsidR="00856492" w:rsidRPr="00BF3CDE" w:rsidRDefault="00856492">
          <w:pPr>
            <w:pStyle w:val="NoSpacing"/>
            <w:rPr>
              <w:rFonts w:asciiTheme="majorHAnsi" w:eastAsiaTheme="majorEastAsia" w:hAnsiTheme="majorHAnsi" w:cstheme="majorBidi"/>
              <w:noProof/>
              <w:sz w:val="36"/>
              <w:szCs w:val="36"/>
              <w:highlight w:val="yellow"/>
              <w:lang w:val="sr-Cyrl-CS"/>
            </w:rPr>
          </w:pPr>
        </w:p>
        <w:p w:rsidR="00856492" w:rsidRPr="00BF3CDE" w:rsidRDefault="00856492">
          <w:pPr>
            <w:pStyle w:val="NoSpacing"/>
            <w:rPr>
              <w:noProof/>
              <w:highlight w:val="yellow"/>
              <w:lang w:val="sr-Cyrl-CS"/>
            </w:rPr>
          </w:pPr>
        </w:p>
        <w:p w:rsidR="00856492" w:rsidRPr="00BF3CDE" w:rsidRDefault="00856492">
          <w:pPr>
            <w:pStyle w:val="NoSpacing"/>
            <w:rPr>
              <w:noProof/>
              <w:highlight w:val="yellow"/>
              <w:lang w:val="sr-Cyrl-CS"/>
            </w:rPr>
          </w:pPr>
        </w:p>
        <w:p w:rsidR="00856492" w:rsidRPr="00BF3CDE" w:rsidRDefault="00856492">
          <w:pPr>
            <w:rPr>
              <w:noProof/>
              <w:highlight w:val="yellow"/>
              <w:lang w:val="sr-Cyrl-CS"/>
            </w:rPr>
          </w:pPr>
        </w:p>
        <w:p w:rsidR="00856492" w:rsidRPr="00BF3CDE" w:rsidRDefault="002C10E6">
          <w:pPr>
            <w:rPr>
              <w:noProof/>
              <w:highlight w:val="yellow"/>
              <w:lang w:val="sr-Cyrl-CS"/>
            </w:rPr>
          </w:pPr>
          <w:r w:rsidRPr="00BF3CDE">
            <w:rPr>
              <w:noProof/>
              <w:highlight w:val="yellow"/>
              <w:lang w:val="sr-Latn-RS" w:eastAsia="sr-Latn-RS"/>
            </w:rPr>
            <mc:AlternateContent>
              <mc:Choice Requires="wps">
                <w:drawing>
                  <wp:anchor distT="0" distB="0" distL="114300" distR="114300" simplePos="0" relativeHeight="251659264" behindDoc="0" locked="0" layoutInCell="0" allowOverlap="1" wp14:anchorId="1EC634F1" wp14:editId="34E9BC5F">
                    <wp:simplePos x="0" y="0"/>
                    <wp:positionH relativeFrom="page">
                      <wp:align>center</wp:align>
                    </wp:positionH>
                    <wp:positionV relativeFrom="page">
                      <wp:align>bottom</wp:align>
                    </wp:positionV>
                    <wp:extent cx="7917180" cy="797560"/>
                    <wp:effectExtent l="0" t="0" r="24765" b="21590"/>
                    <wp:wrapNone/>
                    <wp:docPr id="7"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7180" cy="797974"/>
                            </a:xfrm>
                            <a:prstGeom prst="rect">
                              <a:avLst/>
                            </a:prstGeom>
                            <a:solidFill>
                              <a:schemeClr val="accent1"/>
                            </a:solidFill>
                            <a:ln w="9525">
                              <a:solidFill>
                                <a:schemeClr val="accent1"/>
                              </a:solidFill>
                              <a:miter lim="800000"/>
                              <a:headEnd/>
                              <a:tailEnd/>
                            </a:ln>
                          </wps:spPr>
                          <wps:txbx>
                            <w:txbxContent>
                              <w:p w:rsidR="009F57E4" w:rsidRPr="00856492" w:rsidRDefault="009F57E4" w:rsidP="00856492">
                                <w:pPr>
                                  <w:jc w:val="center"/>
                                  <w:rPr>
                                    <w:b/>
                                    <w:color w:val="FFFFFF" w:themeColor="background1"/>
                                    <w:sz w:val="10"/>
                                    <w:szCs w:val="10"/>
                                  </w:rPr>
                                </w:pPr>
                              </w:p>
                              <w:p w:rsidR="009F57E4" w:rsidRPr="008C2B46" w:rsidRDefault="009F57E4" w:rsidP="00856492">
                                <w:pPr>
                                  <w:jc w:val="center"/>
                                  <w:rPr>
                                    <w:b/>
                                    <w:noProof/>
                                    <w:color w:val="FFFFFF" w:themeColor="background1"/>
                                    <w:lang w:val="sr-Cyrl-RS"/>
                                  </w:rPr>
                                </w:pPr>
                                <w:r w:rsidRPr="008C2B46">
                                  <w:rPr>
                                    <w:b/>
                                    <w:noProof/>
                                    <w:color w:val="FFFFFF" w:themeColor="background1"/>
                                    <w:lang w:val="sr-Cyrl-RS"/>
                                  </w:rPr>
                                  <w:t>Београд, март 201</w:t>
                                </w:r>
                                <w:r>
                                  <w:rPr>
                                    <w:b/>
                                    <w:noProof/>
                                    <w:color w:val="FFFFFF" w:themeColor="background1"/>
                                    <w:lang w:val="sr-Cyrl-RS"/>
                                  </w:rPr>
                                  <w:t>5</w:t>
                                </w:r>
                                <w:r w:rsidRPr="008C2B46">
                                  <w:rPr>
                                    <w:b/>
                                    <w:noProof/>
                                    <w:color w:val="FFFFFF" w:themeColor="background1"/>
                                    <w:lang w:val="sr-Cyrl-RS"/>
                                  </w:rPr>
                                  <w:t>. године</w:t>
                                </w:r>
                              </w:p>
                            </w:txbxContent>
                          </wps:txbx>
                          <wps:bodyPr rot="0" vert="horz" wrap="square" lIns="91440" tIns="45720" rIns="91440" bIns="45720" anchor="t" anchorCtr="0" upright="1">
                            <a:noAutofit/>
                          </wps:bodyPr>
                        </wps:wsp>
                      </a:graphicData>
                    </a:graphic>
                    <wp14:sizeRelH relativeFrom="page">
                      <wp14:pctWidth>105000</wp14:pctWidth>
                    </wp14:sizeRelH>
                    <wp14:sizeRelV relativeFrom="topMargin">
                      <wp14:pctHeight>0</wp14:pctHeight>
                    </wp14:sizeRelV>
                  </wp:anchor>
                </w:drawing>
              </mc:Choice>
              <mc:Fallback>
                <w:pict>
                  <v:rect id="Rectangle 2" o:spid="_x0000_s1027" style="position:absolute;margin-left:0;margin-top:0;width:623.4pt;height:62.8pt;z-index:251659264;visibility:visible;mso-wrap-style:square;mso-width-percent:1050;mso-height-percent:0;mso-wrap-distance-left:9pt;mso-wrap-distance-top:0;mso-wrap-distance-right:9pt;mso-wrap-distance-bottom:0;mso-position-horizontal:center;mso-position-horizontal-relative:page;mso-position-vertical:bottom;mso-position-vertical-relative:page;mso-width-percent:105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" o:allowincell="f" fillcolor="#4f81bd [3204]" strokecolor="#4f81bd [3204]">
                    <v:textbox>
                      <w:txbxContent>
                        <w:p w:rsidR="009F57E4" w:rsidRPr="00856492" w:rsidRDefault="009F57E4" w:rsidP="00856492">
                          <w:pPr>
                            <w:jc w:val="center"/>
                            <w:rPr>
                              <w:b/>
                              <w:color w:val="FFFFFF" w:themeColor="background1"/>
                              <w:sz w:val="10"/>
                              <w:szCs w:val="10"/>
                            </w:rPr>
                          </w:pPr>
                        </w:p>
                        <w:p w:rsidR="009F57E4" w:rsidRPr="008C2B46" w:rsidRDefault="009F57E4" w:rsidP="00856492">
                          <w:pPr>
                            <w:jc w:val="center"/>
                            <w:rPr>
                              <w:b/>
                              <w:noProof/>
                              <w:color w:val="FFFFFF" w:themeColor="background1"/>
                              <w:lang w:val="sr-Cyrl-RS"/>
                            </w:rPr>
                          </w:pPr>
                          <w:r w:rsidRPr="008C2B46">
                            <w:rPr>
                              <w:b/>
                              <w:noProof/>
                              <w:color w:val="FFFFFF" w:themeColor="background1"/>
                              <w:lang w:val="sr-Cyrl-RS"/>
                            </w:rPr>
                            <w:t>Београд, март 201</w:t>
                          </w:r>
                          <w:r>
                            <w:rPr>
                              <w:b/>
                              <w:noProof/>
                              <w:color w:val="FFFFFF" w:themeColor="background1"/>
                              <w:lang w:val="sr-Cyrl-RS"/>
                            </w:rPr>
                            <w:t>5</w:t>
                          </w:r>
                          <w:r w:rsidRPr="008C2B46">
                            <w:rPr>
                              <w:b/>
                              <w:noProof/>
                              <w:color w:val="FFFFFF" w:themeColor="background1"/>
                              <w:lang w:val="sr-Cyrl-RS"/>
                            </w:rPr>
                            <w:t>. године</w:t>
                          </w:r>
                        </w:p>
                      </w:txbxContent>
                    </v:textbox>
                    <w10:wrap anchorx="page" anchory="page"/>
                  </v:rect>
                </w:pict>
              </mc:Fallback>
            </mc:AlternateContent>
          </w:r>
          <w:r w:rsidR="00856492" w:rsidRPr="00BF3CDE">
            <w:rPr>
              <w:noProof/>
              <w:highlight w:val="yellow"/>
              <w:lang w:val="sr-Cyrl-CS"/>
            </w:rPr>
            <w:br w:type="page"/>
          </w:r>
        </w:p>
      </w:sdtContent>
    </w:sdt>
    <w:bookmarkStart w:id="0" w:name="_Toc308782741" w:displacedByCustomXml="next"/>
    <w:bookmarkStart w:id="1" w:name="_Toc309377884" w:displacedByCustomXml="next"/>
    <w:sdt>
      <w:sdtPr>
        <w:rPr>
          <w:rFonts w:eastAsiaTheme="minorHAnsi" w:cs="Tahoma"/>
          <w:bCs w:val="0"/>
          <w:sz w:val="20"/>
          <w:szCs w:val="22"/>
          <w:highlight w:val="yellow"/>
          <w:lang w:val="en-US" w:eastAsia="en-US"/>
        </w:rPr>
        <w:id w:val="285246010"/>
        <w:docPartObj>
          <w:docPartGallery w:val="Table of Contents"/>
          <w:docPartUnique/>
        </w:docPartObj>
      </w:sdtPr>
      <w:sdtEndPr/>
      <w:sdtContent>
        <w:p w:rsidR="007438DB" w:rsidRPr="00BF3CDE" w:rsidRDefault="007438DB" w:rsidP="00860C32">
          <w:pPr>
            <w:pStyle w:val="TOCHeading"/>
            <w:numPr>
              <w:ilvl w:val="0"/>
              <w:numId w:val="0"/>
            </w:numPr>
            <w:rPr>
              <w:rFonts w:eastAsiaTheme="minorHAnsi"/>
              <w:highlight w:val="yellow"/>
            </w:rPr>
          </w:pPr>
        </w:p>
        <w:p w:rsidR="00801C6B" w:rsidRPr="00BF3CDE" w:rsidRDefault="00801C6B" w:rsidP="00860C32">
          <w:pPr>
            <w:pStyle w:val="TOCHeading"/>
            <w:numPr>
              <w:ilvl w:val="0"/>
              <w:numId w:val="0"/>
            </w:numPr>
          </w:pPr>
          <w:r w:rsidRPr="00BF3CDE">
            <w:t>С А Д Р Ж А Ј</w:t>
          </w:r>
        </w:p>
        <w:p w:rsidR="00402D73" w:rsidRDefault="00292256">
          <w:pPr>
            <w:pStyle w:val="TOC1"/>
            <w:rPr>
              <w:rFonts w:asciiTheme="minorHAnsi" w:eastAsiaTheme="minorEastAsia" w:hAnsiTheme="minorHAnsi" w:cstheme="minorBidi"/>
              <w:b w:val="0"/>
              <w:i w:val="0"/>
              <w:color w:val="auto"/>
              <w:sz w:val="22"/>
              <w:lang w:val="sr-Latn-RS" w:eastAsia="sr-Latn-RS"/>
            </w:rPr>
          </w:pPr>
          <w:r w:rsidRPr="00BF3CDE">
            <w:rPr>
              <w:color w:val="C0504D" w:themeColor="accent2"/>
              <w:highlight w:val="yellow"/>
              <w:lang w:val="sr-Cyrl-CS"/>
            </w:rPr>
            <w:fldChar w:fldCharType="begin"/>
          </w:r>
          <w:r w:rsidR="00801C6B" w:rsidRPr="00BF3CDE">
            <w:rPr>
              <w:color w:val="C0504D" w:themeColor="accent2"/>
              <w:highlight w:val="yellow"/>
              <w:lang w:val="sr-Cyrl-CS"/>
            </w:rPr>
            <w:instrText xml:space="preserve"> TOC \o "1-3" \h \z \u </w:instrText>
          </w:r>
          <w:r w:rsidRPr="00BF3CDE">
            <w:rPr>
              <w:color w:val="C0504D" w:themeColor="accent2"/>
              <w:highlight w:val="yellow"/>
              <w:lang w:val="sr-Cyrl-CS"/>
            </w:rPr>
            <w:fldChar w:fldCharType="separate"/>
          </w:r>
          <w:hyperlink w:anchor="_Toc445975010" w:history="1">
            <w:r w:rsidR="00402D73" w:rsidRPr="007204DF">
              <w:rPr>
                <w:rStyle w:val="Hyperlink"/>
              </w:rPr>
              <w:t>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ОПШТЕ ИНФОРМАЦИЈЕ О ДРУШТВУ</w:t>
            </w:r>
            <w:r w:rsidR="00402D73">
              <w:rPr>
                <w:webHidden/>
              </w:rPr>
              <w:tab/>
            </w:r>
            <w:r w:rsidR="00402D73">
              <w:rPr>
                <w:webHidden/>
              </w:rPr>
              <w:fldChar w:fldCharType="begin"/>
            </w:r>
            <w:r w:rsidR="00402D73">
              <w:rPr>
                <w:webHidden/>
              </w:rPr>
              <w:instrText xml:space="preserve"> PAGEREF _Toc445975010 \h </w:instrText>
            </w:r>
            <w:r w:rsidR="00402D73">
              <w:rPr>
                <w:webHidden/>
              </w:rPr>
            </w:r>
            <w:r w:rsidR="00402D73">
              <w:rPr>
                <w:webHidden/>
              </w:rPr>
              <w:fldChar w:fldCharType="separate"/>
            </w:r>
            <w:r w:rsidR="00A36C55">
              <w:rPr>
                <w:webHidden/>
              </w:rPr>
              <w:t>4</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11" w:history="1">
            <w:r w:rsidR="00402D73" w:rsidRPr="007204DF">
              <w:rPr>
                <w:rStyle w:val="Hyperlink"/>
              </w:rPr>
              <w:t>2.</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АКТИВНОСТИ НА УСКЛАЂИВАЊУ СА ЗАКОНОМ О ОСИГУРАЊУ</w:t>
            </w:r>
            <w:r w:rsidR="00402D73">
              <w:rPr>
                <w:webHidden/>
              </w:rPr>
              <w:tab/>
            </w:r>
            <w:r w:rsidR="00402D73">
              <w:rPr>
                <w:webHidden/>
              </w:rPr>
              <w:fldChar w:fldCharType="begin"/>
            </w:r>
            <w:r w:rsidR="00402D73">
              <w:rPr>
                <w:webHidden/>
              </w:rPr>
              <w:instrText xml:space="preserve"> PAGEREF _Toc445975011 \h </w:instrText>
            </w:r>
            <w:r w:rsidR="00402D73">
              <w:rPr>
                <w:webHidden/>
              </w:rPr>
            </w:r>
            <w:r w:rsidR="00402D73">
              <w:rPr>
                <w:webHidden/>
              </w:rPr>
              <w:fldChar w:fldCharType="separate"/>
            </w:r>
            <w:r w:rsidR="00A36C55">
              <w:rPr>
                <w:webHidden/>
              </w:rPr>
              <w:t>6</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12" w:history="1">
            <w:r w:rsidR="00402D73" w:rsidRPr="007204DF">
              <w:rPr>
                <w:rStyle w:val="Hyperlink"/>
              </w:rPr>
              <w:t>3.</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ТРЖИШНА ПОЗИЦИЈА ДРУШТВА И АКТИВНОСТИ НА ПОЉУ ИСТРАЖИВАЊА И РАЗВОЈА У 201</w:t>
            </w:r>
            <w:r w:rsidR="00402D73" w:rsidRPr="007204DF">
              <w:rPr>
                <w:rStyle w:val="Hyperlink"/>
                <w:lang w:val="sr-Latn-RS"/>
              </w:rPr>
              <w:t>5</w:t>
            </w:r>
            <w:r w:rsidR="00402D73" w:rsidRPr="007204DF">
              <w:rPr>
                <w:rStyle w:val="Hyperlink"/>
              </w:rPr>
              <w:t>. ГОДИНИ</w:t>
            </w:r>
            <w:r w:rsidR="00402D73">
              <w:rPr>
                <w:webHidden/>
              </w:rPr>
              <w:tab/>
            </w:r>
            <w:r w:rsidR="00402D73">
              <w:rPr>
                <w:webHidden/>
              </w:rPr>
              <w:fldChar w:fldCharType="begin"/>
            </w:r>
            <w:r w:rsidR="00402D73">
              <w:rPr>
                <w:webHidden/>
              </w:rPr>
              <w:instrText xml:space="preserve"> PAGEREF _Toc445975012 \h </w:instrText>
            </w:r>
            <w:r w:rsidR="00402D73">
              <w:rPr>
                <w:webHidden/>
              </w:rPr>
            </w:r>
            <w:r w:rsidR="00402D73">
              <w:rPr>
                <w:webHidden/>
              </w:rPr>
              <w:fldChar w:fldCharType="separate"/>
            </w:r>
            <w:r w:rsidR="00A36C55">
              <w:rPr>
                <w:webHidden/>
              </w:rPr>
              <w:t>9</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13" w:history="1">
            <w:r w:rsidR="00402D73" w:rsidRPr="007204DF">
              <w:rPr>
                <w:rStyle w:val="Hyperlink"/>
              </w:rPr>
              <w:t>4.</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РЕЗИМЕ ОСТВАРЕНИХ РЕЗУЛТАТА</w:t>
            </w:r>
            <w:r w:rsidR="00402D73">
              <w:rPr>
                <w:webHidden/>
              </w:rPr>
              <w:tab/>
            </w:r>
            <w:r w:rsidR="00402D73">
              <w:rPr>
                <w:webHidden/>
              </w:rPr>
              <w:fldChar w:fldCharType="begin"/>
            </w:r>
            <w:r w:rsidR="00402D73">
              <w:rPr>
                <w:webHidden/>
              </w:rPr>
              <w:instrText xml:space="preserve"> PAGEREF _Toc445975013 \h </w:instrText>
            </w:r>
            <w:r w:rsidR="00402D73">
              <w:rPr>
                <w:webHidden/>
              </w:rPr>
            </w:r>
            <w:r w:rsidR="00402D73">
              <w:rPr>
                <w:webHidden/>
              </w:rPr>
              <w:fldChar w:fldCharType="separate"/>
            </w:r>
            <w:r w:rsidR="00A36C55">
              <w:rPr>
                <w:webHidden/>
              </w:rPr>
              <w:t>10</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14" w:history="1">
            <w:r w:rsidR="00402D73" w:rsidRPr="007204DF">
              <w:rPr>
                <w:rStyle w:val="Hyperlink"/>
              </w:rPr>
              <w:t>5.</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ИЗВЕШТАЈ О ПОЛИТИЦИ СПРОВОЂЕЊА САОСИГУРАЊА И РЕОСИГУРАЊА ЗА ПЕРИОД ОД 01.01 2015. -31.12.2015. ГОДИНЕ</w:t>
            </w:r>
            <w:r w:rsidR="00402D73">
              <w:rPr>
                <w:webHidden/>
              </w:rPr>
              <w:tab/>
            </w:r>
            <w:r w:rsidR="00402D73">
              <w:rPr>
                <w:webHidden/>
              </w:rPr>
              <w:fldChar w:fldCharType="begin"/>
            </w:r>
            <w:r w:rsidR="00402D73">
              <w:rPr>
                <w:webHidden/>
              </w:rPr>
              <w:instrText xml:space="preserve"> PAGEREF _Toc445975014 \h </w:instrText>
            </w:r>
            <w:r w:rsidR="00402D73">
              <w:rPr>
                <w:webHidden/>
              </w:rPr>
            </w:r>
            <w:r w:rsidR="00402D73">
              <w:rPr>
                <w:webHidden/>
              </w:rPr>
              <w:fldChar w:fldCharType="separate"/>
            </w:r>
            <w:r w:rsidR="00A36C55">
              <w:rPr>
                <w:webHidden/>
              </w:rPr>
              <w:t>12</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15" w:history="1">
            <w:r w:rsidR="00402D73" w:rsidRPr="007204DF">
              <w:rPr>
                <w:rStyle w:val="Hyperlink"/>
                <w:rFonts w:ascii="Verdana" w:eastAsia="Times New Roman" w:hAnsi="Verdana"/>
                <w:bCs/>
                <w:lang w:eastAsia="ar-SA"/>
              </w:rPr>
              <w:t>5.1.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Fonts w:ascii="Verdana" w:eastAsia="Times New Roman" w:hAnsi="Verdana"/>
                <w:bCs/>
                <w:lang w:eastAsia="ar-SA"/>
              </w:rPr>
              <w:t>Премија реосигурања у периоду 01.01.2015. – 31.12.2015. године</w:t>
            </w:r>
            <w:r w:rsidR="00402D73">
              <w:rPr>
                <w:webHidden/>
              </w:rPr>
              <w:tab/>
            </w:r>
            <w:r w:rsidR="00402D73">
              <w:rPr>
                <w:webHidden/>
              </w:rPr>
              <w:fldChar w:fldCharType="begin"/>
            </w:r>
            <w:r w:rsidR="00402D73">
              <w:rPr>
                <w:webHidden/>
              </w:rPr>
              <w:instrText xml:space="preserve"> PAGEREF _Toc445975015 \h </w:instrText>
            </w:r>
            <w:r w:rsidR="00402D73">
              <w:rPr>
                <w:webHidden/>
              </w:rPr>
            </w:r>
            <w:r w:rsidR="00402D73">
              <w:rPr>
                <w:webHidden/>
              </w:rPr>
              <w:fldChar w:fldCharType="separate"/>
            </w:r>
            <w:r w:rsidR="00A36C55">
              <w:rPr>
                <w:webHidden/>
              </w:rPr>
              <w:t>12</w:t>
            </w:r>
            <w:r w:rsidR="00402D73">
              <w:rPr>
                <w:webHidden/>
              </w:rPr>
              <w:fldChar w:fldCharType="end"/>
            </w:r>
          </w:hyperlink>
        </w:p>
        <w:p w:rsidR="00402D73" w:rsidRDefault="009F57E4">
          <w:pPr>
            <w:pStyle w:val="TOC1"/>
            <w:tabs>
              <w:tab w:val="left" w:pos="960"/>
            </w:tabs>
            <w:rPr>
              <w:rFonts w:asciiTheme="minorHAnsi" w:eastAsiaTheme="minorEastAsia" w:hAnsiTheme="minorHAnsi" w:cstheme="minorBidi"/>
              <w:b w:val="0"/>
              <w:i w:val="0"/>
              <w:color w:val="auto"/>
              <w:sz w:val="22"/>
              <w:lang w:val="sr-Latn-RS" w:eastAsia="sr-Latn-RS"/>
            </w:rPr>
          </w:pPr>
          <w:hyperlink w:anchor="_Toc445975016" w:history="1">
            <w:r w:rsidR="00402D73" w:rsidRPr="007204DF">
              <w:rPr>
                <w:rStyle w:val="Hyperlink"/>
                <w:rFonts w:ascii="Verdana" w:eastAsia="Times New Roman" w:hAnsi="Verdana"/>
                <w:bCs/>
                <w:lang w:eastAsia="ar-SA"/>
              </w:rPr>
              <w:t>5.1.1.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Fonts w:ascii="Verdana" w:eastAsia="Times New Roman" w:hAnsi="Verdana"/>
                <w:bCs/>
                <w:lang w:eastAsia="ar-SA"/>
              </w:rPr>
              <w:t>Премија реосигурања у периоду 01.01.2015. – 31.12.2015. године по врстама реосигурања</w:t>
            </w:r>
            <w:r w:rsidR="00402D73">
              <w:rPr>
                <w:webHidden/>
              </w:rPr>
              <w:tab/>
            </w:r>
            <w:r w:rsidR="00402D73">
              <w:rPr>
                <w:webHidden/>
              </w:rPr>
              <w:fldChar w:fldCharType="begin"/>
            </w:r>
            <w:r w:rsidR="00402D73">
              <w:rPr>
                <w:webHidden/>
              </w:rPr>
              <w:instrText xml:space="preserve"> PAGEREF _Toc445975016 \h </w:instrText>
            </w:r>
            <w:r w:rsidR="00402D73">
              <w:rPr>
                <w:webHidden/>
              </w:rPr>
            </w:r>
            <w:r w:rsidR="00402D73">
              <w:rPr>
                <w:webHidden/>
              </w:rPr>
              <w:fldChar w:fldCharType="separate"/>
            </w:r>
            <w:r w:rsidR="00A36C55">
              <w:rPr>
                <w:webHidden/>
              </w:rPr>
              <w:t>12</w:t>
            </w:r>
            <w:r w:rsidR="00402D73">
              <w:rPr>
                <w:webHidden/>
              </w:rPr>
              <w:fldChar w:fldCharType="end"/>
            </w:r>
          </w:hyperlink>
        </w:p>
        <w:p w:rsidR="00402D73" w:rsidRDefault="009F57E4">
          <w:pPr>
            <w:pStyle w:val="TOC1"/>
            <w:tabs>
              <w:tab w:val="left" w:pos="960"/>
            </w:tabs>
            <w:rPr>
              <w:rFonts w:asciiTheme="minorHAnsi" w:eastAsiaTheme="minorEastAsia" w:hAnsiTheme="minorHAnsi" w:cstheme="minorBidi"/>
              <w:b w:val="0"/>
              <w:i w:val="0"/>
              <w:color w:val="auto"/>
              <w:sz w:val="22"/>
              <w:lang w:val="sr-Latn-RS" w:eastAsia="sr-Latn-RS"/>
            </w:rPr>
          </w:pPr>
          <w:hyperlink w:anchor="_Toc445975017" w:history="1">
            <w:r w:rsidR="00402D73" w:rsidRPr="007204DF">
              <w:rPr>
                <w:rStyle w:val="Hyperlink"/>
                <w:rFonts w:ascii="Verdana" w:eastAsia="Times New Roman" w:hAnsi="Verdana"/>
                <w:bCs/>
                <w:lang w:eastAsia="ar-SA"/>
              </w:rPr>
              <w:t>5.1.2.</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Fonts w:ascii="Verdana" w:eastAsia="Times New Roman" w:hAnsi="Verdana"/>
                <w:bCs/>
                <w:lang w:eastAsia="ar-SA"/>
              </w:rPr>
              <w:t>Активна премија Друштва по изворима</w:t>
            </w:r>
            <w:r w:rsidR="00402D73">
              <w:rPr>
                <w:webHidden/>
              </w:rPr>
              <w:tab/>
            </w:r>
            <w:r w:rsidR="00402D73">
              <w:rPr>
                <w:webHidden/>
              </w:rPr>
              <w:fldChar w:fldCharType="begin"/>
            </w:r>
            <w:r w:rsidR="00402D73">
              <w:rPr>
                <w:webHidden/>
              </w:rPr>
              <w:instrText xml:space="preserve"> PAGEREF _Toc445975017 \h </w:instrText>
            </w:r>
            <w:r w:rsidR="00402D73">
              <w:rPr>
                <w:webHidden/>
              </w:rPr>
            </w:r>
            <w:r w:rsidR="00402D73">
              <w:rPr>
                <w:webHidden/>
              </w:rPr>
              <w:fldChar w:fldCharType="separate"/>
            </w:r>
            <w:r w:rsidR="00A36C55">
              <w:rPr>
                <w:webHidden/>
              </w:rPr>
              <w:t>15</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18" w:history="1">
            <w:r w:rsidR="00402D73" w:rsidRPr="007204DF">
              <w:rPr>
                <w:rStyle w:val="Hyperlink"/>
                <w:rFonts w:ascii="Verdana" w:eastAsia="Times New Roman" w:hAnsi="Verdana"/>
                <w:bCs/>
                <w:lang w:eastAsia="ar-SA"/>
              </w:rPr>
              <w:t>5.2.</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Fonts w:ascii="Verdana" w:eastAsia="Times New Roman" w:hAnsi="Verdana"/>
                <w:bCs/>
                <w:lang w:eastAsia="ar-SA"/>
              </w:rPr>
              <w:t xml:space="preserve">Догађаји у периоду 01.01.2015. – 31.12.2015. године значајни за </w:t>
            </w:r>
            <w:r w:rsidR="00402D73" w:rsidRPr="007204DF">
              <w:rPr>
                <w:rStyle w:val="Hyperlink"/>
                <w:rFonts w:ascii="Verdana" w:eastAsia="Times New Roman" w:hAnsi="Verdana"/>
                <w:bCs/>
                <w:lang w:val="sr-Cyrl-RS" w:eastAsia="ar-SA"/>
              </w:rPr>
              <w:t>развој ликвидираних и резервисаних пријављених ш</w:t>
            </w:r>
            <w:r w:rsidR="00402D73" w:rsidRPr="007204DF">
              <w:rPr>
                <w:rStyle w:val="Hyperlink"/>
                <w:rFonts w:ascii="Verdana" w:eastAsia="Times New Roman" w:hAnsi="Verdana"/>
                <w:bCs/>
                <w:lang w:eastAsia="ar-SA"/>
              </w:rPr>
              <w:t>тет</w:t>
            </w:r>
            <w:r w:rsidR="00402D73" w:rsidRPr="007204DF">
              <w:rPr>
                <w:rStyle w:val="Hyperlink"/>
                <w:rFonts w:ascii="Verdana" w:eastAsia="Times New Roman" w:hAnsi="Verdana"/>
                <w:bCs/>
                <w:lang w:val="sr-Cyrl-RS" w:eastAsia="ar-SA"/>
              </w:rPr>
              <w:t>а</w:t>
            </w:r>
            <w:r w:rsidR="00402D73" w:rsidRPr="007204DF">
              <w:rPr>
                <w:rStyle w:val="Hyperlink"/>
                <w:rFonts w:ascii="Verdana" w:eastAsia="Times New Roman" w:hAnsi="Verdana"/>
                <w:bCs/>
                <w:lang w:eastAsia="ar-SA"/>
              </w:rPr>
              <w:t xml:space="preserve"> реосигурања</w:t>
            </w:r>
            <w:r w:rsidR="00402D73">
              <w:rPr>
                <w:webHidden/>
              </w:rPr>
              <w:tab/>
            </w:r>
            <w:r w:rsidR="00402D73">
              <w:rPr>
                <w:webHidden/>
              </w:rPr>
              <w:fldChar w:fldCharType="begin"/>
            </w:r>
            <w:r w:rsidR="00402D73">
              <w:rPr>
                <w:webHidden/>
              </w:rPr>
              <w:instrText xml:space="preserve"> PAGEREF _Toc445975018 \h </w:instrText>
            </w:r>
            <w:r w:rsidR="00402D73">
              <w:rPr>
                <w:webHidden/>
              </w:rPr>
            </w:r>
            <w:r w:rsidR="00402D73">
              <w:rPr>
                <w:webHidden/>
              </w:rPr>
              <w:fldChar w:fldCharType="separate"/>
            </w:r>
            <w:r w:rsidR="00A36C55">
              <w:rPr>
                <w:webHidden/>
              </w:rPr>
              <w:t>16</w:t>
            </w:r>
            <w:r w:rsidR="00402D73">
              <w:rPr>
                <w:webHidden/>
              </w:rPr>
              <w:fldChar w:fldCharType="end"/>
            </w:r>
          </w:hyperlink>
        </w:p>
        <w:p w:rsidR="00402D73" w:rsidRDefault="009F57E4">
          <w:pPr>
            <w:pStyle w:val="TOC1"/>
            <w:tabs>
              <w:tab w:val="left" w:pos="960"/>
            </w:tabs>
            <w:rPr>
              <w:rFonts w:asciiTheme="minorHAnsi" w:eastAsiaTheme="minorEastAsia" w:hAnsiTheme="minorHAnsi" w:cstheme="minorBidi"/>
              <w:b w:val="0"/>
              <w:i w:val="0"/>
              <w:color w:val="auto"/>
              <w:sz w:val="22"/>
              <w:lang w:val="sr-Latn-RS" w:eastAsia="sr-Latn-RS"/>
            </w:rPr>
          </w:pPr>
          <w:hyperlink w:anchor="_Toc445975019" w:history="1">
            <w:r w:rsidR="00402D73" w:rsidRPr="007204DF">
              <w:rPr>
                <w:rStyle w:val="Hyperlink"/>
                <w:rFonts w:ascii="Verdana" w:eastAsia="Times New Roman" w:hAnsi="Verdana"/>
                <w:bCs/>
                <w:lang w:eastAsia="ar-SA"/>
              </w:rPr>
              <w:t>5.2.1.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Fonts w:ascii="Verdana" w:eastAsia="Times New Roman" w:hAnsi="Verdana"/>
                <w:bCs/>
                <w:lang w:eastAsia="ar-SA"/>
              </w:rPr>
              <w:t>Ликвидиране штете реосигурања у периоду 01.01.2015. –  31.12.2015. године</w:t>
            </w:r>
            <w:r w:rsidR="00402D73">
              <w:rPr>
                <w:webHidden/>
              </w:rPr>
              <w:tab/>
            </w:r>
            <w:r w:rsidR="00402D73">
              <w:rPr>
                <w:webHidden/>
              </w:rPr>
              <w:fldChar w:fldCharType="begin"/>
            </w:r>
            <w:r w:rsidR="00402D73">
              <w:rPr>
                <w:webHidden/>
              </w:rPr>
              <w:instrText xml:space="preserve"> PAGEREF _Toc445975019 \h </w:instrText>
            </w:r>
            <w:r w:rsidR="00402D73">
              <w:rPr>
                <w:webHidden/>
              </w:rPr>
            </w:r>
            <w:r w:rsidR="00402D73">
              <w:rPr>
                <w:webHidden/>
              </w:rPr>
              <w:fldChar w:fldCharType="separate"/>
            </w:r>
            <w:r w:rsidR="00A36C55">
              <w:rPr>
                <w:webHidden/>
              </w:rPr>
              <w:t>16</w:t>
            </w:r>
            <w:r w:rsidR="00402D73">
              <w:rPr>
                <w:webHidden/>
              </w:rPr>
              <w:fldChar w:fldCharType="end"/>
            </w:r>
          </w:hyperlink>
        </w:p>
        <w:p w:rsidR="00402D73" w:rsidRDefault="009F57E4">
          <w:pPr>
            <w:pStyle w:val="TOC1"/>
            <w:tabs>
              <w:tab w:val="left" w:pos="960"/>
            </w:tabs>
            <w:rPr>
              <w:rFonts w:asciiTheme="minorHAnsi" w:eastAsiaTheme="minorEastAsia" w:hAnsiTheme="minorHAnsi" w:cstheme="minorBidi"/>
              <w:b w:val="0"/>
              <w:i w:val="0"/>
              <w:color w:val="auto"/>
              <w:sz w:val="22"/>
              <w:lang w:val="sr-Latn-RS" w:eastAsia="sr-Latn-RS"/>
            </w:rPr>
          </w:pPr>
          <w:hyperlink w:anchor="_Toc445975020" w:history="1">
            <w:r w:rsidR="00402D73" w:rsidRPr="007204DF">
              <w:rPr>
                <w:rStyle w:val="Hyperlink"/>
                <w:rFonts w:ascii="Verdana" w:eastAsia="Times New Roman" w:hAnsi="Verdana"/>
                <w:bCs/>
                <w:lang w:eastAsia="ar-SA"/>
              </w:rPr>
              <w:t>5.2.2.</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Fonts w:ascii="Verdana" w:eastAsia="Times New Roman" w:hAnsi="Verdana"/>
                <w:bCs/>
                <w:lang w:eastAsia="ar-SA"/>
              </w:rPr>
              <w:t>Ликвидиране штете реосигурања у периоду 01.01.2015. – 31.12.2015. године по врстама реосигурања</w:t>
            </w:r>
            <w:r w:rsidR="00402D73">
              <w:rPr>
                <w:webHidden/>
              </w:rPr>
              <w:tab/>
            </w:r>
            <w:r w:rsidR="00402D73">
              <w:rPr>
                <w:webHidden/>
              </w:rPr>
              <w:fldChar w:fldCharType="begin"/>
            </w:r>
            <w:r w:rsidR="00402D73">
              <w:rPr>
                <w:webHidden/>
              </w:rPr>
              <w:instrText xml:space="preserve"> PAGEREF _Toc445975020 \h </w:instrText>
            </w:r>
            <w:r w:rsidR="00402D73">
              <w:rPr>
                <w:webHidden/>
              </w:rPr>
            </w:r>
            <w:r w:rsidR="00402D73">
              <w:rPr>
                <w:webHidden/>
              </w:rPr>
              <w:fldChar w:fldCharType="separate"/>
            </w:r>
            <w:r w:rsidR="00A36C55">
              <w:rPr>
                <w:webHidden/>
              </w:rPr>
              <w:t>17</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21" w:history="1">
            <w:r w:rsidR="00402D73" w:rsidRPr="007204DF">
              <w:rPr>
                <w:rStyle w:val="Hyperlink"/>
                <w:rFonts w:ascii="Verdana" w:eastAsia="Times New Roman" w:hAnsi="Verdana"/>
                <w:bCs/>
                <w:lang w:eastAsia="ar-SA"/>
              </w:rPr>
              <w:t>5.3.</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Fonts w:ascii="Verdana" w:eastAsia="Times New Roman" w:hAnsi="Verdana"/>
                <w:bCs/>
                <w:lang w:val="sr-Cyrl-CS" w:eastAsia="ar-SA"/>
              </w:rPr>
              <w:t>Р</w:t>
            </w:r>
            <w:r w:rsidR="00402D73" w:rsidRPr="007204DF">
              <w:rPr>
                <w:rStyle w:val="Hyperlink"/>
                <w:rFonts w:ascii="Verdana" w:eastAsia="Times New Roman" w:hAnsi="Verdana"/>
                <w:bCs/>
                <w:lang w:eastAsia="ar-SA"/>
              </w:rPr>
              <w:t xml:space="preserve">езервисане </w:t>
            </w:r>
            <w:r w:rsidR="00402D73" w:rsidRPr="007204DF">
              <w:rPr>
                <w:rStyle w:val="Hyperlink"/>
                <w:rFonts w:ascii="Verdana" w:eastAsia="Times New Roman" w:hAnsi="Verdana"/>
                <w:bCs/>
                <w:lang w:val="sr-Cyrl-RS" w:eastAsia="ar-SA"/>
              </w:rPr>
              <w:t xml:space="preserve">пријављене </w:t>
            </w:r>
            <w:r w:rsidR="00402D73" w:rsidRPr="007204DF">
              <w:rPr>
                <w:rStyle w:val="Hyperlink"/>
                <w:rFonts w:ascii="Verdana" w:eastAsia="Times New Roman" w:hAnsi="Verdana"/>
                <w:bCs/>
                <w:lang w:eastAsia="ar-SA"/>
              </w:rPr>
              <w:t>штете реосигурања на дан 31.12.2015. год</w:t>
            </w:r>
            <w:r w:rsidR="00402D73">
              <w:rPr>
                <w:rStyle w:val="Hyperlink"/>
                <w:rFonts w:ascii="Verdana" w:eastAsia="Times New Roman" w:hAnsi="Verdana"/>
                <w:bCs/>
                <w:lang w:val="sr-Cyrl-RS" w:eastAsia="ar-SA"/>
              </w:rPr>
              <w:t>.</w:t>
            </w:r>
            <w:r w:rsidR="00402D73">
              <w:rPr>
                <w:webHidden/>
              </w:rPr>
              <w:tab/>
            </w:r>
            <w:r w:rsidR="00402D73">
              <w:rPr>
                <w:webHidden/>
              </w:rPr>
              <w:fldChar w:fldCharType="begin"/>
            </w:r>
            <w:r w:rsidR="00402D73">
              <w:rPr>
                <w:webHidden/>
              </w:rPr>
              <w:instrText xml:space="preserve"> PAGEREF _Toc445975021 \h </w:instrText>
            </w:r>
            <w:r w:rsidR="00402D73">
              <w:rPr>
                <w:webHidden/>
              </w:rPr>
            </w:r>
            <w:r w:rsidR="00402D73">
              <w:rPr>
                <w:webHidden/>
              </w:rPr>
              <w:fldChar w:fldCharType="separate"/>
            </w:r>
            <w:r w:rsidR="00A36C55">
              <w:rPr>
                <w:webHidden/>
              </w:rPr>
              <w:t>21</w:t>
            </w:r>
            <w:r w:rsidR="00402D73">
              <w:rPr>
                <w:webHidden/>
              </w:rPr>
              <w:fldChar w:fldCharType="end"/>
            </w:r>
          </w:hyperlink>
        </w:p>
        <w:p w:rsidR="00402D73" w:rsidRDefault="009F57E4">
          <w:pPr>
            <w:pStyle w:val="TOC1"/>
            <w:tabs>
              <w:tab w:val="left" w:pos="960"/>
            </w:tabs>
            <w:rPr>
              <w:rFonts w:asciiTheme="minorHAnsi" w:eastAsiaTheme="minorEastAsia" w:hAnsiTheme="minorHAnsi" w:cstheme="minorBidi"/>
              <w:b w:val="0"/>
              <w:i w:val="0"/>
              <w:color w:val="auto"/>
              <w:sz w:val="22"/>
              <w:lang w:val="sr-Latn-RS" w:eastAsia="sr-Latn-RS"/>
            </w:rPr>
          </w:pPr>
          <w:hyperlink w:anchor="_Toc445975022" w:history="1">
            <w:r w:rsidR="00402D73" w:rsidRPr="007204DF">
              <w:rPr>
                <w:rStyle w:val="Hyperlink"/>
                <w:rFonts w:ascii="Verdana" w:eastAsia="Times New Roman" w:hAnsi="Verdana"/>
                <w:bCs/>
                <w:lang w:eastAsia="ar-SA"/>
              </w:rPr>
              <w:t>5.3.1.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Fonts w:ascii="Verdana" w:eastAsia="Times New Roman" w:hAnsi="Verdana"/>
                <w:bCs/>
                <w:lang w:eastAsia="ar-SA"/>
              </w:rPr>
              <w:t xml:space="preserve">Резервисане </w:t>
            </w:r>
            <w:r w:rsidR="00402D73" w:rsidRPr="007204DF">
              <w:rPr>
                <w:rStyle w:val="Hyperlink"/>
                <w:rFonts w:ascii="Verdana" w:eastAsia="Times New Roman" w:hAnsi="Verdana"/>
                <w:bCs/>
                <w:lang w:val="sr-Cyrl-RS" w:eastAsia="ar-SA"/>
              </w:rPr>
              <w:t xml:space="preserve">пријављене </w:t>
            </w:r>
            <w:r w:rsidR="00402D73" w:rsidRPr="007204DF">
              <w:rPr>
                <w:rStyle w:val="Hyperlink"/>
                <w:rFonts w:ascii="Verdana" w:eastAsia="Times New Roman" w:hAnsi="Verdana"/>
                <w:bCs/>
                <w:lang w:eastAsia="ar-SA"/>
              </w:rPr>
              <w:t>штете реосигурања на дан 31.12.2015. године по врстама реосигурања</w:t>
            </w:r>
            <w:r w:rsidR="00402D73">
              <w:rPr>
                <w:webHidden/>
              </w:rPr>
              <w:tab/>
            </w:r>
            <w:r w:rsidR="00402D73">
              <w:rPr>
                <w:webHidden/>
              </w:rPr>
              <w:fldChar w:fldCharType="begin"/>
            </w:r>
            <w:r w:rsidR="00402D73">
              <w:rPr>
                <w:webHidden/>
              </w:rPr>
              <w:instrText xml:space="preserve"> PAGEREF _Toc445975022 \h </w:instrText>
            </w:r>
            <w:r w:rsidR="00402D73">
              <w:rPr>
                <w:webHidden/>
              </w:rPr>
            </w:r>
            <w:r w:rsidR="00402D73">
              <w:rPr>
                <w:webHidden/>
              </w:rPr>
              <w:fldChar w:fldCharType="separate"/>
            </w:r>
            <w:r w:rsidR="00A36C55">
              <w:rPr>
                <w:webHidden/>
              </w:rPr>
              <w:t>22</w:t>
            </w:r>
            <w:r w:rsidR="00402D73">
              <w:rPr>
                <w:webHidden/>
              </w:rPr>
              <w:fldChar w:fldCharType="end"/>
            </w:r>
          </w:hyperlink>
        </w:p>
        <w:p w:rsidR="00402D73" w:rsidRDefault="009F57E4">
          <w:pPr>
            <w:pStyle w:val="TOC1"/>
            <w:tabs>
              <w:tab w:val="left" w:pos="720"/>
            </w:tabs>
            <w:rPr>
              <w:rFonts w:asciiTheme="minorHAnsi" w:eastAsiaTheme="minorEastAsia" w:hAnsiTheme="minorHAnsi" w:cstheme="minorBidi"/>
              <w:b w:val="0"/>
              <w:i w:val="0"/>
              <w:color w:val="auto"/>
              <w:sz w:val="22"/>
              <w:lang w:val="sr-Latn-RS" w:eastAsia="sr-Latn-RS"/>
            </w:rPr>
          </w:pPr>
          <w:hyperlink w:anchor="_Toc445975023" w:history="1">
            <w:r w:rsidR="00402D73" w:rsidRPr="007204DF">
              <w:rPr>
                <w:rStyle w:val="Hyperlink"/>
              </w:rPr>
              <w:t>5.3.2.</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Укупно резервисане штете у самопридржају Друштва</w:t>
            </w:r>
            <w:r w:rsidR="00402D73">
              <w:rPr>
                <w:webHidden/>
              </w:rPr>
              <w:tab/>
            </w:r>
            <w:r w:rsidR="00402D73">
              <w:rPr>
                <w:webHidden/>
              </w:rPr>
              <w:fldChar w:fldCharType="begin"/>
            </w:r>
            <w:r w:rsidR="00402D73">
              <w:rPr>
                <w:webHidden/>
              </w:rPr>
              <w:instrText xml:space="preserve"> PAGEREF _Toc445975023 \h </w:instrText>
            </w:r>
            <w:r w:rsidR="00402D73">
              <w:rPr>
                <w:webHidden/>
              </w:rPr>
            </w:r>
            <w:r w:rsidR="00402D73">
              <w:rPr>
                <w:webHidden/>
              </w:rPr>
              <w:fldChar w:fldCharType="separate"/>
            </w:r>
            <w:r w:rsidR="00A36C55">
              <w:rPr>
                <w:webHidden/>
              </w:rPr>
              <w:t>25</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24" w:history="1">
            <w:r w:rsidR="00402D73" w:rsidRPr="007204DF">
              <w:rPr>
                <w:rStyle w:val="Hyperlink"/>
              </w:rPr>
              <w:t>6.</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ФИНАНСИЈСКО ПОСЛОВАЊЕ ДРУШТВА У 2015. ГОДИНИ</w:t>
            </w:r>
            <w:r w:rsidR="00402D73">
              <w:rPr>
                <w:webHidden/>
              </w:rPr>
              <w:tab/>
            </w:r>
            <w:r w:rsidR="00402D73">
              <w:rPr>
                <w:webHidden/>
              </w:rPr>
              <w:fldChar w:fldCharType="begin"/>
            </w:r>
            <w:r w:rsidR="00402D73">
              <w:rPr>
                <w:webHidden/>
              </w:rPr>
              <w:instrText xml:space="preserve"> PAGEREF _Toc445975024 \h </w:instrText>
            </w:r>
            <w:r w:rsidR="00402D73">
              <w:rPr>
                <w:webHidden/>
              </w:rPr>
            </w:r>
            <w:r w:rsidR="00402D73">
              <w:rPr>
                <w:webHidden/>
              </w:rPr>
              <w:fldChar w:fldCharType="separate"/>
            </w:r>
            <w:r w:rsidR="00A36C55">
              <w:rPr>
                <w:webHidden/>
              </w:rPr>
              <w:t>28</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25" w:history="1">
            <w:r w:rsidR="00402D73" w:rsidRPr="007204DF">
              <w:rPr>
                <w:rStyle w:val="Hyperlink"/>
              </w:rPr>
              <w:t>6.1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УКУПНА АКТИВА НА ДАН 31.12.2015.</w:t>
            </w:r>
            <w:r w:rsidR="00402D73">
              <w:rPr>
                <w:webHidden/>
              </w:rPr>
              <w:tab/>
            </w:r>
            <w:r w:rsidR="00402D73">
              <w:rPr>
                <w:webHidden/>
              </w:rPr>
              <w:fldChar w:fldCharType="begin"/>
            </w:r>
            <w:r w:rsidR="00402D73">
              <w:rPr>
                <w:webHidden/>
              </w:rPr>
              <w:instrText xml:space="preserve"> PAGEREF _Toc445975025 \h </w:instrText>
            </w:r>
            <w:r w:rsidR="00402D73">
              <w:rPr>
                <w:webHidden/>
              </w:rPr>
            </w:r>
            <w:r w:rsidR="00402D73">
              <w:rPr>
                <w:webHidden/>
              </w:rPr>
              <w:fldChar w:fldCharType="separate"/>
            </w:r>
            <w:r w:rsidR="00A36C55">
              <w:rPr>
                <w:webHidden/>
              </w:rPr>
              <w:t>28</w:t>
            </w:r>
            <w:r w:rsidR="00402D73">
              <w:rPr>
                <w:webHidden/>
              </w:rPr>
              <w:fldChar w:fldCharType="end"/>
            </w:r>
          </w:hyperlink>
        </w:p>
        <w:p w:rsidR="00402D73" w:rsidRDefault="009F57E4">
          <w:pPr>
            <w:pStyle w:val="TOC1"/>
            <w:tabs>
              <w:tab w:val="left" w:pos="720"/>
            </w:tabs>
            <w:rPr>
              <w:rFonts w:asciiTheme="minorHAnsi" w:eastAsiaTheme="minorEastAsia" w:hAnsiTheme="minorHAnsi" w:cstheme="minorBidi"/>
              <w:b w:val="0"/>
              <w:i w:val="0"/>
              <w:color w:val="auto"/>
              <w:sz w:val="22"/>
              <w:lang w:val="sr-Latn-RS" w:eastAsia="sr-Latn-RS"/>
            </w:rPr>
          </w:pPr>
          <w:hyperlink w:anchor="_Toc445975029" w:history="1">
            <w:r w:rsidR="00402D73" w:rsidRPr="007204DF">
              <w:rPr>
                <w:rStyle w:val="Hyperlink"/>
              </w:rPr>
              <w:t>6.1.1.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Потраживања и исправка вредности потраживања</w:t>
            </w:r>
            <w:r w:rsidR="00402D73">
              <w:rPr>
                <w:webHidden/>
              </w:rPr>
              <w:tab/>
            </w:r>
            <w:r w:rsidR="00402D73">
              <w:rPr>
                <w:webHidden/>
              </w:rPr>
              <w:fldChar w:fldCharType="begin"/>
            </w:r>
            <w:r w:rsidR="00402D73">
              <w:rPr>
                <w:webHidden/>
              </w:rPr>
              <w:instrText xml:space="preserve"> PAGEREF _Toc445975029 \h </w:instrText>
            </w:r>
            <w:r w:rsidR="00402D73">
              <w:rPr>
                <w:webHidden/>
              </w:rPr>
            </w:r>
            <w:r w:rsidR="00402D73">
              <w:rPr>
                <w:webHidden/>
              </w:rPr>
              <w:fldChar w:fldCharType="separate"/>
            </w:r>
            <w:r w:rsidR="00A36C55">
              <w:rPr>
                <w:webHidden/>
              </w:rPr>
              <w:t>30</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30" w:history="1">
            <w:r w:rsidR="00402D73" w:rsidRPr="007204DF">
              <w:rPr>
                <w:rStyle w:val="Hyperlink"/>
                <w14:scene3d>
                  <w14:camera w14:prst="orthographicFront"/>
                  <w14:lightRig w14:rig="threePt" w14:dir="t">
                    <w14:rot w14:lat="0" w14:lon="0" w14:rev="0"/>
                  </w14:lightRig>
                </w14:scene3d>
              </w:rPr>
              <w:t>6.2.</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УКУПНА ПАСИВА НА ДАН 31.12.2015.</w:t>
            </w:r>
            <w:r w:rsidR="00402D73">
              <w:rPr>
                <w:webHidden/>
              </w:rPr>
              <w:tab/>
            </w:r>
            <w:r w:rsidR="00402D73">
              <w:rPr>
                <w:webHidden/>
              </w:rPr>
              <w:fldChar w:fldCharType="begin"/>
            </w:r>
            <w:r w:rsidR="00402D73">
              <w:rPr>
                <w:webHidden/>
              </w:rPr>
              <w:instrText xml:space="preserve"> PAGEREF _Toc445975030 \h </w:instrText>
            </w:r>
            <w:r w:rsidR="00402D73">
              <w:rPr>
                <w:webHidden/>
              </w:rPr>
            </w:r>
            <w:r w:rsidR="00402D73">
              <w:rPr>
                <w:webHidden/>
              </w:rPr>
              <w:fldChar w:fldCharType="separate"/>
            </w:r>
            <w:r w:rsidR="00A36C55">
              <w:rPr>
                <w:webHidden/>
              </w:rPr>
              <w:t>32</w:t>
            </w:r>
            <w:r w:rsidR="00402D73">
              <w:rPr>
                <w:webHidden/>
              </w:rPr>
              <w:fldChar w:fldCharType="end"/>
            </w:r>
          </w:hyperlink>
        </w:p>
        <w:p w:rsidR="00402D73" w:rsidRDefault="009F57E4">
          <w:pPr>
            <w:pStyle w:val="TOC1"/>
            <w:tabs>
              <w:tab w:val="left" w:pos="720"/>
            </w:tabs>
            <w:rPr>
              <w:rFonts w:asciiTheme="minorHAnsi" w:eastAsiaTheme="minorEastAsia" w:hAnsiTheme="minorHAnsi" w:cstheme="minorBidi"/>
              <w:b w:val="0"/>
              <w:i w:val="0"/>
              <w:color w:val="auto"/>
              <w:sz w:val="22"/>
              <w:lang w:val="sr-Latn-RS" w:eastAsia="sr-Latn-RS"/>
            </w:rPr>
          </w:pPr>
          <w:hyperlink w:anchor="_Toc445975031" w:history="1">
            <w:r w:rsidR="00402D73" w:rsidRPr="007204DF">
              <w:rPr>
                <w:rStyle w:val="Hyperlink"/>
              </w:rPr>
              <w:t>6.2.1.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Капитал, резерве, дугорочна резервисања</w:t>
            </w:r>
            <w:r w:rsidR="00402D73">
              <w:rPr>
                <w:webHidden/>
              </w:rPr>
              <w:tab/>
            </w:r>
            <w:r w:rsidR="00402D73">
              <w:rPr>
                <w:webHidden/>
              </w:rPr>
              <w:fldChar w:fldCharType="begin"/>
            </w:r>
            <w:r w:rsidR="00402D73">
              <w:rPr>
                <w:webHidden/>
              </w:rPr>
              <w:instrText xml:space="preserve"> PAGEREF _Toc445975031 \h </w:instrText>
            </w:r>
            <w:r w:rsidR="00402D73">
              <w:rPr>
                <w:webHidden/>
              </w:rPr>
            </w:r>
            <w:r w:rsidR="00402D73">
              <w:rPr>
                <w:webHidden/>
              </w:rPr>
              <w:fldChar w:fldCharType="separate"/>
            </w:r>
            <w:r w:rsidR="00A36C55">
              <w:rPr>
                <w:webHidden/>
              </w:rPr>
              <w:t>33</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32" w:history="1">
            <w:r w:rsidR="00402D73" w:rsidRPr="007204DF">
              <w:rPr>
                <w:rStyle w:val="Hyperlink"/>
              </w:rPr>
              <w:t>и дугорочне обавезе</w:t>
            </w:r>
            <w:r w:rsidR="00402D73">
              <w:rPr>
                <w:webHidden/>
              </w:rPr>
              <w:tab/>
            </w:r>
            <w:r w:rsidR="00402D73">
              <w:rPr>
                <w:webHidden/>
              </w:rPr>
              <w:fldChar w:fldCharType="begin"/>
            </w:r>
            <w:r w:rsidR="00402D73">
              <w:rPr>
                <w:webHidden/>
              </w:rPr>
              <w:instrText xml:space="preserve"> PAGEREF _Toc445975032 \h </w:instrText>
            </w:r>
            <w:r w:rsidR="00402D73">
              <w:rPr>
                <w:webHidden/>
              </w:rPr>
            </w:r>
            <w:r w:rsidR="00402D73">
              <w:rPr>
                <w:webHidden/>
              </w:rPr>
              <w:fldChar w:fldCharType="separate"/>
            </w:r>
            <w:r w:rsidR="00A36C55">
              <w:rPr>
                <w:webHidden/>
              </w:rPr>
              <w:t>33</w:t>
            </w:r>
            <w:r w:rsidR="00402D73">
              <w:rPr>
                <w:webHidden/>
              </w:rPr>
              <w:fldChar w:fldCharType="end"/>
            </w:r>
          </w:hyperlink>
        </w:p>
        <w:p w:rsidR="00402D73" w:rsidRDefault="009F57E4">
          <w:pPr>
            <w:pStyle w:val="TOC1"/>
            <w:tabs>
              <w:tab w:val="left" w:pos="720"/>
            </w:tabs>
            <w:rPr>
              <w:rFonts w:asciiTheme="minorHAnsi" w:eastAsiaTheme="minorEastAsia" w:hAnsiTheme="minorHAnsi" w:cstheme="minorBidi"/>
              <w:b w:val="0"/>
              <w:i w:val="0"/>
              <w:color w:val="auto"/>
              <w:sz w:val="22"/>
              <w:lang w:val="sr-Latn-RS" w:eastAsia="sr-Latn-RS"/>
            </w:rPr>
          </w:pPr>
          <w:hyperlink w:anchor="_Toc445975033" w:history="1">
            <w:r w:rsidR="00402D73" w:rsidRPr="007204DF">
              <w:rPr>
                <w:rStyle w:val="Hyperlink"/>
              </w:rPr>
              <w:t>6.2.2.</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Краткорочне обавезе</w:t>
            </w:r>
            <w:r w:rsidR="00402D73">
              <w:rPr>
                <w:webHidden/>
              </w:rPr>
              <w:tab/>
            </w:r>
            <w:r w:rsidR="00402D73">
              <w:rPr>
                <w:webHidden/>
              </w:rPr>
              <w:fldChar w:fldCharType="begin"/>
            </w:r>
            <w:r w:rsidR="00402D73">
              <w:rPr>
                <w:webHidden/>
              </w:rPr>
              <w:instrText xml:space="preserve"> PAGEREF _Toc445975033 \h </w:instrText>
            </w:r>
            <w:r w:rsidR="00402D73">
              <w:rPr>
                <w:webHidden/>
              </w:rPr>
            </w:r>
            <w:r w:rsidR="00402D73">
              <w:rPr>
                <w:webHidden/>
              </w:rPr>
              <w:fldChar w:fldCharType="separate"/>
            </w:r>
            <w:r w:rsidR="00A36C55">
              <w:rPr>
                <w:webHidden/>
              </w:rPr>
              <w:t>34</w:t>
            </w:r>
            <w:r w:rsidR="00402D73">
              <w:rPr>
                <w:webHidden/>
              </w:rPr>
              <w:fldChar w:fldCharType="end"/>
            </w:r>
          </w:hyperlink>
        </w:p>
        <w:p w:rsidR="00402D73" w:rsidRDefault="009F57E4">
          <w:pPr>
            <w:pStyle w:val="TOC1"/>
            <w:tabs>
              <w:tab w:val="left" w:pos="720"/>
            </w:tabs>
            <w:rPr>
              <w:rFonts w:asciiTheme="minorHAnsi" w:eastAsiaTheme="minorEastAsia" w:hAnsiTheme="minorHAnsi" w:cstheme="minorBidi"/>
              <w:b w:val="0"/>
              <w:i w:val="0"/>
              <w:color w:val="auto"/>
              <w:sz w:val="22"/>
              <w:lang w:val="sr-Latn-RS" w:eastAsia="sr-Latn-RS"/>
            </w:rPr>
          </w:pPr>
          <w:hyperlink w:anchor="_Toc445975034" w:history="1">
            <w:r w:rsidR="00402D73" w:rsidRPr="007204DF">
              <w:rPr>
                <w:rStyle w:val="Hyperlink"/>
              </w:rPr>
              <w:t>6.2.3.</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Преносна премија и резервисане штете</w:t>
            </w:r>
            <w:r w:rsidR="00402D73">
              <w:rPr>
                <w:webHidden/>
              </w:rPr>
              <w:tab/>
            </w:r>
            <w:r w:rsidR="00402D73">
              <w:rPr>
                <w:webHidden/>
              </w:rPr>
              <w:fldChar w:fldCharType="begin"/>
            </w:r>
            <w:r w:rsidR="00402D73">
              <w:rPr>
                <w:webHidden/>
              </w:rPr>
              <w:instrText xml:space="preserve"> PAGEREF _Toc445975034 \h </w:instrText>
            </w:r>
            <w:r w:rsidR="00402D73">
              <w:rPr>
                <w:webHidden/>
              </w:rPr>
            </w:r>
            <w:r w:rsidR="00402D73">
              <w:rPr>
                <w:webHidden/>
              </w:rPr>
              <w:fldChar w:fldCharType="separate"/>
            </w:r>
            <w:r w:rsidR="00A36C55">
              <w:rPr>
                <w:webHidden/>
              </w:rPr>
              <w:t>36</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38" w:history="1">
            <w:r w:rsidR="00402D73" w:rsidRPr="007204DF">
              <w:rPr>
                <w:rStyle w:val="Hyperlink"/>
                <w14:scene3d>
                  <w14:camera w14:prst="orthographicFront"/>
                  <w14:lightRig w14:rig="threePt" w14:dir="t">
                    <w14:rot w14:lat="0" w14:lon="0" w14:rev="0"/>
                  </w14:lightRig>
                </w14:scene3d>
              </w:rPr>
              <w:t>6.6.</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ТЕХНИЧКЕ РЕЗЕРВЕ</w:t>
            </w:r>
            <w:r w:rsidR="00402D73">
              <w:rPr>
                <w:webHidden/>
              </w:rPr>
              <w:tab/>
            </w:r>
            <w:r w:rsidR="00402D73">
              <w:rPr>
                <w:webHidden/>
              </w:rPr>
              <w:fldChar w:fldCharType="begin"/>
            </w:r>
            <w:r w:rsidR="00402D73">
              <w:rPr>
                <w:webHidden/>
              </w:rPr>
              <w:instrText xml:space="preserve"> PAGEREF _Toc445975038 \h </w:instrText>
            </w:r>
            <w:r w:rsidR="00402D73">
              <w:rPr>
                <w:webHidden/>
              </w:rPr>
            </w:r>
            <w:r w:rsidR="00402D73">
              <w:rPr>
                <w:webHidden/>
              </w:rPr>
              <w:fldChar w:fldCharType="separate"/>
            </w:r>
            <w:r w:rsidR="00A36C55">
              <w:rPr>
                <w:webHidden/>
              </w:rPr>
              <w:t>38</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40" w:history="1">
            <w:r w:rsidR="00402D73" w:rsidRPr="007204DF">
              <w:rPr>
                <w:rStyle w:val="Hyperlink"/>
                <w14:scene3d>
                  <w14:camera w14:prst="orthographicFront"/>
                  <w14:lightRig w14:rig="threePt" w14:dir="t">
                    <w14:rot w14:lat="0" w14:lon="0" w14:rev="0"/>
                  </w14:lightRig>
                </w14:scene3d>
              </w:rPr>
              <w:t>6.8.</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ГАРАНТНЕ РЕЗЕРВЕ И ОЦЕНА АДЕКВАТНОСТИ КАПИТАЛА</w:t>
            </w:r>
            <w:r w:rsidR="00402D73">
              <w:rPr>
                <w:webHidden/>
              </w:rPr>
              <w:tab/>
            </w:r>
            <w:r w:rsidR="00402D73">
              <w:rPr>
                <w:webHidden/>
              </w:rPr>
              <w:fldChar w:fldCharType="begin"/>
            </w:r>
            <w:r w:rsidR="00402D73">
              <w:rPr>
                <w:webHidden/>
              </w:rPr>
              <w:instrText xml:space="preserve"> PAGEREF _Toc445975040 \h </w:instrText>
            </w:r>
            <w:r w:rsidR="00402D73">
              <w:rPr>
                <w:webHidden/>
              </w:rPr>
            </w:r>
            <w:r w:rsidR="00402D73">
              <w:rPr>
                <w:webHidden/>
              </w:rPr>
              <w:fldChar w:fldCharType="separate"/>
            </w:r>
            <w:r w:rsidR="00A36C55">
              <w:rPr>
                <w:webHidden/>
              </w:rPr>
              <w:t>38</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41" w:history="1">
            <w:r w:rsidR="00402D73" w:rsidRPr="007204DF">
              <w:rPr>
                <w:rStyle w:val="Hyperlink"/>
                <w14:scene3d>
                  <w14:camera w14:prst="orthographicFront"/>
                  <w14:lightRig w14:rig="threePt" w14:dir="t">
                    <w14:rot w14:lat="0" w14:lon="0" w14:rev="0"/>
                  </w14:lightRig>
                </w14:scene3d>
              </w:rPr>
              <w:t>6.9.</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ИНВЕСТИЦИОНА ПОЛИТИКА</w:t>
            </w:r>
            <w:r w:rsidR="00402D73">
              <w:rPr>
                <w:webHidden/>
              </w:rPr>
              <w:tab/>
            </w:r>
            <w:r w:rsidR="00402D73">
              <w:rPr>
                <w:webHidden/>
              </w:rPr>
              <w:fldChar w:fldCharType="begin"/>
            </w:r>
            <w:r w:rsidR="00402D73">
              <w:rPr>
                <w:webHidden/>
              </w:rPr>
              <w:instrText xml:space="preserve"> PAGEREF _Toc445975041 \h </w:instrText>
            </w:r>
            <w:r w:rsidR="00402D73">
              <w:rPr>
                <w:webHidden/>
              </w:rPr>
            </w:r>
            <w:r w:rsidR="00402D73">
              <w:rPr>
                <w:webHidden/>
              </w:rPr>
              <w:fldChar w:fldCharType="separate"/>
            </w:r>
            <w:r w:rsidR="00A36C55">
              <w:rPr>
                <w:webHidden/>
              </w:rPr>
              <w:t>40</w:t>
            </w:r>
            <w:r w:rsidR="00402D73">
              <w:rPr>
                <w:webHidden/>
              </w:rPr>
              <w:fldChar w:fldCharType="end"/>
            </w:r>
          </w:hyperlink>
        </w:p>
        <w:p w:rsidR="00402D73" w:rsidRDefault="009F57E4">
          <w:pPr>
            <w:pStyle w:val="TOC1"/>
            <w:tabs>
              <w:tab w:val="left" w:pos="720"/>
            </w:tabs>
            <w:rPr>
              <w:rFonts w:asciiTheme="minorHAnsi" w:eastAsiaTheme="minorEastAsia" w:hAnsiTheme="minorHAnsi" w:cstheme="minorBidi"/>
              <w:b w:val="0"/>
              <w:i w:val="0"/>
              <w:color w:val="auto"/>
              <w:sz w:val="22"/>
              <w:lang w:val="sr-Latn-RS" w:eastAsia="sr-Latn-RS"/>
            </w:rPr>
          </w:pPr>
          <w:hyperlink w:anchor="_Toc445975042" w:history="1">
            <w:r w:rsidR="00402D73" w:rsidRPr="007204DF">
              <w:rPr>
                <w:rStyle w:val="Hyperlink"/>
              </w:rPr>
              <w:t>6.9.1.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Остварени расходи од инвестирања</w:t>
            </w:r>
            <w:r w:rsidR="00402D73">
              <w:rPr>
                <w:webHidden/>
              </w:rPr>
              <w:tab/>
            </w:r>
            <w:r w:rsidR="00402D73">
              <w:rPr>
                <w:webHidden/>
              </w:rPr>
              <w:fldChar w:fldCharType="begin"/>
            </w:r>
            <w:r w:rsidR="00402D73">
              <w:rPr>
                <w:webHidden/>
              </w:rPr>
              <w:instrText xml:space="preserve"> PAGEREF _Toc445975042 \h </w:instrText>
            </w:r>
            <w:r w:rsidR="00402D73">
              <w:rPr>
                <w:webHidden/>
              </w:rPr>
            </w:r>
            <w:r w:rsidR="00402D73">
              <w:rPr>
                <w:webHidden/>
              </w:rPr>
              <w:fldChar w:fldCharType="separate"/>
            </w:r>
            <w:r w:rsidR="00A36C55">
              <w:rPr>
                <w:webHidden/>
              </w:rPr>
              <w:t>45</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43" w:history="1">
            <w:r w:rsidR="00402D73" w:rsidRPr="007204DF">
              <w:rPr>
                <w:rStyle w:val="Hyperlink"/>
                <w14:scene3d>
                  <w14:camera w14:prst="orthographicFront"/>
                  <w14:lightRig w14:rig="threePt" w14:dir="t">
                    <w14:rot w14:lat="0" w14:lon="0" w14:rev="0"/>
                  </w14:lightRig>
                </w14:scene3d>
              </w:rPr>
              <w:t>6.10.</w:t>
            </w:r>
            <w:r w:rsidR="00402D73" w:rsidRPr="007204DF">
              <w:rPr>
                <w:rStyle w:val="Hyperlink"/>
              </w:rPr>
              <w:t>ОСТВАРЕНИ РЕЗУЛТАТИ У ПЕРИОДУ 01.01. - 31.12.2015.</w:t>
            </w:r>
            <w:r w:rsidR="00402D73">
              <w:rPr>
                <w:webHidden/>
              </w:rPr>
              <w:tab/>
            </w:r>
            <w:r w:rsidR="00402D73">
              <w:rPr>
                <w:webHidden/>
              </w:rPr>
              <w:fldChar w:fldCharType="begin"/>
            </w:r>
            <w:r w:rsidR="00402D73">
              <w:rPr>
                <w:webHidden/>
              </w:rPr>
              <w:instrText xml:space="preserve"> PAGEREF _Toc445975043 \h </w:instrText>
            </w:r>
            <w:r w:rsidR="00402D73">
              <w:rPr>
                <w:webHidden/>
              </w:rPr>
            </w:r>
            <w:r w:rsidR="00402D73">
              <w:rPr>
                <w:webHidden/>
              </w:rPr>
              <w:fldChar w:fldCharType="separate"/>
            </w:r>
            <w:r w:rsidR="00A36C55">
              <w:rPr>
                <w:webHidden/>
              </w:rPr>
              <w:t>46</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44" w:history="1">
            <w:r w:rsidR="00402D73" w:rsidRPr="007204DF">
              <w:rPr>
                <w:rStyle w:val="Hyperlink"/>
                <w14:scene3d>
                  <w14:camera w14:prst="orthographicFront"/>
                  <w14:lightRig w14:rig="threePt" w14:dir="t">
                    <w14:rot w14:lat="0" w14:lon="0" w14:rev="0"/>
                  </w14:lightRig>
                </w14:scene3d>
              </w:rPr>
              <w:t>6.11.</w:t>
            </w:r>
            <w:r w:rsidR="00402D73" w:rsidRPr="007204DF">
              <w:rPr>
                <w:rStyle w:val="Hyperlink"/>
              </w:rPr>
              <w:t>ТРОШКОВИ ПОСЛОВАЊА</w:t>
            </w:r>
            <w:r w:rsidR="00402D73">
              <w:rPr>
                <w:webHidden/>
              </w:rPr>
              <w:tab/>
            </w:r>
            <w:r w:rsidR="00402D73">
              <w:rPr>
                <w:webHidden/>
              </w:rPr>
              <w:fldChar w:fldCharType="begin"/>
            </w:r>
            <w:r w:rsidR="00402D73">
              <w:rPr>
                <w:webHidden/>
              </w:rPr>
              <w:instrText xml:space="preserve"> PAGEREF _Toc445975044 \h </w:instrText>
            </w:r>
            <w:r w:rsidR="00402D73">
              <w:rPr>
                <w:webHidden/>
              </w:rPr>
            </w:r>
            <w:r w:rsidR="00402D73">
              <w:rPr>
                <w:webHidden/>
              </w:rPr>
              <w:fldChar w:fldCharType="separate"/>
            </w:r>
            <w:r w:rsidR="00A36C55">
              <w:rPr>
                <w:webHidden/>
              </w:rPr>
              <w:t>49</w:t>
            </w:r>
            <w:r w:rsidR="00402D73">
              <w:rPr>
                <w:webHidden/>
              </w:rPr>
              <w:fldChar w:fldCharType="end"/>
            </w:r>
          </w:hyperlink>
        </w:p>
        <w:p w:rsidR="00402D73" w:rsidRDefault="009F57E4">
          <w:pPr>
            <w:pStyle w:val="TOC1"/>
            <w:tabs>
              <w:tab w:val="left" w:pos="960"/>
            </w:tabs>
            <w:rPr>
              <w:rFonts w:asciiTheme="minorHAnsi" w:eastAsiaTheme="minorEastAsia" w:hAnsiTheme="minorHAnsi" w:cstheme="minorBidi"/>
              <w:b w:val="0"/>
              <w:i w:val="0"/>
              <w:color w:val="auto"/>
              <w:sz w:val="22"/>
              <w:lang w:val="sr-Latn-RS" w:eastAsia="sr-Latn-RS"/>
            </w:rPr>
          </w:pPr>
          <w:hyperlink w:anchor="_Toc445975045" w:history="1">
            <w:r w:rsidR="00402D73" w:rsidRPr="007204DF">
              <w:rPr>
                <w:rStyle w:val="Hyperlink"/>
              </w:rPr>
              <w:t>6.11.1.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Трошкови спровођења реосигурарња ТСР</w:t>
            </w:r>
            <w:r w:rsidR="00402D73">
              <w:rPr>
                <w:webHidden/>
              </w:rPr>
              <w:tab/>
            </w:r>
            <w:r w:rsidR="00402D73">
              <w:rPr>
                <w:webHidden/>
              </w:rPr>
              <w:fldChar w:fldCharType="begin"/>
            </w:r>
            <w:r w:rsidR="00402D73">
              <w:rPr>
                <w:webHidden/>
              </w:rPr>
              <w:instrText xml:space="preserve"> PAGEREF _Toc445975045 \h </w:instrText>
            </w:r>
            <w:r w:rsidR="00402D73">
              <w:rPr>
                <w:webHidden/>
              </w:rPr>
            </w:r>
            <w:r w:rsidR="00402D73">
              <w:rPr>
                <w:webHidden/>
              </w:rPr>
              <w:fldChar w:fldCharType="separate"/>
            </w:r>
            <w:r w:rsidR="00A36C55">
              <w:rPr>
                <w:webHidden/>
              </w:rPr>
              <w:t>57</w:t>
            </w:r>
            <w:r w:rsidR="00402D73">
              <w:rPr>
                <w:webHidden/>
              </w:rPr>
              <w:fldChar w:fldCharType="end"/>
            </w:r>
          </w:hyperlink>
        </w:p>
        <w:p w:rsidR="00402D73" w:rsidRDefault="009F57E4">
          <w:pPr>
            <w:pStyle w:val="TOC1"/>
            <w:tabs>
              <w:tab w:val="left" w:pos="960"/>
            </w:tabs>
            <w:rPr>
              <w:rFonts w:asciiTheme="minorHAnsi" w:eastAsiaTheme="minorEastAsia" w:hAnsiTheme="minorHAnsi" w:cstheme="minorBidi"/>
              <w:b w:val="0"/>
              <w:i w:val="0"/>
              <w:color w:val="auto"/>
              <w:sz w:val="22"/>
              <w:lang w:val="sr-Latn-RS" w:eastAsia="sr-Latn-RS"/>
            </w:rPr>
          </w:pPr>
          <w:hyperlink w:anchor="_Toc445975046" w:history="1">
            <w:r w:rsidR="00402D73" w:rsidRPr="007204DF">
              <w:rPr>
                <w:rStyle w:val="Hyperlink"/>
              </w:rPr>
              <w:t>6.11.2.</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Трошкови  извиђаја ликвидације и процене штета</w:t>
            </w:r>
            <w:r w:rsidR="00402D73">
              <w:rPr>
                <w:webHidden/>
              </w:rPr>
              <w:tab/>
            </w:r>
            <w:r w:rsidR="00402D73">
              <w:rPr>
                <w:webHidden/>
              </w:rPr>
              <w:fldChar w:fldCharType="begin"/>
            </w:r>
            <w:r w:rsidR="00402D73">
              <w:rPr>
                <w:webHidden/>
              </w:rPr>
              <w:instrText xml:space="preserve"> PAGEREF _Toc445975046 \h </w:instrText>
            </w:r>
            <w:r w:rsidR="00402D73">
              <w:rPr>
                <w:webHidden/>
              </w:rPr>
            </w:r>
            <w:r w:rsidR="00402D73">
              <w:rPr>
                <w:webHidden/>
              </w:rPr>
              <w:fldChar w:fldCharType="separate"/>
            </w:r>
            <w:r w:rsidR="00A36C55">
              <w:rPr>
                <w:webHidden/>
              </w:rPr>
              <w:t>57</w:t>
            </w:r>
            <w:r w:rsidR="00402D73">
              <w:rPr>
                <w:webHidden/>
              </w:rPr>
              <w:fldChar w:fldCharType="end"/>
            </w:r>
          </w:hyperlink>
        </w:p>
        <w:p w:rsidR="00402D73" w:rsidRDefault="009F57E4">
          <w:pPr>
            <w:pStyle w:val="TOC1"/>
            <w:tabs>
              <w:tab w:val="left" w:pos="960"/>
            </w:tabs>
            <w:rPr>
              <w:rFonts w:asciiTheme="minorHAnsi" w:eastAsiaTheme="minorEastAsia" w:hAnsiTheme="minorHAnsi" w:cstheme="minorBidi"/>
              <w:b w:val="0"/>
              <w:i w:val="0"/>
              <w:color w:val="auto"/>
              <w:sz w:val="22"/>
              <w:lang w:val="sr-Latn-RS" w:eastAsia="sr-Latn-RS"/>
            </w:rPr>
          </w:pPr>
          <w:hyperlink w:anchor="_Toc445975047" w:history="1">
            <w:r w:rsidR="00402D73" w:rsidRPr="007204DF">
              <w:rPr>
                <w:rStyle w:val="Hyperlink"/>
              </w:rPr>
              <w:t>6.11.3.</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Остали Трошкови  од инвестиционе активности</w:t>
            </w:r>
            <w:r w:rsidR="00402D73">
              <w:rPr>
                <w:webHidden/>
              </w:rPr>
              <w:tab/>
            </w:r>
            <w:r w:rsidR="00402D73">
              <w:rPr>
                <w:webHidden/>
              </w:rPr>
              <w:fldChar w:fldCharType="begin"/>
            </w:r>
            <w:r w:rsidR="00402D73">
              <w:rPr>
                <w:webHidden/>
              </w:rPr>
              <w:instrText xml:space="preserve"> PAGEREF _Toc445975047 \h </w:instrText>
            </w:r>
            <w:r w:rsidR="00402D73">
              <w:rPr>
                <w:webHidden/>
              </w:rPr>
            </w:r>
            <w:r w:rsidR="00402D73">
              <w:rPr>
                <w:webHidden/>
              </w:rPr>
              <w:fldChar w:fldCharType="separate"/>
            </w:r>
            <w:r w:rsidR="00A36C55">
              <w:rPr>
                <w:webHidden/>
              </w:rPr>
              <w:t>57</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48" w:history="1">
            <w:r w:rsidR="00402D73" w:rsidRPr="007204DF">
              <w:rPr>
                <w:rStyle w:val="Hyperlink"/>
              </w:rPr>
              <w:t>7.</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ТРАНСАКЦИЈЕ СА ПОВЕЗАНИМ ПРАВНИМ ЛИЦИМА</w:t>
            </w:r>
            <w:r w:rsidR="00402D73">
              <w:rPr>
                <w:webHidden/>
              </w:rPr>
              <w:tab/>
            </w:r>
            <w:r w:rsidR="00402D73">
              <w:rPr>
                <w:webHidden/>
              </w:rPr>
              <w:fldChar w:fldCharType="begin"/>
            </w:r>
            <w:r w:rsidR="00402D73">
              <w:rPr>
                <w:webHidden/>
              </w:rPr>
              <w:instrText xml:space="preserve"> PAGEREF _Toc445975048 \h </w:instrText>
            </w:r>
            <w:r w:rsidR="00402D73">
              <w:rPr>
                <w:webHidden/>
              </w:rPr>
            </w:r>
            <w:r w:rsidR="00402D73">
              <w:rPr>
                <w:webHidden/>
              </w:rPr>
              <w:fldChar w:fldCharType="separate"/>
            </w:r>
            <w:r w:rsidR="00A36C55">
              <w:rPr>
                <w:webHidden/>
              </w:rPr>
              <w:t>57</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49" w:history="1">
            <w:r w:rsidR="00402D73" w:rsidRPr="007204DF">
              <w:rPr>
                <w:rStyle w:val="Hyperlink"/>
              </w:rPr>
              <w:t>8.</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ОЦЕНА РИЗИКА</w:t>
            </w:r>
            <w:r w:rsidR="00402D73">
              <w:rPr>
                <w:webHidden/>
              </w:rPr>
              <w:tab/>
            </w:r>
            <w:r w:rsidR="00402D73">
              <w:rPr>
                <w:webHidden/>
              </w:rPr>
              <w:fldChar w:fldCharType="begin"/>
            </w:r>
            <w:r w:rsidR="00402D73">
              <w:rPr>
                <w:webHidden/>
              </w:rPr>
              <w:instrText xml:space="preserve"> PAGEREF _Toc445975049 \h </w:instrText>
            </w:r>
            <w:r w:rsidR="00402D73">
              <w:rPr>
                <w:webHidden/>
              </w:rPr>
            </w:r>
            <w:r w:rsidR="00402D73">
              <w:rPr>
                <w:webHidden/>
              </w:rPr>
              <w:fldChar w:fldCharType="separate"/>
            </w:r>
            <w:r w:rsidR="00A36C55">
              <w:rPr>
                <w:webHidden/>
              </w:rPr>
              <w:t>59</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50" w:history="1">
            <w:r w:rsidR="00402D73" w:rsidRPr="007204DF">
              <w:rPr>
                <w:rStyle w:val="Hyperlink"/>
              </w:rPr>
              <w:t>9.</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ВАЖНИЈИ ПОСЛОВНИ ДОГАЂАЈИ КОЈИ СУ НАСТУПИЛИ НАКОН ПРОТЕКА ПОСЛОВНЕ 2015. ГОДИНЕ</w:t>
            </w:r>
            <w:r w:rsidR="00402D73">
              <w:rPr>
                <w:webHidden/>
              </w:rPr>
              <w:tab/>
            </w:r>
            <w:r w:rsidR="00402D73">
              <w:rPr>
                <w:webHidden/>
              </w:rPr>
              <w:fldChar w:fldCharType="begin"/>
            </w:r>
            <w:r w:rsidR="00402D73">
              <w:rPr>
                <w:webHidden/>
              </w:rPr>
              <w:instrText xml:space="preserve"> PAGEREF _Toc445975050 \h </w:instrText>
            </w:r>
            <w:r w:rsidR="00402D73">
              <w:rPr>
                <w:webHidden/>
              </w:rPr>
            </w:r>
            <w:r w:rsidR="00402D73">
              <w:rPr>
                <w:webHidden/>
              </w:rPr>
              <w:fldChar w:fldCharType="separate"/>
            </w:r>
            <w:r w:rsidR="00A36C55">
              <w:rPr>
                <w:webHidden/>
              </w:rPr>
              <w:t>64</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51" w:history="1">
            <w:r w:rsidR="00402D73" w:rsidRPr="007204DF">
              <w:rPr>
                <w:rStyle w:val="Hyperlink"/>
              </w:rPr>
              <w:t>10.</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ОЧЕКИВАНИ РАЗВОЈ, ПЛАН И ПОСЛОВНА ПОЛИТИКА ДРУШТВА У НАРЕДНОМ ПЕРИОДУ И ГЛАВНИ РИЗИЦИ И ПРЕТЊЕ КОЈИМА ЈЕ ПОСЛОВАЊЕ ДРУШТВА ИЗЛОЖЕНО</w:t>
            </w:r>
            <w:r w:rsidR="00402D73">
              <w:rPr>
                <w:webHidden/>
              </w:rPr>
              <w:tab/>
            </w:r>
            <w:r w:rsidR="00402D73">
              <w:rPr>
                <w:webHidden/>
              </w:rPr>
              <w:fldChar w:fldCharType="begin"/>
            </w:r>
            <w:r w:rsidR="00402D73">
              <w:rPr>
                <w:webHidden/>
              </w:rPr>
              <w:instrText xml:space="preserve"> PAGEREF _Toc445975051 \h </w:instrText>
            </w:r>
            <w:r w:rsidR="00402D73">
              <w:rPr>
                <w:webHidden/>
              </w:rPr>
            </w:r>
            <w:r w:rsidR="00402D73">
              <w:rPr>
                <w:webHidden/>
              </w:rPr>
              <w:fldChar w:fldCharType="separate"/>
            </w:r>
            <w:r w:rsidR="00A36C55">
              <w:rPr>
                <w:webHidden/>
              </w:rPr>
              <w:t>64</w:t>
            </w:r>
            <w:r w:rsidR="00402D73">
              <w:rPr>
                <w:webHidden/>
              </w:rPr>
              <w:fldChar w:fldCharType="end"/>
            </w:r>
          </w:hyperlink>
        </w:p>
        <w:p w:rsidR="00402D73" w:rsidRDefault="009F57E4">
          <w:pPr>
            <w:pStyle w:val="TOC1"/>
            <w:rPr>
              <w:rFonts w:asciiTheme="minorHAnsi" w:eastAsiaTheme="minorEastAsia" w:hAnsiTheme="minorHAnsi" w:cstheme="minorBidi"/>
              <w:b w:val="0"/>
              <w:i w:val="0"/>
              <w:color w:val="auto"/>
              <w:sz w:val="22"/>
              <w:lang w:val="sr-Latn-RS" w:eastAsia="sr-Latn-RS"/>
            </w:rPr>
          </w:pPr>
          <w:hyperlink w:anchor="_Toc445975052" w:history="1">
            <w:r w:rsidR="00402D73" w:rsidRPr="007204DF">
              <w:rPr>
                <w:rStyle w:val="Hyperlink"/>
              </w:rPr>
              <w:t>11.</w:t>
            </w:r>
            <w:r w:rsidR="00402D73">
              <w:rPr>
                <w:rFonts w:asciiTheme="minorHAnsi" w:eastAsiaTheme="minorEastAsia" w:hAnsiTheme="minorHAnsi" w:cstheme="minorBidi"/>
                <w:b w:val="0"/>
                <w:i w:val="0"/>
                <w:color w:val="auto"/>
                <w:sz w:val="22"/>
                <w:lang w:val="sr-Latn-RS" w:eastAsia="sr-Latn-RS"/>
              </w:rPr>
              <w:tab/>
            </w:r>
            <w:r w:rsidR="00402D73" w:rsidRPr="007204DF">
              <w:rPr>
                <w:rStyle w:val="Hyperlink"/>
              </w:rPr>
              <w:t>ЗАКЉУЧАК</w:t>
            </w:r>
            <w:r w:rsidR="00402D73">
              <w:rPr>
                <w:webHidden/>
              </w:rPr>
              <w:tab/>
            </w:r>
            <w:r w:rsidR="00402D73">
              <w:rPr>
                <w:webHidden/>
              </w:rPr>
              <w:fldChar w:fldCharType="begin"/>
            </w:r>
            <w:r w:rsidR="00402D73">
              <w:rPr>
                <w:webHidden/>
              </w:rPr>
              <w:instrText xml:space="preserve"> PAGEREF _Toc445975052 \h </w:instrText>
            </w:r>
            <w:r w:rsidR="00402D73">
              <w:rPr>
                <w:webHidden/>
              </w:rPr>
            </w:r>
            <w:r w:rsidR="00402D73">
              <w:rPr>
                <w:webHidden/>
              </w:rPr>
              <w:fldChar w:fldCharType="separate"/>
            </w:r>
            <w:r w:rsidR="00A36C55">
              <w:rPr>
                <w:webHidden/>
              </w:rPr>
              <w:t>65</w:t>
            </w:r>
            <w:r w:rsidR="00402D73">
              <w:rPr>
                <w:webHidden/>
              </w:rPr>
              <w:fldChar w:fldCharType="end"/>
            </w:r>
          </w:hyperlink>
        </w:p>
        <w:p w:rsidR="008E537C" w:rsidRPr="00BF3CDE" w:rsidRDefault="00292256" w:rsidP="007438DB">
          <w:pPr>
            <w:pStyle w:val="TOC1"/>
            <w:rPr>
              <w:highlight w:val="yellow"/>
              <w:lang w:val="sr-Cyrl-CS"/>
            </w:rPr>
          </w:pPr>
          <w:r w:rsidRPr="00BF3CDE">
            <w:rPr>
              <w:bCs/>
              <w:color w:val="C0504D" w:themeColor="accent2"/>
              <w:sz w:val="22"/>
              <w:highlight w:val="yellow"/>
              <w:lang w:val="sr-Cyrl-CS"/>
            </w:rPr>
            <w:fldChar w:fldCharType="end"/>
          </w:r>
        </w:p>
      </w:sdtContent>
    </w:sdt>
    <w:p w:rsidR="0090550B" w:rsidRPr="00BF3CDE" w:rsidRDefault="0090550B" w:rsidP="00860C32">
      <w:pPr>
        <w:pStyle w:val="Heading1"/>
        <w:numPr>
          <w:ilvl w:val="0"/>
          <w:numId w:val="0"/>
        </w:numPr>
        <w:rPr>
          <w:highlight w:val="yellow"/>
        </w:rPr>
      </w:pPr>
    </w:p>
    <w:p w:rsidR="0090550B" w:rsidRDefault="0090550B" w:rsidP="0090550B">
      <w:pPr>
        <w:rPr>
          <w:noProof/>
          <w:highlight w:val="yellow"/>
          <w:lang w:val="sr-Cyrl-CS" w:eastAsia="ar-SA"/>
        </w:rPr>
      </w:pPr>
    </w:p>
    <w:p w:rsidR="00D20867" w:rsidRDefault="00D20867" w:rsidP="0090550B">
      <w:pPr>
        <w:rPr>
          <w:noProof/>
          <w:highlight w:val="yellow"/>
          <w:lang w:val="sr-Latn-RS" w:eastAsia="ar-SA"/>
        </w:rPr>
      </w:pPr>
    </w:p>
    <w:p w:rsidR="002C10E6" w:rsidRDefault="002C10E6" w:rsidP="0090550B">
      <w:pPr>
        <w:rPr>
          <w:noProof/>
          <w:highlight w:val="yellow"/>
          <w:lang w:val="sr-Cyrl-RS" w:eastAsia="ar-SA"/>
        </w:rPr>
      </w:pPr>
    </w:p>
    <w:p w:rsidR="004D1716" w:rsidRDefault="004D1716" w:rsidP="0090550B">
      <w:pPr>
        <w:rPr>
          <w:noProof/>
          <w:highlight w:val="yellow"/>
          <w:lang w:val="sr-Cyrl-RS" w:eastAsia="ar-SA"/>
        </w:rPr>
      </w:pPr>
    </w:p>
    <w:p w:rsidR="004D1716" w:rsidRDefault="004D1716" w:rsidP="0090550B">
      <w:pPr>
        <w:rPr>
          <w:noProof/>
          <w:highlight w:val="yellow"/>
          <w:lang w:val="sr-Cyrl-RS" w:eastAsia="ar-SA"/>
        </w:rPr>
      </w:pPr>
    </w:p>
    <w:p w:rsidR="004D1716" w:rsidRDefault="004D1716" w:rsidP="0090550B">
      <w:pPr>
        <w:rPr>
          <w:noProof/>
          <w:highlight w:val="yellow"/>
          <w:lang w:val="sr-Cyrl-RS" w:eastAsia="ar-SA"/>
        </w:rPr>
      </w:pPr>
    </w:p>
    <w:p w:rsidR="004D1716" w:rsidRDefault="004D1716" w:rsidP="0090550B">
      <w:pPr>
        <w:rPr>
          <w:noProof/>
          <w:highlight w:val="yellow"/>
          <w:lang w:val="sr-Cyrl-RS" w:eastAsia="ar-SA"/>
        </w:rPr>
      </w:pPr>
    </w:p>
    <w:p w:rsidR="004D1716" w:rsidRDefault="004D1716" w:rsidP="0090550B">
      <w:pPr>
        <w:rPr>
          <w:noProof/>
          <w:highlight w:val="yellow"/>
          <w:lang w:val="sr-Cyrl-RS" w:eastAsia="ar-SA"/>
        </w:rPr>
      </w:pPr>
    </w:p>
    <w:p w:rsidR="004D1716" w:rsidRDefault="004D1716" w:rsidP="0090550B">
      <w:pPr>
        <w:rPr>
          <w:noProof/>
          <w:highlight w:val="yellow"/>
          <w:lang w:val="sr-Cyrl-RS" w:eastAsia="ar-SA"/>
        </w:rPr>
      </w:pPr>
    </w:p>
    <w:p w:rsidR="004D1716" w:rsidRDefault="004D1716" w:rsidP="0090550B">
      <w:pPr>
        <w:rPr>
          <w:noProof/>
          <w:highlight w:val="yellow"/>
          <w:lang w:val="sr-Cyrl-RS" w:eastAsia="ar-SA"/>
        </w:rPr>
      </w:pPr>
    </w:p>
    <w:p w:rsidR="004D1716" w:rsidRDefault="004D1716" w:rsidP="0090550B">
      <w:pPr>
        <w:rPr>
          <w:noProof/>
          <w:highlight w:val="yellow"/>
          <w:lang w:val="sr-Cyrl-RS" w:eastAsia="ar-SA"/>
        </w:rPr>
      </w:pPr>
    </w:p>
    <w:p w:rsidR="004D1716" w:rsidRDefault="004D1716" w:rsidP="0090550B">
      <w:pPr>
        <w:rPr>
          <w:noProof/>
          <w:highlight w:val="yellow"/>
          <w:lang w:val="sr-Cyrl-RS" w:eastAsia="ar-SA"/>
        </w:rPr>
      </w:pPr>
    </w:p>
    <w:p w:rsidR="004D1716" w:rsidRPr="004D1716" w:rsidRDefault="004D1716" w:rsidP="0090550B">
      <w:pPr>
        <w:rPr>
          <w:noProof/>
          <w:highlight w:val="yellow"/>
          <w:lang w:val="sr-Cyrl-RS" w:eastAsia="ar-SA"/>
        </w:rPr>
      </w:pPr>
    </w:p>
    <w:p w:rsidR="002C10E6" w:rsidRPr="002C10E6" w:rsidRDefault="002C10E6" w:rsidP="0090550B">
      <w:pPr>
        <w:rPr>
          <w:noProof/>
          <w:highlight w:val="yellow"/>
          <w:lang w:val="sr-Latn-RS" w:eastAsia="ar-SA"/>
        </w:rPr>
      </w:pPr>
    </w:p>
    <w:p w:rsidR="00D20867" w:rsidRDefault="00D20867" w:rsidP="0090550B">
      <w:pPr>
        <w:rPr>
          <w:noProof/>
          <w:highlight w:val="yellow"/>
          <w:lang w:val="sr-Cyrl-CS" w:eastAsia="ar-SA"/>
        </w:rPr>
      </w:pPr>
    </w:p>
    <w:p w:rsidR="00D20867" w:rsidRPr="00BF3CDE" w:rsidRDefault="00D20867" w:rsidP="0090550B">
      <w:pPr>
        <w:rPr>
          <w:noProof/>
          <w:highlight w:val="yellow"/>
          <w:lang w:val="sr-Cyrl-CS" w:eastAsia="ar-SA"/>
        </w:rPr>
      </w:pPr>
    </w:p>
    <w:p w:rsidR="000648E0" w:rsidRPr="00BF3CDE" w:rsidRDefault="000648E0" w:rsidP="0090550B">
      <w:pPr>
        <w:rPr>
          <w:noProof/>
          <w:highlight w:val="yellow"/>
          <w:lang w:val="sr-Cyrl-CS" w:eastAsia="ar-SA"/>
        </w:rPr>
      </w:pPr>
    </w:p>
    <w:p w:rsidR="00C975B4" w:rsidRPr="00BF3CDE" w:rsidRDefault="00C975B4" w:rsidP="0090550B">
      <w:pPr>
        <w:rPr>
          <w:noProof/>
          <w:highlight w:val="yellow"/>
          <w:lang w:val="sr-Cyrl-CS" w:eastAsia="ar-SA"/>
        </w:rPr>
      </w:pPr>
    </w:p>
    <w:p w:rsidR="005353CD" w:rsidRPr="00A6789A" w:rsidRDefault="005353CD" w:rsidP="00860C32">
      <w:pPr>
        <w:pStyle w:val="Heading1"/>
        <w:numPr>
          <w:ilvl w:val="0"/>
          <w:numId w:val="28"/>
        </w:numPr>
      </w:pPr>
      <w:bookmarkStart w:id="2" w:name="_Toc445975010"/>
      <w:r w:rsidRPr="00A6789A">
        <w:t>ОПШТЕ ИНФОРМАЦИЈЕ О ДРУШТВУ</w:t>
      </w:r>
      <w:bookmarkEnd w:id="1"/>
      <w:bookmarkEnd w:id="0"/>
      <w:bookmarkEnd w:id="2"/>
    </w:p>
    <w:p w:rsidR="00B93789" w:rsidRPr="00BF3CDE" w:rsidRDefault="00B93789" w:rsidP="00B93789">
      <w:pPr>
        <w:rPr>
          <w:noProof/>
          <w:highlight w:val="yellow"/>
          <w:lang w:val="sr-Cyrl-CS" w:eastAsia="ar-SA"/>
        </w:rPr>
      </w:pP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Акционарско друштво за реосигурање „Дунав Ре“ (у даљем тексту Друштво) регистровано је у Агенцији за регистрацију привредних субјеката под бројем 43206 дана 22.07.2005. године као акционарско друштво за послове реосигурања.</w:t>
      </w: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Друштво је основано 01.07.1977. године под називом Заједница реосигурања «Дунав Ре».</w:t>
      </w: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 xml:space="preserve">Првог октобра 1990. године извршена је трансформација у деоничко друштво. </w:t>
      </w: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На основу Рeшeња Савeзнoг министарства за финансијe o издавању дoзвoлe за рад бр. 4/1-11-004/97 oд 15.05.1997. гoдинe Друштво јe за oбављањe пoслoва из навeдeнoг рeшeња рeгистрoвано кoд Приврeднoг суда у Бeoграду пoд брoјeм IV-Фи-6153/97 oд 20.06.1997, пoд матичним брoјeм 07046901, штo јe уписанo кoд Рeпубличкoг завoда за статистику Рeпубликe Србијe  Обавeштeњeм o разврставању прeма класификацији дeлатнoсти – извoд из рeгистра брoј: 052-89 oд 29.01.1998. гoдинe.</w:t>
      </w: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Шифра делатности је 6520.</w:t>
      </w: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Порески идентификациони број је 100001327.</w:t>
      </w: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 xml:space="preserve">Лице овлашћено за заступање је директор </w:t>
      </w:r>
      <w:r w:rsidR="00C031DE" w:rsidRPr="00BF3CDE">
        <w:rPr>
          <w:rFonts w:cs="Tahoma"/>
          <w:noProof/>
          <w:sz w:val="20"/>
          <w:szCs w:val="20"/>
          <w:lang w:val="sr-Cyrl-CS"/>
        </w:rPr>
        <w:t>Зорана Пејчић</w:t>
      </w:r>
      <w:r w:rsidRPr="00BF3CDE">
        <w:rPr>
          <w:rFonts w:cs="Tahoma"/>
          <w:noProof/>
          <w:sz w:val="20"/>
          <w:szCs w:val="20"/>
          <w:lang w:val="sr-Cyrl-CS"/>
        </w:rPr>
        <w:t>.</w:t>
      </w: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У току 2005. године извршено је усклађивања Статута Друштва са Законом о осигурању, тако да је дошло до промене у регистрацији назива Друштва у „Дунав Ре“ а.д.о.</w:t>
      </w:r>
    </w:p>
    <w:p w:rsidR="00B93789" w:rsidRPr="00BF3CDE" w:rsidRDefault="00B93789" w:rsidP="00B93789">
      <w:pPr>
        <w:spacing w:after="100"/>
        <w:ind w:firstLine="567"/>
        <w:jc w:val="both"/>
        <w:rPr>
          <w:rFonts w:cs="Tahoma"/>
          <w:noProof/>
          <w:sz w:val="20"/>
          <w:szCs w:val="20"/>
          <w:lang w:val="sr-Cyrl-CS"/>
        </w:rPr>
      </w:pPr>
      <w:r w:rsidRPr="00BF3CDE">
        <w:rPr>
          <w:rFonts w:cs="Tahoma"/>
          <w:noProof/>
          <w:sz w:val="20"/>
          <w:szCs w:val="20"/>
          <w:lang w:val="sr-Cyrl-CS"/>
        </w:rPr>
        <w:t>Друштво је дана 28.06.2012. године усвојило измене и допуне Статута, чиме је исти усаглашен са новим Законом о привредним друштвима.</w:t>
      </w:r>
    </w:p>
    <w:p w:rsidR="008D5297" w:rsidRPr="00BF3CDE" w:rsidRDefault="00F9302D" w:rsidP="008F0541">
      <w:pPr>
        <w:spacing w:after="100"/>
        <w:ind w:firstLine="567"/>
        <w:jc w:val="both"/>
        <w:rPr>
          <w:rFonts w:cs="Tahoma"/>
          <w:noProof/>
          <w:sz w:val="20"/>
          <w:szCs w:val="20"/>
          <w:lang w:val="sr-Cyrl-CS"/>
        </w:rPr>
      </w:pPr>
      <w:r w:rsidRPr="00BF3CDE">
        <w:rPr>
          <w:rFonts w:cs="Tahoma"/>
          <w:noProof/>
          <w:sz w:val="20"/>
          <w:szCs w:val="20"/>
          <w:lang w:val="sr-Cyrl-CS"/>
        </w:rPr>
        <w:t>Унутра</w:t>
      </w:r>
      <w:r w:rsidR="00F555FA" w:rsidRPr="00BF3CDE">
        <w:rPr>
          <w:rFonts w:cs="Tahoma"/>
          <w:noProof/>
          <w:sz w:val="20"/>
          <w:szCs w:val="20"/>
          <w:lang w:val="sr-Cyrl-CS"/>
        </w:rPr>
        <w:t xml:space="preserve">шња организација </w:t>
      </w:r>
      <w:r w:rsidR="008D5297" w:rsidRPr="00BF3CDE">
        <w:rPr>
          <w:rFonts w:cs="Tahoma"/>
          <w:noProof/>
          <w:sz w:val="20"/>
          <w:szCs w:val="20"/>
          <w:lang w:val="sr-Cyrl-CS"/>
        </w:rPr>
        <w:t xml:space="preserve">и управљање </w:t>
      </w:r>
      <w:r w:rsidR="00F555FA" w:rsidRPr="00BF3CDE">
        <w:rPr>
          <w:rFonts w:cs="Tahoma"/>
          <w:noProof/>
          <w:sz w:val="20"/>
          <w:szCs w:val="20"/>
          <w:lang w:val="sr-Cyrl-CS"/>
        </w:rPr>
        <w:t xml:space="preserve">уређени су </w:t>
      </w:r>
      <w:r w:rsidR="008D5297" w:rsidRPr="00BF3CDE">
        <w:rPr>
          <w:rFonts w:cs="Tahoma"/>
          <w:noProof/>
          <w:sz w:val="20"/>
          <w:szCs w:val="20"/>
          <w:lang w:val="sr-Cyrl-CS"/>
        </w:rPr>
        <w:t>Статутом Друштва</w:t>
      </w:r>
      <w:r w:rsidR="00F555FA" w:rsidRPr="00BF3CDE">
        <w:rPr>
          <w:rFonts w:cs="Tahoma"/>
          <w:noProof/>
          <w:sz w:val="20"/>
          <w:szCs w:val="20"/>
          <w:lang w:val="sr-Cyrl-CS"/>
        </w:rPr>
        <w:t xml:space="preserve"> и другим општима актима</w:t>
      </w:r>
      <w:r w:rsidR="008D5297" w:rsidRPr="00BF3CDE">
        <w:rPr>
          <w:rFonts w:cs="Tahoma"/>
          <w:noProof/>
          <w:sz w:val="20"/>
          <w:szCs w:val="20"/>
          <w:lang w:val="sr-Cyrl-CS"/>
        </w:rPr>
        <w:t>.</w:t>
      </w:r>
    </w:p>
    <w:p w:rsidR="008D5297" w:rsidRPr="00BF3CDE" w:rsidRDefault="008D5297" w:rsidP="002A45ED">
      <w:pPr>
        <w:spacing w:afterLines="50" w:after="120"/>
        <w:ind w:firstLine="567"/>
        <w:rPr>
          <w:rFonts w:cs="Tahoma"/>
          <w:noProof/>
          <w:sz w:val="20"/>
          <w:szCs w:val="20"/>
          <w:lang w:val="sr-Cyrl-CS"/>
        </w:rPr>
      </w:pPr>
      <w:r w:rsidRPr="00BF3CDE">
        <w:rPr>
          <w:rFonts w:cs="Tahoma"/>
          <w:noProof/>
          <w:sz w:val="20"/>
          <w:szCs w:val="20"/>
          <w:lang w:val="sr-Cyrl-CS"/>
        </w:rPr>
        <w:t>Органи</w:t>
      </w:r>
      <w:r w:rsidR="00B93789" w:rsidRPr="00BF3CDE">
        <w:rPr>
          <w:rFonts w:cs="Tahoma"/>
          <w:noProof/>
          <w:sz w:val="20"/>
          <w:szCs w:val="20"/>
          <w:lang w:val="sr-Cyrl-CS"/>
        </w:rPr>
        <w:t xml:space="preserve"> управе</w:t>
      </w:r>
      <w:r w:rsidRPr="00BF3CDE">
        <w:rPr>
          <w:rFonts w:cs="Tahoma"/>
          <w:noProof/>
          <w:sz w:val="20"/>
          <w:szCs w:val="20"/>
          <w:lang w:val="sr-Cyrl-CS"/>
        </w:rPr>
        <w:t xml:space="preserve"> Друштва су: </w:t>
      </w:r>
    </w:p>
    <w:p w:rsidR="008D5297" w:rsidRPr="00BF3CDE" w:rsidRDefault="008D5297" w:rsidP="00430E71">
      <w:pPr>
        <w:numPr>
          <w:ilvl w:val="0"/>
          <w:numId w:val="3"/>
        </w:numPr>
        <w:spacing w:after="100" w:afterAutospacing="1" w:line="240" w:lineRule="auto"/>
        <w:rPr>
          <w:rFonts w:cs="Tahoma"/>
          <w:noProof/>
          <w:sz w:val="20"/>
          <w:szCs w:val="20"/>
          <w:lang w:val="sr-Cyrl-CS"/>
        </w:rPr>
      </w:pPr>
      <w:r w:rsidRPr="00BF3CDE">
        <w:rPr>
          <w:rFonts w:cs="Tahoma"/>
          <w:noProof/>
          <w:sz w:val="20"/>
          <w:szCs w:val="20"/>
          <w:lang w:val="sr-Cyrl-CS"/>
        </w:rPr>
        <w:t xml:space="preserve">Скупштина, </w:t>
      </w:r>
    </w:p>
    <w:p w:rsidR="008D5297" w:rsidRPr="00BF3CDE" w:rsidRDefault="00B93789" w:rsidP="00430E71">
      <w:pPr>
        <w:numPr>
          <w:ilvl w:val="0"/>
          <w:numId w:val="3"/>
        </w:numPr>
        <w:spacing w:after="100" w:afterAutospacing="1" w:line="240" w:lineRule="auto"/>
        <w:rPr>
          <w:rFonts w:cs="Tahoma"/>
          <w:noProof/>
          <w:sz w:val="20"/>
          <w:szCs w:val="20"/>
          <w:lang w:val="sr-Cyrl-CS"/>
        </w:rPr>
      </w:pPr>
      <w:r w:rsidRPr="00BF3CDE">
        <w:rPr>
          <w:rFonts w:cs="Tahoma"/>
          <w:noProof/>
          <w:sz w:val="20"/>
          <w:szCs w:val="20"/>
          <w:lang w:val="sr-Cyrl-CS"/>
        </w:rPr>
        <w:t xml:space="preserve">Надзорни </w:t>
      </w:r>
      <w:r w:rsidR="008D5297" w:rsidRPr="00BF3CDE">
        <w:rPr>
          <w:rFonts w:cs="Tahoma"/>
          <w:noProof/>
          <w:sz w:val="20"/>
          <w:szCs w:val="20"/>
          <w:lang w:val="sr-Cyrl-CS"/>
        </w:rPr>
        <w:t xml:space="preserve">одбор, </w:t>
      </w:r>
    </w:p>
    <w:p w:rsidR="008D5297" w:rsidRPr="00BF3CDE" w:rsidRDefault="008D5297" w:rsidP="00430E71">
      <w:pPr>
        <w:numPr>
          <w:ilvl w:val="0"/>
          <w:numId w:val="3"/>
        </w:numPr>
        <w:spacing w:after="100" w:afterAutospacing="1" w:line="240" w:lineRule="auto"/>
        <w:rPr>
          <w:rFonts w:cs="Tahoma"/>
          <w:noProof/>
          <w:sz w:val="20"/>
          <w:szCs w:val="20"/>
          <w:lang w:val="sr-Cyrl-CS"/>
        </w:rPr>
      </w:pPr>
      <w:r w:rsidRPr="00BF3CDE">
        <w:rPr>
          <w:rFonts w:cs="Tahoma"/>
          <w:noProof/>
          <w:sz w:val="20"/>
          <w:szCs w:val="20"/>
          <w:lang w:val="sr-Cyrl-CS"/>
        </w:rPr>
        <w:t xml:space="preserve">Извршни одбор, </w:t>
      </w:r>
    </w:p>
    <w:p w:rsidR="002A54DA" w:rsidRPr="00BF3CDE" w:rsidRDefault="00D27ABB" w:rsidP="002A54DA">
      <w:pPr>
        <w:spacing w:after="100" w:afterAutospacing="1" w:line="240" w:lineRule="auto"/>
        <w:rPr>
          <w:rStyle w:val="IntenseEmphasis"/>
          <w:noProof/>
          <w:lang w:val="sr-Cyrl-CS"/>
        </w:rPr>
      </w:pPr>
      <w:r w:rsidRPr="00BF3CDE">
        <w:rPr>
          <w:rStyle w:val="IntenseEmphasis"/>
          <w:noProof/>
          <w:lang w:val="sr-Cyrl-CS"/>
        </w:rPr>
        <w:t xml:space="preserve">Чланови </w:t>
      </w:r>
      <w:r w:rsidR="00794AEC" w:rsidRPr="00BF3CDE">
        <w:rPr>
          <w:rStyle w:val="IntenseEmphasis"/>
          <w:noProof/>
          <w:lang w:val="sr-Cyrl-CS"/>
        </w:rPr>
        <w:t>н</w:t>
      </w:r>
      <w:r w:rsidR="00B93789" w:rsidRPr="00BF3CDE">
        <w:rPr>
          <w:rStyle w:val="IntenseEmphasis"/>
          <w:noProof/>
          <w:lang w:val="sr-Cyrl-CS"/>
        </w:rPr>
        <w:t xml:space="preserve">адзорног </w:t>
      </w:r>
      <w:r w:rsidR="002A54DA" w:rsidRPr="00BF3CDE">
        <w:rPr>
          <w:rStyle w:val="IntenseEmphasis"/>
          <w:noProof/>
          <w:lang w:val="sr-Cyrl-CS"/>
        </w:rPr>
        <w:t xml:space="preserve"> одбора</w:t>
      </w:r>
    </w:p>
    <w:p w:rsidR="002A54DA" w:rsidRPr="002C10E6" w:rsidRDefault="0028380C" w:rsidP="00430E71">
      <w:pPr>
        <w:numPr>
          <w:ilvl w:val="0"/>
          <w:numId w:val="4"/>
        </w:numPr>
        <w:spacing w:after="0" w:line="240" w:lineRule="auto"/>
        <w:jc w:val="both"/>
        <w:rPr>
          <w:rFonts w:cs="Tahoma"/>
          <w:noProof/>
          <w:sz w:val="20"/>
          <w:szCs w:val="20"/>
          <w:lang w:val="sr-Cyrl-CS"/>
        </w:rPr>
      </w:pPr>
      <w:r w:rsidRPr="002C10E6">
        <w:rPr>
          <w:rFonts w:cs="Tahoma"/>
          <w:noProof/>
          <w:sz w:val="20"/>
          <w:szCs w:val="20"/>
          <w:lang w:val="sr-Cyrl-CS"/>
        </w:rPr>
        <w:t>Данијела Нед</w:t>
      </w:r>
      <w:r w:rsidR="006C0D6C" w:rsidRPr="002C10E6">
        <w:rPr>
          <w:rFonts w:cs="Tahoma"/>
          <w:noProof/>
          <w:sz w:val="20"/>
          <w:szCs w:val="20"/>
          <w:lang w:val="sr-Cyrl-CS"/>
        </w:rPr>
        <w:t>љ</w:t>
      </w:r>
      <w:r w:rsidRPr="002C10E6">
        <w:rPr>
          <w:rFonts w:cs="Tahoma"/>
          <w:noProof/>
          <w:sz w:val="20"/>
          <w:szCs w:val="20"/>
          <w:lang w:val="sr-Cyrl-CS"/>
        </w:rPr>
        <w:t>ковић</w:t>
      </w:r>
      <w:r w:rsidR="008C2B46" w:rsidRPr="002C10E6">
        <w:rPr>
          <w:rFonts w:cs="Tahoma"/>
          <w:noProof/>
          <w:sz w:val="20"/>
          <w:szCs w:val="20"/>
          <w:lang w:val="sr-Cyrl-CS"/>
        </w:rPr>
        <w:t xml:space="preserve"> (Компанија Дунав осигурање), </w:t>
      </w:r>
      <w:r w:rsidRPr="002C10E6">
        <w:rPr>
          <w:rFonts w:cs="Tahoma"/>
          <w:noProof/>
          <w:sz w:val="20"/>
          <w:szCs w:val="20"/>
          <w:lang w:val="sr-Cyrl-CS"/>
        </w:rPr>
        <w:t>председник</w:t>
      </w:r>
    </w:p>
    <w:p w:rsidR="002A54DA" w:rsidRPr="002C10E6" w:rsidRDefault="0028380C" w:rsidP="00430E71">
      <w:pPr>
        <w:numPr>
          <w:ilvl w:val="0"/>
          <w:numId w:val="4"/>
        </w:numPr>
        <w:spacing w:after="0" w:line="240" w:lineRule="auto"/>
        <w:jc w:val="both"/>
        <w:rPr>
          <w:rFonts w:cs="Tahoma"/>
          <w:noProof/>
          <w:sz w:val="20"/>
          <w:szCs w:val="20"/>
          <w:lang w:val="sr-Cyrl-CS"/>
        </w:rPr>
      </w:pPr>
      <w:r w:rsidRPr="002C10E6">
        <w:rPr>
          <w:rFonts w:cs="Tahoma"/>
          <w:noProof/>
          <w:sz w:val="20"/>
          <w:szCs w:val="20"/>
          <w:lang w:val="sr-Cyrl-CS"/>
        </w:rPr>
        <w:t>Гордана Милићевић</w:t>
      </w:r>
      <w:r w:rsidR="008C2B46" w:rsidRPr="002C10E6">
        <w:rPr>
          <w:rFonts w:cs="Tahoma"/>
          <w:noProof/>
          <w:sz w:val="20"/>
          <w:szCs w:val="20"/>
          <w:lang w:val="sr-Cyrl-CS"/>
        </w:rPr>
        <w:t xml:space="preserve"> (Сава осигурање), члан</w:t>
      </w:r>
      <w:r w:rsidR="002A54DA" w:rsidRPr="002C10E6">
        <w:rPr>
          <w:rFonts w:cs="Tahoma"/>
          <w:noProof/>
          <w:sz w:val="20"/>
          <w:szCs w:val="20"/>
          <w:lang w:val="sr-Cyrl-CS"/>
        </w:rPr>
        <w:t>.</w:t>
      </w:r>
    </w:p>
    <w:p w:rsidR="0028380C" w:rsidRPr="002C10E6" w:rsidRDefault="0028380C" w:rsidP="0028380C">
      <w:pPr>
        <w:numPr>
          <w:ilvl w:val="0"/>
          <w:numId w:val="4"/>
        </w:numPr>
        <w:spacing w:after="0" w:line="240" w:lineRule="auto"/>
        <w:jc w:val="both"/>
        <w:rPr>
          <w:rFonts w:cs="Tahoma"/>
          <w:noProof/>
          <w:sz w:val="20"/>
          <w:szCs w:val="20"/>
          <w:lang w:val="sr-Cyrl-CS"/>
        </w:rPr>
      </w:pPr>
      <w:r w:rsidRPr="002C10E6">
        <w:rPr>
          <w:rFonts w:cs="Tahoma"/>
          <w:noProof/>
          <w:sz w:val="20"/>
          <w:szCs w:val="20"/>
          <w:lang w:val="sr-Cyrl-CS"/>
        </w:rPr>
        <w:t>Драган Милошевић (Компанија Дунав осигурање), члан</w:t>
      </w:r>
    </w:p>
    <w:p w:rsidR="0028380C" w:rsidRPr="00BF3CDE" w:rsidRDefault="0028380C" w:rsidP="001C373D">
      <w:pPr>
        <w:spacing w:after="0" w:line="240" w:lineRule="auto"/>
        <w:ind w:left="1440"/>
        <w:jc w:val="both"/>
        <w:rPr>
          <w:rFonts w:cs="Tahoma"/>
          <w:noProof/>
          <w:sz w:val="20"/>
          <w:szCs w:val="20"/>
          <w:lang w:val="sr-Cyrl-CS"/>
        </w:rPr>
      </w:pPr>
    </w:p>
    <w:p w:rsidR="008F0541" w:rsidRPr="00BF3CDE" w:rsidRDefault="008F0541" w:rsidP="008F0541">
      <w:pPr>
        <w:spacing w:after="0" w:line="240" w:lineRule="auto"/>
        <w:ind w:left="1080"/>
        <w:jc w:val="both"/>
        <w:rPr>
          <w:rStyle w:val="IntenseEmphasis"/>
          <w:rFonts w:cs="Tahoma"/>
          <w:b w:val="0"/>
          <w:bCs w:val="0"/>
          <w:i w:val="0"/>
          <w:iCs w:val="0"/>
          <w:noProof/>
          <w:color w:val="auto"/>
          <w:sz w:val="6"/>
          <w:szCs w:val="6"/>
          <w:highlight w:val="yellow"/>
          <w:lang w:val="sr-Cyrl-CS"/>
        </w:rPr>
      </w:pPr>
    </w:p>
    <w:p w:rsidR="00003262" w:rsidRPr="00BF3CDE" w:rsidRDefault="00003262" w:rsidP="008F0541">
      <w:pPr>
        <w:spacing w:after="100" w:afterAutospacing="1" w:line="240" w:lineRule="auto"/>
        <w:rPr>
          <w:rStyle w:val="IntenseEmphasis"/>
          <w:noProof/>
          <w:lang w:val="sr-Cyrl-CS"/>
        </w:rPr>
      </w:pPr>
      <w:r w:rsidRPr="00BF3CDE">
        <w:rPr>
          <w:rStyle w:val="IntenseEmphasis"/>
          <w:noProof/>
          <w:lang w:val="sr-Cyrl-CS"/>
        </w:rPr>
        <w:t xml:space="preserve">Чланови </w:t>
      </w:r>
      <w:r w:rsidR="00B93789" w:rsidRPr="00BF3CDE">
        <w:rPr>
          <w:rStyle w:val="IntenseEmphasis"/>
          <w:noProof/>
          <w:lang w:val="sr-Cyrl-CS"/>
        </w:rPr>
        <w:t xml:space="preserve">извршног </w:t>
      </w:r>
      <w:r w:rsidRPr="00BF3CDE">
        <w:rPr>
          <w:rStyle w:val="IntenseEmphasis"/>
          <w:noProof/>
          <w:lang w:val="sr-Cyrl-CS"/>
        </w:rPr>
        <w:t xml:space="preserve"> одбора</w:t>
      </w:r>
    </w:p>
    <w:p w:rsidR="00B93789" w:rsidRPr="002C10E6" w:rsidRDefault="0028380C" w:rsidP="00430E71">
      <w:pPr>
        <w:numPr>
          <w:ilvl w:val="0"/>
          <w:numId w:val="4"/>
        </w:numPr>
        <w:spacing w:after="0" w:line="240" w:lineRule="auto"/>
        <w:jc w:val="both"/>
        <w:rPr>
          <w:rFonts w:cs="Tahoma"/>
          <w:noProof/>
          <w:sz w:val="20"/>
          <w:szCs w:val="20"/>
          <w:lang w:val="sr-Cyrl-CS"/>
        </w:rPr>
      </w:pPr>
      <w:r w:rsidRPr="002C10E6">
        <w:rPr>
          <w:rFonts w:cs="Tahoma"/>
          <w:noProof/>
          <w:sz w:val="20"/>
          <w:szCs w:val="20"/>
          <w:lang w:val="sr-Cyrl-CS"/>
        </w:rPr>
        <w:t>Зорана Пејчић</w:t>
      </w:r>
    </w:p>
    <w:p w:rsidR="00003262" w:rsidRPr="002C10E6" w:rsidRDefault="00A57879" w:rsidP="00430E71">
      <w:pPr>
        <w:numPr>
          <w:ilvl w:val="0"/>
          <w:numId w:val="4"/>
        </w:numPr>
        <w:spacing w:after="0" w:line="240" w:lineRule="auto"/>
        <w:jc w:val="both"/>
        <w:rPr>
          <w:rFonts w:cs="Tahoma"/>
          <w:noProof/>
          <w:sz w:val="20"/>
          <w:szCs w:val="20"/>
          <w:lang w:val="sr-Cyrl-CS"/>
        </w:rPr>
      </w:pPr>
      <w:r w:rsidRPr="002C10E6">
        <w:rPr>
          <w:rFonts w:cs="Tahoma"/>
          <w:noProof/>
          <w:sz w:val="20"/>
          <w:szCs w:val="20"/>
          <w:lang w:val="sr-Cyrl-CS"/>
        </w:rPr>
        <w:t>Весна Катић</w:t>
      </w:r>
      <w:r w:rsidR="00003262" w:rsidRPr="002C10E6">
        <w:rPr>
          <w:rFonts w:cs="Tahoma"/>
          <w:noProof/>
          <w:sz w:val="20"/>
          <w:szCs w:val="20"/>
          <w:lang w:val="sr-Cyrl-CS"/>
        </w:rPr>
        <w:t xml:space="preserve"> </w:t>
      </w:r>
    </w:p>
    <w:p w:rsidR="00613313" w:rsidRPr="002C10E6" w:rsidRDefault="00613313" w:rsidP="00430E71">
      <w:pPr>
        <w:numPr>
          <w:ilvl w:val="0"/>
          <w:numId w:val="4"/>
        </w:numPr>
        <w:spacing w:after="0" w:line="240" w:lineRule="auto"/>
        <w:jc w:val="both"/>
        <w:rPr>
          <w:rFonts w:cs="Tahoma"/>
          <w:noProof/>
          <w:sz w:val="20"/>
          <w:szCs w:val="20"/>
          <w:lang w:val="sr-Cyrl-CS"/>
        </w:rPr>
      </w:pPr>
      <w:r w:rsidRPr="002C10E6">
        <w:rPr>
          <w:rFonts w:cs="Tahoma"/>
          <w:noProof/>
          <w:sz w:val="20"/>
          <w:szCs w:val="20"/>
          <w:lang w:val="sr-Cyrl-RS"/>
        </w:rPr>
        <w:t>Татјана Комненић</w:t>
      </w:r>
    </w:p>
    <w:p w:rsidR="004011EE" w:rsidRPr="00BF3CDE" w:rsidRDefault="004011EE" w:rsidP="00B93789">
      <w:pPr>
        <w:spacing w:after="0" w:line="240" w:lineRule="auto"/>
        <w:ind w:left="1440"/>
        <w:jc w:val="both"/>
        <w:rPr>
          <w:rFonts w:cs="Tahoma"/>
          <w:noProof/>
          <w:sz w:val="20"/>
          <w:szCs w:val="20"/>
          <w:highlight w:val="yellow"/>
          <w:lang w:val="sr-Cyrl-CS"/>
        </w:rPr>
      </w:pPr>
    </w:p>
    <w:p w:rsidR="00794AEC" w:rsidRPr="00BF3CDE" w:rsidRDefault="00794AEC" w:rsidP="00D27ABB">
      <w:pPr>
        <w:spacing w:before="120" w:after="100" w:afterAutospacing="1"/>
        <w:ind w:firstLine="567"/>
        <w:rPr>
          <w:noProof/>
          <w:sz w:val="20"/>
          <w:szCs w:val="20"/>
          <w:lang w:val="sr-Cyrl-CS"/>
        </w:rPr>
      </w:pPr>
      <w:r w:rsidRPr="002C10E6">
        <w:rPr>
          <w:noProof/>
          <w:sz w:val="20"/>
          <w:szCs w:val="20"/>
          <w:lang w:val="sr-Cyrl-CS"/>
        </w:rPr>
        <w:t>Надзорни одбор је на основу чл.</w:t>
      </w:r>
      <w:r w:rsidR="008C2B46" w:rsidRPr="002C10E6">
        <w:rPr>
          <w:noProof/>
          <w:sz w:val="20"/>
          <w:szCs w:val="20"/>
          <w:lang w:val="sr-Cyrl-CS"/>
        </w:rPr>
        <w:t xml:space="preserve"> </w:t>
      </w:r>
      <w:r w:rsidRPr="002C10E6">
        <w:rPr>
          <w:noProof/>
          <w:sz w:val="20"/>
          <w:szCs w:val="20"/>
          <w:lang w:val="sr-Cyrl-CS"/>
        </w:rPr>
        <w:t>44-а Статута Друштва формирало Комисију за ревизију.</w:t>
      </w:r>
      <w:r w:rsidRPr="00BF3CDE">
        <w:rPr>
          <w:noProof/>
          <w:sz w:val="20"/>
          <w:szCs w:val="20"/>
          <w:lang w:val="sr-Cyrl-CS"/>
        </w:rPr>
        <w:t xml:space="preserve"> </w:t>
      </w:r>
    </w:p>
    <w:p w:rsidR="00794AEC" w:rsidRPr="00BF3CDE" w:rsidRDefault="00794AEC" w:rsidP="00794AEC">
      <w:pPr>
        <w:spacing w:after="100" w:afterAutospacing="1" w:line="240" w:lineRule="auto"/>
        <w:rPr>
          <w:rStyle w:val="IntenseEmphasis"/>
          <w:noProof/>
          <w:lang w:val="sr-Cyrl-CS"/>
        </w:rPr>
      </w:pPr>
      <w:r w:rsidRPr="00BF3CDE">
        <w:rPr>
          <w:rStyle w:val="IntenseEmphasis"/>
          <w:noProof/>
          <w:lang w:val="sr-Cyrl-CS"/>
        </w:rPr>
        <w:t>Чланови комисије за ревизију</w:t>
      </w:r>
    </w:p>
    <w:p w:rsidR="00794AEC" w:rsidRPr="00BF3CDE" w:rsidRDefault="00F91B66" w:rsidP="00430E71">
      <w:pPr>
        <w:numPr>
          <w:ilvl w:val="0"/>
          <w:numId w:val="4"/>
        </w:numPr>
        <w:spacing w:after="0" w:line="240" w:lineRule="auto"/>
        <w:jc w:val="both"/>
        <w:rPr>
          <w:rFonts w:cs="Tahoma"/>
          <w:noProof/>
          <w:sz w:val="20"/>
          <w:szCs w:val="20"/>
          <w:lang w:val="sr-Cyrl-CS"/>
        </w:rPr>
      </w:pPr>
      <w:r w:rsidRPr="00BF3CDE">
        <w:rPr>
          <w:rFonts w:cs="Tahoma"/>
          <w:noProof/>
          <w:sz w:val="20"/>
          <w:szCs w:val="20"/>
          <w:lang w:val="sr-Cyrl-CS"/>
        </w:rPr>
        <w:t xml:space="preserve">Радица Рубежић </w:t>
      </w:r>
      <w:r w:rsidR="00794AEC" w:rsidRPr="00BF3CDE">
        <w:rPr>
          <w:rFonts w:cs="Tahoma"/>
          <w:noProof/>
          <w:sz w:val="20"/>
          <w:szCs w:val="20"/>
          <w:lang w:val="sr-Cyrl-CS"/>
        </w:rPr>
        <w:t xml:space="preserve">(Компанија Дунав осигурање), </w:t>
      </w:r>
      <w:r w:rsidRPr="00BF3CDE">
        <w:rPr>
          <w:rFonts w:cs="Tahoma"/>
          <w:noProof/>
          <w:sz w:val="20"/>
          <w:szCs w:val="20"/>
          <w:lang w:val="sr-Cyrl-CS"/>
        </w:rPr>
        <w:t>члан</w:t>
      </w:r>
      <w:r w:rsidR="00794AEC" w:rsidRPr="00BF3CDE">
        <w:rPr>
          <w:rFonts w:cs="Tahoma"/>
          <w:noProof/>
          <w:sz w:val="20"/>
          <w:szCs w:val="20"/>
          <w:lang w:val="sr-Cyrl-CS"/>
        </w:rPr>
        <w:t>,</w:t>
      </w:r>
    </w:p>
    <w:p w:rsidR="00794AEC" w:rsidRPr="002C10E6" w:rsidRDefault="002C10E6" w:rsidP="00F91B66">
      <w:pPr>
        <w:numPr>
          <w:ilvl w:val="0"/>
          <w:numId w:val="4"/>
        </w:numPr>
        <w:spacing w:after="0" w:line="240" w:lineRule="auto"/>
        <w:jc w:val="both"/>
        <w:rPr>
          <w:rFonts w:cs="Tahoma"/>
          <w:noProof/>
          <w:sz w:val="20"/>
          <w:szCs w:val="20"/>
          <w:lang w:val="sr-Cyrl-CS"/>
        </w:rPr>
      </w:pPr>
      <w:r w:rsidRPr="002C10E6">
        <w:rPr>
          <w:rFonts w:cs="Tahoma"/>
          <w:noProof/>
          <w:sz w:val="20"/>
          <w:szCs w:val="20"/>
          <w:lang w:val="sr-Cyrl-CS"/>
        </w:rPr>
        <w:t>Звонко Зиндовић</w:t>
      </w:r>
      <w:r w:rsidR="00F91B66" w:rsidRPr="002C10E6">
        <w:rPr>
          <w:rFonts w:cs="Tahoma"/>
          <w:noProof/>
          <w:sz w:val="20"/>
          <w:szCs w:val="20"/>
          <w:lang w:val="sr-Cyrl-CS"/>
        </w:rPr>
        <w:t xml:space="preserve"> </w:t>
      </w:r>
      <w:r w:rsidR="00794AEC" w:rsidRPr="002C10E6">
        <w:rPr>
          <w:rFonts w:cs="Tahoma"/>
          <w:noProof/>
          <w:sz w:val="20"/>
          <w:szCs w:val="20"/>
          <w:lang w:val="sr-Cyrl-CS"/>
        </w:rPr>
        <w:t>(Компанија Дунав осигурање), члан и</w:t>
      </w:r>
    </w:p>
    <w:p w:rsidR="00794AEC" w:rsidRPr="002C10E6" w:rsidRDefault="00794AEC" w:rsidP="00430E71">
      <w:pPr>
        <w:numPr>
          <w:ilvl w:val="0"/>
          <w:numId w:val="4"/>
        </w:numPr>
        <w:spacing w:after="0" w:line="240" w:lineRule="auto"/>
        <w:jc w:val="both"/>
        <w:rPr>
          <w:rFonts w:cs="Tahoma"/>
          <w:noProof/>
          <w:sz w:val="20"/>
          <w:szCs w:val="20"/>
          <w:lang w:val="sr-Cyrl-CS"/>
        </w:rPr>
      </w:pPr>
      <w:r w:rsidRPr="002C10E6">
        <w:rPr>
          <w:rFonts w:cs="Tahoma"/>
          <w:noProof/>
          <w:sz w:val="20"/>
          <w:szCs w:val="20"/>
          <w:lang w:val="sr-Cyrl-CS"/>
        </w:rPr>
        <w:t>Дамјан Шаговновић (Сава осигурање), члан.</w:t>
      </w:r>
    </w:p>
    <w:p w:rsidR="00C608F9" w:rsidRDefault="00794AEC" w:rsidP="00D27ABB">
      <w:pPr>
        <w:spacing w:before="120" w:after="100" w:afterAutospacing="1"/>
        <w:ind w:firstLine="567"/>
        <w:rPr>
          <w:noProof/>
          <w:sz w:val="20"/>
          <w:szCs w:val="20"/>
          <w:lang w:val="sr-Cyrl-CS"/>
        </w:rPr>
      </w:pPr>
      <w:r w:rsidRPr="00B21922">
        <w:rPr>
          <w:noProof/>
          <w:sz w:val="20"/>
          <w:szCs w:val="20"/>
          <w:lang w:val="sr-Cyrl-CS"/>
        </w:rPr>
        <w:t xml:space="preserve">Ревизију финансијских извештаја врши </w:t>
      </w:r>
      <w:r w:rsidR="008F0541" w:rsidRPr="00B21922">
        <w:rPr>
          <w:noProof/>
          <w:sz w:val="20"/>
          <w:szCs w:val="20"/>
          <w:lang w:val="sr-Cyrl-CS"/>
        </w:rPr>
        <w:t xml:space="preserve">Ревизорска кућа: </w:t>
      </w:r>
      <w:r w:rsidR="00613313" w:rsidRPr="00B21922">
        <w:rPr>
          <w:i/>
          <w:noProof/>
          <w:sz w:val="20"/>
          <w:szCs w:val="20"/>
          <w:lang w:val="sr-Cyrl-CS"/>
        </w:rPr>
        <w:t xml:space="preserve">ДЕЛОИТТЕ </w:t>
      </w:r>
      <w:r w:rsidR="001C373D" w:rsidRPr="00B21922">
        <w:rPr>
          <w:i/>
          <w:noProof/>
          <w:sz w:val="20"/>
          <w:szCs w:val="20"/>
          <w:lang w:val="sr-Cyrl-CS"/>
        </w:rPr>
        <w:t>д.о.о</w:t>
      </w:r>
      <w:r w:rsidR="008F0541" w:rsidRPr="00B21922">
        <w:rPr>
          <w:noProof/>
          <w:sz w:val="20"/>
          <w:szCs w:val="20"/>
          <w:lang w:val="sr-Cyrl-CS"/>
        </w:rPr>
        <w:t>, Београд</w:t>
      </w:r>
      <w:r w:rsidR="00B21922">
        <w:rPr>
          <w:noProof/>
          <w:sz w:val="20"/>
          <w:szCs w:val="20"/>
          <w:lang w:val="sr-Cyrl-CS"/>
        </w:rPr>
        <w:t>.</w:t>
      </w:r>
    </w:p>
    <w:p w:rsidR="004539A2" w:rsidRPr="00BF3CDE" w:rsidRDefault="004539A2" w:rsidP="004539A2">
      <w:pPr>
        <w:spacing w:after="100" w:afterAutospacing="1" w:line="240" w:lineRule="auto"/>
        <w:rPr>
          <w:rStyle w:val="IntenseEmphasis"/>
          <w:noProof/>
          <w:lang w:val="sr-Cyrl-CS"/>
        </w:rPr>
      </w:pPr>
      <w:r w:rsidRPr="00BF3CDE">
        <w:rPr>
          <w:rStyle w:val="IntenseEmphasis"/>
          <w:noProof/>
          <w:lang w:val="sr-Cyrl-CS"/>
        </w:rPr>
        <w:t>Акционари</w:t>
      </w:r>
    </w:p>
    <w:p w:rsidR="008C2B46" w:rsidRPr="00BF3CDE" w:rsidRDefault="00A12FD6" w:rsidP="008C2B46">
      <w:pPr>
        <w:spacing w:after="100"/>
        <w:ind w:firstLine="567"/>
        <w:jc w:val="both"/>
        <w:rPr>
          <w:noProof/>
          <w:sz w:val="20"/>
          <w:szCs w:val="20"/>
          <w:lang w:val="sr-Cyrl-CS"/>
        </w:rPr>
      </w:pPr>
      <w:r w:rsidRPr="002C10E6">
        <w:rPr>
          <w:noProof/>
          <w:sz w:val="20"/>
          <w:szCs w:val="20"/>
          <w:lang w:val="sr-Cyrl-CS"/>
        </w:rPr>
        <w:t xml:space="preserve">Већински власник друштва је Компанија Дунав осигурање са 92,65% учешћа у укупном акцијском капиталу и 88,41% у </w:t>
      </w:r>
      <w:r w:rsidR="008C2B46" w:rsidRPr="002C10E6">
        <w:rPr>
          <w:noProof/>
          <w:sz w:val="20"/>
          <w:szCs w:val="20"/>
          <w:lang w:val="sr-Cyrl-CS"/>
        </w:rPr>
        <w:t>укупном основном капиталу. Друштво није вршило откуп сопствених акција.</w:t>
      </w:r>
    </w:p>
    <w:p w:rsidR="00A12FD6" w:rsidRPr="00BF3CDE" w:rsidRDefault="00A12FD6" w:rsidP="00A12FD6">
      <w:pPr>
        <w:spacing w:after="60"/>
        <w:jc w:val="center"/>
        <w:rPr>
          <w:rStyle w:val="IntenseEmphasis"/>
          <w:bCs w:val="0"/>
          <w:noProof/>
          <w:sz w:val="18"/>
          <w:lang w:val="sr-Cyrl-CS"/>
        </w:rPr>
      </w:pPr>
      <w:r w:rsidRPr="00BF3CDE">
        <w:rPr>
          <w:rStyle w:val="IntenseEmphasis"/>
          <w:bCs w:val="0"/>
          <w:noProof/>
          <w:sz w:val="18"/>
          <w:lang w:val="sr-Cyrl-CS"/>
        </w:rPr>
        <w:t>Редослед првих 10 акционара по броју акција на дан 31.12.201</w:t>
      </w:r>
      <w:r w:rsidR="00613313">
        <w:rPr>
          <w:rStyle w:val="IntenseEmphasis"/>
          <w:bCs w:val="0"/>
          <w:noProof/>
          <w:sz w:val="18"/>
          <w:lang w:val="sr-Cyrl-CS"/>
        </w:rPr>
        <w:t>5</w:t>
      </w:r>
      <w:r w:rsidRPr="00BF3CDE">
        <w:rPr>
          <w:rStyle w:val="IntenseEmphasis"/>
          <w:bCs w:val="0"/>
          <w:noProof/>
          <w:sz w:val="18"/>
          <w:lang w:val="sr-Cyrl-CS"/>
        </w:rPr>
        <w:t>. године</w:t>
      </w:r>
    </w:p>
    <w:tbl>
      <w:tblPr>
        <w:tblW w:w="9193" w:type="dxa"/>
        <w:tblInd w:w="93" w:type="dxa"/>
        <w:tblLook w:val="04A0" w:firstRow="1" w:lastRow="0" w:firstColumn="1" w:lastColumn="0" w:noHBand="0" w:noVBand="1"/>
      </w:tblPr>
      <w:tblGrid>
        <w:gridCol w:w="706"/>
        <w:gridCol w:w="4770"/>
        <w:gridCol w:w="957"/>
        <w:gridCol w:w="1165"/>
        <w:gridCol w:w="1595"/>
      </w:tblGrid>
      <w:tr w:rsidR="001B7810" w:rsidRPr="00BF3CDE" w:rsidTr="009B1CE0">
        <w:trPr>
          <w:trHeight w:val="850"/>
        </w:trPr>
        <w:tc>
          <w:tcPr>
            <w:tcW w:w="706" w:type="dxa"/>
            <w:tcBorders>
              <w:top w:val="nil"/>
              <w:left w:val="nil"/>
              <w:bottom w:val="single" w:sz="4" w:space="0" w:color="632423" w:themeColor="accent2" w:themeShade="80"/>
              <w:right w:val="nil"/>
            </w:tcBorders>
            <w:shd w:val="clear" w:color="auto" w:fill="auto"/>
            <w:vAlign w:val="center"/>
            <w:hideMark/>
          </w:tcPr>
          <w:p w:rsidR="001B7810" w:rsidRPr="00BF3CDE" w:rsidRDefault="001B7810" w:rsidP="00EA7779">
            <w:pPr>
              <w:spacing w:after="0" w:line="240" w:lineRule="auto"/>
              <w:jc w:val="center"/>
              <w:rPr>
                <w:rFonts w:ascii="Verdana" w:eastAsia="Times New Roman" w:hAnsi="Verdana" w:cs="Times New Roman"/>
                <w:b/>
                <w:bCs/>
                <w:noProof/>
                <w:color w:val="000000"/>
                <w:sz w:val="20"/>
                <w:szCs w:val="20"/>
                <w:lang w:val="sr-Cyrl-CS" w:eastAsia="sr-Latn-RS"/>
              </w:rPr>
            </w:pPr>
          </w:p>
        </w:tc>
        <w:tc>
          <w:tcPr>
            <w:tcW w:w="4772" w:type="dxa"/>
            <w:tcBorders>
              <w:top w:val="nil"/>
              <w:left w:val="nil"/>
              <w:bottom w:val="single" w:sz="4" w:space="0" w:color="632423" w:themeColor="accent2" w:themeShade="80"/>
              <w:right w:val="nil"/>
            </w:tcBorders>
            <w:shd w:val="clear" w:color="auto" w:fill="auto"/>
            <w:vAlign w:val="center"/>
            <w:hideMark/>
          </w:tcPr>
          <w:p w:rsidR="001B7810" w:rsidRPr="00BF3CDE" w:rsidRDefault="001B7810" w:rsidP="00EA7779">
            <w:pPr>
              <w:spacing w:after="0" w:line="240" w:lineRule="auto"/>
              <w:jc w:val="center"/>
              <w:rPr>
                <w:rFonts w:ascii="Verdana" w:eastAsia="Times New Roman" w:hAnsi="Verdana" w:cs="Times New Roman"/>
                <w:b/>
                <w:bCs/>
                <w:noProof/>
                <w:color w:val="000000"/>
                <w:sz w:val="18"/>
                <w:szCs w:val="18"/>
                <w:lang w:val="sr-Cyrl-CS" w:eastAsia="sr-Latn-RS"/>
              </w:rPr>
            </w:pPr>
            <w:r w:rsidRPr="00BF3CDE">
              <w:rPr>
                <w:rFonts w:ascii="Verdana" w:eastAsia="Times New Roman" w:hAnsi="Verdana" w:cs="Times New Roman"/>
                <w:b/>
                <w:bCs/>
                <w:noProof/>
                <w:color w:val="000000"/>
                <w:sz w:val="18"/>
                <w:szCs w:val="18"/>
                <w:lang w:val="sr-Cyrl-CS" w:eastAsia="sr-Latn-RS"/>
              </w:rPr>
              <w:t>АКЦИОНАРИ</w:t>
            </w:r>
          </w:p>
        </w:tc>
        <w:tc>
          <w:tcPr>
            <w:tcW w:w="957" w:type="dxa"/>
            <w:tcBorders>
              <w:top w:val="nil"/>
              <w:left w:val="nil"/>
              <w:bottom w:val="single" w:sz="4" w:space="0" w:color="632423" w:themeColor="accent2" w:themeShade="80"/>
              <w:right w:val="nil"/>
            </w:tcBorders>
            <w:shd w:val="clear" w:color="auto" w:fill="auto"/>
            <w:vAlign w:val="center"/>
            <w:hideMark/>
          </w:tcPr>
          <w:p w:rsidR="001B7810" w:rsidRPr="00BF3CDE" w:rsidRDefault="001B7810" w:rsidP="00EA7779">
            <w:pPr>
              <w:spacing w:after="0" w:line="240" w:lineRule="auto"/>
              <w:jc w:val="center"/>
              <w:rPr>
                <w:rFonts w:ascii="Verdana" w:eastAsia="Times New Roman" w:hAnsi="Verdana" w:cs="Times New Roman"/>
                <w:b/>
                <w:bCs/>
                <w:noProof/>
                <w:color w:val="000000"/>
                <w:sz w:val="18"/>
                <w:szCs w:val="18"/>
                <w:lang w:val="sr-Cyrl-CS" w:eastAsia="sr-Latn-RS"/>
              </w:rPr>
            </w:pPr>
            <w:r w:rsidRPr="00BF3CDE">
              <w:rPr>
                <w:rFonts w:ascii="Verdana" w:eastAsia="Times New Roman" w:hAnsi="Verdana" w:cs="Times New Roman"/>
                <w:b/>
                <w:bCs/>
                <w:noProof/>
                <w:color w:val="000000"/>
                <w:sz w:val="18"/>
                <w:szCs w:val="18"/>
                <w:lang w:val="sr-Cyrl-CS" w:eastAsia="sr-Latn-RS"/>
              </w:rPr>
              <w:t>Број акција</w:t>
            </w:r>
          </w:p>
        </w:tc>
        <w:tc>
          <w:tcPr>
            <w:tcW w:w="1162" w:type="dxa"/>
            <w:tcBorders>
              <w:top w:val="nil"/>
              <w:left w:val="nil"/>
              <w:bottom w:val="single" w:sz="4" w:space="0" w:color="632423" w:themeColor="accent2" w:themeShade="80"/>
              <w:right w:val="nil"/>
            </w:tcBorders>
            <w:shd w:val="clear" w:color="auto" w:fill="auto"/>
            <w:vAlign w:val="center"/>
            <w:hideMark/>
          </w:tcPr>
          <w:p w:rsidR="001B7810" w:rsidRPr="00BF3CDE" w:rsidRDefault="001B7810" w:rsidP="00EA7779">
            <w:pPr>
              <w:spacing w:after="0" w:line="240" w:lineRule="auto"/>
              <w:jc w:val="center"/>
              <w:rPr>
                <w:rFonts w:ascii="Verdana" w:eastAsia="Times New Roman" w:hAnsi="Verdana" w:cs="Times New Roman"/>
                <w:b/>
                <w:bCs/>
                <w:noProof/>
                <w:color w:val="000000"/>
                <w:sz w:val="18"/>
                <w:szCs w:val="18"/>
                <w:lang w:val="sr-Cyrl-CS" w:eastAsia="sr-Latn-RS"/>
              </w:rPr>
            </w:pPr>
            <w:r w:rsidRPr="00BF3CDE">
              <w:rPr>
                <w:rFonts w:ascii="Verdana" w:eastAsia="Times New Roman" w:hAnsi="Verdana" w:cs="Times New Roman"/>
                <w:b/>
                <w:bCs/>
                <w:noProof/>
                <w:color w:val="000000"/>
                <w:sz w:val="18"/>
                <w:szCs w:val="18"/>
                <w:lang w:val="sr-Cyrl-CS" w:eastAsia="sr-Latn-RS"/>
              </w:rPr>
              <w:t>Укупна вредност у 000 РСД</w:t>
            </w:r>
          </w:p>
        </w:tc>
        <w:tc>
          <w:tcPr>
            <w:tcW w:w="1596" w:type="dxa"/>
            <w:tcBorders>
              <w:top w:val="nil"/>
              <w:left w:val="nil"/>
              <w:bottom w:val="single" w:sz="4" w:space="0" w:color="632423" w:themeColor="accent2" w:themeShade="80"/>
              <w:right w:val="nil"/>
            </w:tcBorders>
            <w:shd w:val="clear" w:color="auto" w:fill="auto"/>
            <w:vAlign w:val="center"/>
            <w:hideMark/>
          </w:tcPr>
          <w:p w:rsidR="001B7810" w:rsidRPr="00BF3CDE" w:rsidRDefault="001B7810" w:rsidP="00EA7779">
            <w:pPr>
              <w:spacing w:after="0" w:line="240" w:lineRule="auto"/>
              <w:jc w:val="center"/>
              <w:rPr>
                <w:rFonts w:ascii="Verdana" w:eastAsia="Times New Roman" w:hAnsi="Verdana" w:cs="Times New Roman"/>
                <w:b/>
                <w:bCs/>
                <w:noProof/>
                <w:color w:val="000000"/>
                <w:sz w:val="18"/>
                <w:szCs w:val="18"/>
                <w:lang w:val="sr-Cyrl-CS" w:eastAsia="sr-Latn-RS"/>
              </w:rPr>
            </w:pPr>
            <w:r w:rsidRPr="00BF3CDE">
              <w:rPr>
                <w:rFonts w:ascii="Verdana" w:eastAsia="Times New Roman" w:hAnsi="Verdana" w:cs="Times New Roman"/>
                <w:b/>
                <w:bCs/>
                <w:noProof/>
                <w:color w:val="000000"/>
                <w:sz w:val="18"/>
                <w:szCs w:val="18"/>
                <w:lang w:val="sr-Cyrl-CS" w:eastAsia="sr-Latn-RS"/>
              </w:rPr>
              <w:t>% учешћа у акцијском капиталу</w:t>
            </w:r>
          </w:p>
        </w:tc>
      </w:tr>
      <w:tr w:rsidR="009B1CE0" w:rsidRPr="00BF3CDE" w:rsidTr="009B1CE0">
        <w:trPr>
          <w:trHeight w:val="283"/>
        </w:trPr>
        <w:tc>
          <w:tcPr>
            <w:tcW w:w="706" w:type="dxa"/>
            <w:tcBorders>
              <w:top w:val="single" w:sz="4" w:space="0" w:color="632423" w:themeColor="accent2" w:themeShade="80"/>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1</w:t>
            </w:r>
          </w:p>
        </w:tc>
        <w:tc>
          <w:tcPr>
            <w:tcW w:w="4772" w:type="dxa"/>
            <w:tcBorders>
              <w:top w:val="single" w:sz="4" w:space="0" w:color="632423" w:themeColor="accent2" w:themeShade="80"/>
              <w:left w:val="nil"/>
              <w:bottom w:val="nil"/>
              <w:right w:val="nil"/>
            </w:tcBorders>
            <w:shd w:val="clear" w:color="000000" w:fill="D8E6F3"/>
            <w:noWrap/>
            <w:vAlign w:val="center"/>
            <w:hideMark/>
          </w:tcPr>
          <w:p w:rsidR="009B1CE0" w:rsidRPr="00BF3CDE" w:rsidRDefault="009B1CE0" w:rsidP="00EA7779">
            <w:pPr>
              <w:pStyle w:val="NoSpacing"/>
              <w:rPr>
                <w:noProof/>
                <w:sz w:val="20"/>
                <w:lang w:val="sr-Cyrl-CS"/>
              </w:rPr>
            </w:pPr>
            <w:r w:rsidRPr="0023028E">
              <w:rPr>
                <w:noProof/>
                <w:sz w:val="20"/>
                <w:lang w:val="sr-Cyrl-CS"/>
              </w:rPr>
              <w:t>Компанија Дунав осигурање Београд</w:t>
            </w:r>
          </w:p>
        </w:tc>
        <w:tc>
          <w:tcPr>
            <w:tcW w:w="957" w:type="dxa"/>
            <w:tcBorders>
              <w:top w:val="single" w:sz="4" w:space="0" w:color="632423" w:themeColor="accent2" w:themeShade="80"/>
              <w:left w:val="nil"/>
              <w:bottom w:val="nil"/>
              <w:right w:val="nil"/>
            </w:tcBorders>
            <w:shd w:val="clear" w:color="000000" w:fill="D8E6F3"/>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75,126</w:t>
            </w:r>
          </w:p>
        </w:tc>
        <w:tc>
          <w:tcPr>
            <w:tcW w:w="1162" w:type="dxa"/>
            <w:tcBorders>
              <w:top w:val="single" w:sz="4" w:space="0" w:color="632423" w:themeColor="accent2" w:themeShade="80"/>
              <w:left w:val="nil"/>
              <w:bottom w:val="nil"/>
              <w:right w:val="nil"/>
            </w:tcBorders>
            <w:shd w:val="clear" w:color="000000" w:fill="D8E6F3"/>
            <w:vAlign w:val="center"/>
            <w:hideMark/>
          </w:tcPr>
          <w:p w:rsidR="009B1CE0" w:rsidRPr="00BF3CDE" w:rsidRDefault="009B1CE0" w:rsidP="00EA7779">
            <w:pPr>
              <w:pStyle w:val="NoSpacing"/>
              <w:jc w:val="right"/>
              <w:rPr>
                <w:noProof/>
                <w:sz w:val="20"/>
                <w:lang w:val="sr-Cyrl-CS"/>
              </w:rPr>
            </w:pPr>
            <w:r w:rsidRPr="0023028E">
              <w:rPr>
                <w:noProof/>
                <w:sz w:val="20"/>
                <w:lang w:val="sr-Cyrl-CS"/>
              </w:rPr>
              <w:t>676,134</w:t>
            </w:r>
          </w:p>
        </w:tc>
        <w:tc>
          <w:tcPr>
            <w:tcW w:w="1596" w:type="dxa"/>
            <w:tcBorders>
              <w:top w:val="single" w:sz="4" w:space="0" w:color="632423" w:themeColor="accent2" w:themeShade="80"/>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92,65%</w:t>
            </w:r>
          </w:p>
        </w:tc>
      </w:tr>
      <w:tr w:rsidR="009B1CE0" w:rsidRPr="00BF3CDE" w:rsidTr="009B1CE0">
        <w:trPr>
          <w:trHeight w:val="283"/>
        </w:trPr>
        <w:tc>
          <w:tcPr>
            <w:tcW w:w="706" w:type="dxa"/>
            <w:tcBorders>
              <w:top w:val="nil"/>
              <w:left w:val="nil"/>
              <w:bottom w:val="nil"/>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2</w:t>
            </w:r>
          </w:p>
        </w:tc>
        <w:tc>
          <w:tcPr>
            <w:tcW w:w="4772" w:type="dxa"/>
            <w:tcBorders>
              <w:top w:val="nil"/>
              <w:left w:val="nil"/>
              <w:bottom w:val="nil"/>
              <w:right w:val="nil"/>
            </w:tcBorders>
            <w:shd w:val="clear" w:color="auto" w:fill="auto"/>
            <w:noWrap/>
            <w:vAlign w:val="center"/>
            <w:hideMark/>
          </w:tcPr>
          <w:p w:rsidR="009B1CE0" w:rsidRPr="00BF3CDE" w:rsidRDefault="009B1CE0" w:rsidP="00EA7779">
            <w:pPr>
              <w:pStyle w:val="NoSpacing"/>
              <w:rPr>
                <w:noProof/>
                <w:sz w:val="20"/>
                <w:lang w:val="sr-Cyrl-CS"/>
              </w:rPr>
            </w:pPr>
            <w:r w:rsidRPr="0023028E">
              <w:rPr>
                <w:noProof/>
                <w:sz w:val="20"/>
                <w:lang w:val="sr-Cyrl-CS"/>
              </w:rPr>
              <w:t>Сава осигурање  Београд</w:t>
            </w:r>
          </w:p>
        </w:tc>
        <w:tc>
          <w:tcPr>
            <w:tcW w:w="957" w:type="dxa"/>
            <w:tcBorders>
              <w:top w:val="nil"/>
              <w:left w:val="nil"/>
              <w:bottom w:val="nil"/>
              <w:right w:val="nil"/>
            </w:tcBorders>
            <w:shd w:val="clear" w:color="auto" w:fill="auto"/>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2,731</w:t>
            </w:r>
          </w:p>
        </w:tc>
        <w:tc>
          <w:tcPr>
            <w:tcW w:w="1162" w:type="dxa"/>
            <w:tcBorders>
              <w:top w:val="nil"/>
              <w:left w:val="nil"/>
              <w:bottom w:val="nil"/>
              <w:right w:val="nil"/>
            </w:tcBorders>
            <w:shd w:val="clear" w:color="auto" w:fill="auto"/>
            <w:vAlign w:val="center"/>
            <w:hideMark/>
          </w:tcPr>
          <w:p w:rsidR="009B1CE0" w:rsidRPr="00BF3CDE" w:rsidRDefault="009B1CE0" w:rsidP="00EA7779">
            <w:pPr>
              <w:pStyle w:val="NoSpacing"/>
              <w:jc w:val="right"/>
              <w:rPr>
                <w:noProof/>
                <w:sz w:val="20"/>
                <w:lang w:val="sr-Cyrl-CS"/>
              </w:rPr>
            </w:pPr>
            <w:r w:rsidRPr="0023028E">
              <w:rPr>
                <w:noProof/>
                <w:sz w:val="20"/>
                <w:lang w:val="sr-Cyrl-CS"/>
              </w:rPr>
              <w:t>24,579</w:t>
            </w:r>
          </w:p>
        </w:tc>
        <w:tc>
          <w:tcPr>
            <w:tcW w:w="1596" w:type="dxa"/>
            <w:tcBorders>
              <w:top w:val="nil"/>
              <w:left w:val="nil"/>
              <w:bottom w:val="nil"/>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3.37%</w:t>
            </w:r>
          </w:p>
        </w:tc>
      </w:tr>
      <w:tr w:rsidR="009B1CE0" w:rsidRPr="00BF3CDE" w:rsidTr="009B1CE0">
        <w:trPr>
          <w:trHeight w:val="283"/>
        </w:trPr>
        <w:tc>
          <w:tcPr>
            <w:tcW w:w="706"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3</w:t>
            </w:r>
          </w:p>
        </w:tc>
        <w:tc>
          <w:tcPr>
            <w:tcW w:w="4772" w:type="dxa"/>
            <w:tcBorders>
              <w:top w:val="nil"/>
              <w:left w:val="nil"/>
              <w:bottom w:val="nil"/>
              <w:right w:val="nil"/>
            </w:tcBorders>
            <w:shd w:val="clear" w:color="000000" w:fill="D8E6F3"/>
            <w:noWrap/>
            <w:vAlign w:val="center"/>
            <w:hideMark/>
          </w:tcPr>
          <w:p w:rsidR="009B1CE0" w:rsidRPr="00BF3CDE" w:rsidRDefault="009B1CE0" w:rsidP="00EA7779">
            <w:pPr>
              <w:pStyle w:val="NoSpacing"/>
              <w:rPr>
                <w:noProof/>
                <w:sz w:val="20"/>
                <w:lang w:val="sr-Cyrl-CS"/>
              </w:rPr>
            </w:pPr>
            <w:r w:rsidRPr="0023028E">
              <w:rPr>
                <w:noProof/>
                <w:sz w:val="20"/>
                <w:lang w:val="sr-Cyrl-CS"/>
              </w:rPr>
              <w:t>UniCredit банка Словенија</w:t>
            </w:r>
          </w:p>
        </w:tc>
        <w:tc>
          <w:tcPr>
            <w:tcW w:w="957"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910</w:t>
            </w:r>
          </w:p>
        </w:tc>
        <w:tc>
          <w:tcPr>
            <w:tcW w:w="1162" w:type="dxa"/>
            <w:tcBorders>
              <w:top w:val="nil"/>
              <w:left w:val="nil"/>
              <w:bottom w:val="nil"/>
              <w:right w:val="nil"/>
            </w:tcBorders>
            <w:shd w:val="clear" w:color="000000" w:fill="D8E6F3"/>
            <w:vAlign w:val="center"/>
            <w:hideMark/>
          </w:tcPr>
          <w:p w:rsidR="009B1CE0" w:rsidRPr="00BF3CDE" w:rsidRDefault="009B1CE0" w:rsidP="00EA7779">
            <w:pPr>
              <w:pStyle w:val="NoSpacing"/>
              <w:jc w:val="right"/>
              <w:rPr>
                <w:noProof/>
                <w:sz w:val="20"/>
                <w:lang w:val="sr-Cyrl-CS"/>
              </w:rPr>
            </w:pPr>
            <w:r w:rsidRPr="0023028E">
              <w:rPr>
                <w:noProof/>
                <w:sz w:val="20"/>
                <w:lang w:val="sr-Cyrl-CS"/>
              </w:rPr>
              <w:t>8,190</w:t>
            </w:r>
          </w:p>
        </w:tc>
        <w:tc>
          <w:tcPr>
            <w:tcW w:w="1596"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1.12%</w:t>
            </w:r>
          </w:p>
        </w:tc>
      </w:tr>
      <w:tr w:rsidR="009B1CE0" w:rsidRPr="00BF3CDE" w:rsidTr="009B1CE0">
        <w:trPr>
          <w:trHeight w:val="283"/>
        </w:trPr>
        <w:tc>
          <w:tcPr>
            <w:tcW w:w="706" w:type="dxa"/>
            <w:tcBorders>
              <w:top w:val="nil"/>
              <w:left w:val="nil"/>
              <w:bottom w:val="nil"/>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4</w:t>
            </w:r>
          </w:p>
        </w:tc>
        <w:tc>
          <w:tcPr>
            <w:tcW w:w="4772" w:type="dxa"/>
            <w:tcBorders>
              <w:top w:val="nil"/>
              <w:left w:val="nil"/>
              <w:bottom w:val="nil"/>
              <w:right w:val="nil"/>
            </w:tcBorders>
            <w:shd w:val="clear" w:color="auto" w:fill="auto"/>
            <w:noWrap/>
            <w:vAlign w:val="center"/>
            <w:hideMark/>
          </w:tcPr>
          <w:p w:rsidR="009B1CE0" w:rsidRPr="00BF3CDE" w:rsidRDefault="009B1CE0" w:rsidP="00EA7779">
            <w:pPr>
              <w:pStyle w:val="NoSpacing"/>
              <w:rPr>
                <w:noProof/>
                <w:sz w:val="20"/>
                <w:lang w:val="sr-Cyrl-CS"/>
              </w:rPr>
            </w:pPr>
            <w:r w:rsidRPr="0023028E">
              <w:rPr>
                <w:noProof/>
                <w:sz w:val="20"/>
                <w:lang w:val="sr-Cyrl-CS"/>
              </w:rPr>
              <w:t>Ловћен осигурање Подгорица</w:t>
            </w:r>
          </w:p>
        </w:tc>
        <w:tc>
          <w:tcPr>
            <w:tcW w:w="957" w:type="dxa"/>
            <w:tcBorders>
              <w:top w:val="nil"/>
              <w:left w:val="nil"/>
              <w:bottom w:val="nil"/>
              <w:right w:val="nil"/>
            </w:tcBorders>
            <w:shd w:val="clear" w:color="auto" w:fill="auto"/>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631</w:t>
            </w:r>
          </w:p>
        </w:tc>
        <w:tc>
          <w:tcPr>
            <w:tcW w:w="1162" w:type="dxa"/>
            <w:tcBorders>
              <w:top w:val="nil"/>
              <w:left w:val="nil"/>
              <w:bottom w:val="nil"/>
              <w:right w:val="nil"/>
            </w:tcBorders>
            <w:shd w:val="clear" w:color="auto" w:fill="auto"/>
            <w:vAlign w:val="center"/>
            <w:hideMark/>
          </w:tcPr>
          <w:p w:rsidR="009B1CE0" w:rsidRPr="00BF3CDE" w:rsidRDefault="009B1CE0" w:rsidP="00EA7779">
            <w:pPr>
              <w:pStyle w:val="NoSpacing"/>
              <w:jc w:val="right"/>
              <w:rPr>
                <w:noProof/>
                <w:sz w:val="20"/>
                <w:lang w:val="sr-Cyrl-CS"/>
              </w:rPr>
            </w:pPr>
            <w:r w:rsidRPr="0023028E">
              <w:rPr>
                <w:noProof/>
                <w:sz w:val="20"/>
                <w:lang w:val="sr-Cyrl-CS"/>
              </w:rPr>
              <w:t>5,679</w:t>
            </w:r>
          </w:p>
        </w:tc>
        <w:tc>
          <w:tcPr>
            <w:tcW w:w="1596" w:type="dxa"/>
            <w:tcBorders>
              <w:top w:val="nil"/>
              <w:left w:val="nil"/>
              <w:bottom w:val="nil"/>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0.78%</w:t>
            </w:r>
          </w:p>
        </w:tc>
      </w:tr>
      <w:tr w:rsidR="009B1CE0" w:rsidRPr="00BF3CDE" w:rsidTr="009B1CE0">
        <w:trPr>
          <w:trHeight w:val="283"/>
        </w:trPr>
        <w:tc>
          <w:tcPr>
            <w:tcW w:w="706"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5</w:t>
            </w:r>
          </w:p>
        </w:tc>
        <w:tc>
          <w:tcPr>
            <w:tcW w:w="4772" w:type="dxa"/>
            <w:tcBorders>
              <w:top w:val="nil"/>
              <w:left w:val="nil"/>
              <w:bottom w:val="nil"/>
              <w:right w:val="nil"/>
            </w:tcBorders>
            <w:shd w:val="clear" w:color="000000" w:fill="D8E6F3"/>
            <w:noWrap/>
            <w:vAlign w:val="center"/>
            <w:hideMark/>
          </w:tcPr>
          <w:p w:rsidR="009B1CE0" w:rsidRPr="00BF3CDE" w:rsidRDefault="009B1CE0" w:rsidP="00EA7779">
            <w:pPr>
              <w:pStyle w:val="NoSpacing"/>
              <w:rPr>
                <w:noProof/>
                <w:sz w:val="20"/>
                <w:lang w:val="sr-Cyrl-CS"/>
              </w:rPr>
            </w:pPr>
            <w:r w:rsidRPr="0023028E">
              <w:rPr>
                <w:noProof/>
                <w:sz w:val="20"/>
                <w:lang w:val="sr-Cyrl-CS"/>
              </w:rPr>
              <w:t>Банка интеса –кастоди</w:t>
            </w:r>
          </w:p>
        </w:tc>
        <w:tc>
          <w:tcPr>
            <w:tcW w:w="957"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513</w:t>
            </w:r>
          </w:p>
        </w:tc>
        <w:tc>
          <w:tcPr>
            <w:tcW w:w="1162" w:type="dxa"/>
            <w:tcBorders>
              <w:top w:val="nil"/>
              <w:left w:val="nil"/>
              <w:bottom w:val="nil"/>
              <w:right w:val="nil"/>
            </w:tcBorders>
            <w:shd w:val="clear" w:color="000000" w:fill="D8E6F3"/>
            <w:vAlign w:val="center"/>
            <w:hideMark/>
          </w:tcPr>
          <w:p w:rsidR="009B1CE0" w:rsidRPr="00BF3CDE" w:rsidRDefault="009B1CE0" w:rsidP="00EA7779">
            <w:pPr>
              <w:pStyle w:val="NoSpacing"/>
              <w:jc w:val="right"/>
              <w:rPr>
                <w:noProof/>
                <w:sz w:val="20"/>
                <w:lang w:val="sr-Cyrl-CS"/>
              </w:rPr>
            </w:pPr>
            <w:r w:rsidRPr="0023028E">
              <w:rPr>
                <w:noProof/>
                <w:sz w:val="20"/>
                <w:lang w:val="sr-Cyrl-CS"/>
              </w:rPr>
              <w:t>4,617</w:t>
            </w:r>
          </w:p>
        </w:tc>
        <w:tc>
          <w:tcPr>
            <w:tcW w:w="1596"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0.63%</w:t>
            </w:r>
          </w:p>
        </w:tc>
      </w:tr>
      <w:tr w:rsidR="009B1CE0" w:rsidRPr="00BF3CDE" w:rsidTr="009B1CE0">
        <w:trPr>
          <w:trHeight w:val="283"/>
        </w:trPr>
        <w:tc>
          <w:tcPr>
            <w:tcW w:w="706" w:type="dxa"/>
            <w:tcBorders>
              <w:top w:val="nil"/>
              <w:left w:val="nil"/>
              <w:bottom w:val="nil"/>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6</w:t>
            </w:r>
          </w:p>
        </w:tc>
        <w:tc>
          <w:tcPr>
            <w:tcW w:w="4772" w:type="dxa"/>
            <w:tcBorders>
              <w:top w:val="nil"/>
              <w:left w:val="nil"/>
              <w:bottom w:val="nil"/>
              <w:right w:val="nil"/>
            </w:tcBorders>
            <w:shd w:val="clear" w:color="auto" w:fill="auto"/>
            <w:noWrap/>
            <w:vAlign w:val="center"/>
            <w:hideMark/>
          </w:tcPr>
          <w:p w:rsidR="009B1CE0" w:rsidRPr="00BF3CDE" w:rsidRDefault="009B1CE0" w:rsidP="00EA7779">
            <w:pPr>
              <w:pStyle w:val="NoSpacing"/>
              <w:rPr>
                <w:noProof/>
                <w:sz w:val="20"/>
                <w:lang w:val="sr-Cyrl-CS"/>
              </w:rPr>
            </w:pPr>
            <w:r w:rsidRPr="0023028E">
              <w:rPr>
                <w:noProof/>
                <w:sz w:val="20"/>
                <w:lang w:val="sr-Cyrl-CS"/>
              </w:rPr>
              <w:t>Војвођанска банка –кастоди</w:t>
            </w:r>
          </w:p>
        </w:tc>
        <w:tc>
          <w:tcPr>
            <w:tcW w:w="957" w:type="dxa"/>
            <w:tcBorders>
              <w:top w:val="nil"/>
              <w:left w:val="nil"/>
              <w:bottom w:val="nil"/>
              <w:right w:val="nil"/>
            </w:tcBorders>
            <w:shd w:val="clear" w:color="auto" w:fill="auto"/>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36</w:t>
            </w:r>
            <w:r w:rsidRPr="0023028E">
              <w:rPr>
                <w:noProof/>
                <w:sz w:val="20"/>
                <w:lang w:val="sr-Latn-RS"/>
              </w:rPr>
              <w:t>5</w:t>
            </w:r>
          </w:p>
        </w:tc>
        <w:tc>
          <w:tcPr>
            <w:tcW w:w="1162" w:type="dxa"/>
            <w:tcBorders>
              <w:top w:val="nil"/>
              <w:left w:val="nil"/>
              <w:bottom w:val="nil"/>
              <w:right w:val="nil"/>
            </w:tcBorders>
            <w:shd w:val="clear" w:color="auto" w:fill="auto"/>
            <w:vAlign w:val="center"/>
            <w:hideMark/>
          </w:tcPr>
          <w:p w:rsidR="009B1CE0" w:rsidRPr="00BF3CDE" w:rsidRDefault="009B1CE0" w:rsidP="00EA7779">
            <w:pPr>
              <w:pStyle w:val="NoSpacing"/>
              <w:jc w:val="right"/>
              <w:rPr>
                <w:noProof/>
                <w:sz w:val="20"/>
                <w:lang w:val="sr-Cyrl-CS"/>
              </w:rPr>
            </w:pPr>
            <w:r w:rsidRPr="0023028E">
              <w:rPr>
                <w:noProof/>
                <w:sz w:val="20"/>
                <w:lang w:val="sr-Cyrl-CS"/>
              </w:rPr>
              <w:t>3,285</w:t>
            </w:r>
          </w:p>
        </w:tc>
        <w:tc>
          <w:tcPr>
            <w:tcW w:w="1596" w:type="dxa"/>
            <w:tcBorders>
              <w:top w:val="nil"/>
              <w:left w:val="nil"/>
              <w:bottom w:val="nil"/>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0.45%</w:t>
            </w:r>
          </w:p>
        </w:tc>
      </w:tr>
      <w:tr w:rsidR="009B1CE0" w:rsidRPr="00BF3CDE" w:rsidTr="009B1CE0">
        <w:trPr>
          <w:trHeight w:val="283"/>
        </w:trPr>
        <w:tc>
          <w:tcPr>
            <w:tcW w:w="706"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7</w:t>
            </w:r>
          </w:p>
        </w:tc>
        <w:tc>
          <w:tcPr>
            <w:tcW w:w="4772" w:type="dxa"/>
            <w:tcBorders>
              <w:top w:val="nil"/>
              <w:left w:val="nil"/>
              <w:bottom w:val="nil"/>
              <w:right w:val="nil"/>
            </w:tcBorders>
            <w:shd w:val="clear" w:color="000000" w:fill="D8E6F3"/>
            <w:noWrap/>
            <w:vAlign w:val="center"/>
            <w:hideMark/>
          </w:tcPr>
          <w:p w:rsidR="009B1CE0" w:rsidRPr="00BF3CDE" w:rsidRDefault="009B1CE0" w:rsidP="00EA7779">
            <w:pPr>
              <w:pStyle w:val="NoSpacing"/>
              <w:rPr>
                <w:noProof/>
                <w:sz w:val="20"/>
                <w:lang w:val="sr-Cyrl-CS"/>
              </w:rPr>
            </w:pPr>
            <w:r w:rsidRPr="0023028E">
              <w:rPr>
                <w:noProof/>
                <w:sz w:val="20"/>
                <w:lang w:val="sr-Cyrl-CS"/>
              </w:rPr>
              <w:t>АМС осигурање а.д.о</w:t>
            </w:r>
          </w:p>
        </w:tc>
        <w:tc>
          <w:tcPr>
            <w:tcW w:w="957"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353</w:t>
            </w:r>
          </w:p>
        </w:tc>
        <w:tc>
          <w:tcPr>
            <w:tcW w:w="1162" w:type="dxa"/>
            <w:tcBorders>
              <w:top w:val="nil"/>
              <w:left w:val="nil"/>
              <w:bottom w:val="nil"/>
              <w:right w:val="nil"/>
            </w:tcBorders>
            <w:shd w:val="clear" w:color="000000" w:fill="D8E6F3"/>
            <w:vAlign w:val="center"/>
            <w:hideMark/>
          </w:tcPr>
          <w:p w:rsidR="009B1CE0" w:rsidRPr="00BF3CDE" w:rsidRDefault="009B1CE0" w:rsidP="00EA7779">
            <w:pPr>
              <w:pStyle w:val="NoSpacing"/>
              <w:jc w:val="right"/>
              <w:rPr>
                <w:noProof/>
                <w:sz w:val="20"/>
                <w:lang w:val="sr-Cyrl-CS"/>
              </w:rPr>
            </w:pPr>
            <w:r w:rsidRPr="0023028E">
              <w:rPr>
                <w:noProof/>
                <w:sz w:val="20"/>
                <w:lang w:val="sr-Cyrl-CS"/>
              </w:rPr>
              <w:t>3,177</w:t>
            </w:r>
          </w:p>
        </w:tc>
        <w:tc>
          <w:tcPr>
            <w:tcW w:w="1596"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0.44%</w:t>
            </w:r>
          </w:p>
        </w:tc>
      </w:tr>
      <w:tr w:rsidR="009B1CE0" w:rsidRPr="00BF3CDE" w:rsidTr="009B1CE0">
        <w:trPr>
          <w:trHeight w:val="283"/>
        </w:trPr>
        <w:tc>
          <w:tcPr>
            <w:tcW w:w="706" w:type="dxa"/>
            <w:tcBorders>
              <w:top w:val="nil"/>
              <w:left w:val="nil"/>
              <w:bottom w:val="nil"/>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8</w:t>
            </w:r>
          </w:p>
        </w:tc>
        <w:tc>
          <w:tcPr>
            <w:tcW w:w="4772" w:type="dxa"/>
            <w:tcBorders>
              <w:top w:val="nil"/>
              <w:left w:val="nil"/>
              <w:bottom w:val="nil"/>
              <w:right w:val="nil"/>
            </w:tcBorders>
            <w:shd w:val="clear" w:color="auto" w:fill="auto"/>
            <w:noWrap/>
            <w:vAlign w:val="center"/>
            <w:hideMark/>
          </w:tcPr>
          <w:p w:rsidR="009B1CE0" w:rsidRPr="00BF3CDE" w:rsidRDefault="009B1CE0" w:rsidP="00EA7779">
            <w:pPr>
              <w:pStyle w:val="NoSpacing"/>
              <w:rPr>
                <w:noProof/>
                <w:sz w:val="20"/>
                <w:lang w:val="sr-Cyrl-CS"/>
              </w:rPr>
            </w:pPr>
            <w:r w:rsidRPr="0023028E">
              <w:rPr>
                <w:noProof/>
                <w:sz w:val="20"/>
                <w:lang w:val="sr-Cyrl-CS"/>
              </w:rPr>
              <w:t>Swiss osiguranje Подгорица</w:t>
            </w:r>
          </w:p>
        </w:tc>
        <w:tc>
          <w:tcPr>
            <w:tcW w:w="957" w:type="dxa"/>
            <w:tcBorders>
              <w:top w:val="nil"/>
              <w:left w:val="nil"/>
              <w:bottom w:val="nil"/>
              <w:right w:val="nil"/>
            </w:tcBorders>
            <w:shd w:val="clear" w:color="auto" w:fill="auto"/>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192</w:t>
            </w:r>
          </w:p>
        </w:tc>
        <w:tc>
          <w:tcPr>
            <w:tcW w:w="1162" w:type="dxa"/>
            <w:tcBorders>
              <w:top w:val="nil"/>
              <w:left w:val="nil"/>
              <w:bottom w:val="nil"/>
              <w:right w:val="nil"/>
            </w:tcBorders>
            <w:shd w:val="clear" w:color="auto" w:fill="auto"/>
            <w:vAlign w:val="center"/>
            <w:hideMark/>
          </w:tcPr>
          <w:p w:rsidR="009B1CE0" w:rsidRPr="00BF3CDE" w:rsidRDefault="009B1CE0" w:rsidP="00EA7779">
            <w:pPr>
              <w:pStyle w:val="NoSpacing"/>
              <w:jc w:val="right"/>
              <w:rPr>
                <w:noProof/>
                <w:sz w:val="20"/>
                <w:lang w:val="sr-Cyrl-CS"/>
              </w:rPr>
            </w:pPr>
            <w:r w:rsidRPr="0023028E">
              <w:rPr>
                <w:noProof/>
                <w:sz w:val="20"/>
                <w:lang w:val="sr-Cyrl-CS"/>
              </w:rPr>
              <w:t>1,728</w:t>
            </w:r>
          </w:p>
        </w:tc>
        <w:tc>
          <w:tcPr>
            <w:tcW w:w="1596" w:type="dxa"/>
            <w:tcBorders>
              <w:top w:val="nil"/>
              <w:left w:val="nil"/>
              <w:bottom w:val="nil"/>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0.24%</w:t>
            </w:r>
          </w:p>
        </w:tc>
      </w:tr>
      <w:tr w:rsidR="009B1CE0" w:rsidRPr="00BF3CDE" w:rsidTr="009B1CE0">
        <w:trPr>
          <w:trHeight w:val="283"/>
        </w:trPr>
        <w:tc>
          <w:tcPr>
            <w:tcW w:w="706"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9</w:t>
            </w:r>
          </w:p>
        </w:tc>
        <w:tc>
          <w:tcPr>
            <w:tcW w:w="4772" w:type="dxa"/>
            <w:tcBorders>
              <w:top w:val="nil"/>
              <w:left w:val="nil"/>
              <w:bottom w:val="nil"/>
              <w:right w:val="nil"/>
            </w:tcBorders>
            <w:shd w:val="clear" w:color="000000" w:fill="D8E6F3"/>
            <w:noWrap/>
            <w:vAlign w:val="center"/>
            <w:hideMark/>
          </w:tcPr>
          <w:p w:rsidR="009B1CE0" w:rsidRPr="00BF3CDE" w:rsidRDefault="009B1CE0" w:rsidP="00EA7779">
            <w:pPr>
              <w:pStyle w:val="NoSpacing"/>
              <w:rPr>
                <w:noProof/>
                <w:sz w:val="20"/>
                <w:lang w:val="sr-Cyrl-CS"/>
              </w:rPr>
            </w:pPr>
            <w:r w:rsidRPr="0023028E">
              <w:rPr>
                <w:noProof/>
                <w:sz w:val="20"/>
                <w:lang w:val="sr-Cyrl-RS"/>
              </w:rPr>
              <w:t>Ерсте банка- кастоди</w:t>
            </w:r>
          </w:p>
        </w:tc>
        <w:tc>
          <w:tcPr>
            <w:tcW w:w="957"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121</w:t>
            </w:r>
          </w:p>
        </w:tc>
        <w:tc>
          <w:tcPr>
            <w:tcW w:w="1162" w:type="dxa"/>
            <w:tcBorders>
              <w:top w:val="nil"/>
              <w:left w:val="nil"/>
              <w:bottom w:val="nil"/>
              <w:right w:val="nil"/>
            </w:tcBorders>
            <w:shd w:val="clear" w:color="000000" w:fill="D8E6F3"/>
            <w:vAlign w:val="center"/>
            <w:hideMark/>
          </w:tcPr>
          <w:p w:rsidR="009B1CE0" w:rsidRPr="00BF3CDE" w:rsidRDefault="009B1CE0" w:rsidP="00EA7779">
            <w:pPr>
              <w:pStyle w:val="NoSpacing"/>
              <w:jc w:val="right"/>
              <w:rPr>
                <w:noProof/>
                <w:sz w:val="20"/>
                <w:lang w:val="sr-Cyrl-CS"/>
              </w:rPr>
            </w:pPr>
            <w:r w:rsidRPr="0023028E">
              <w:rPr>
                <w:noProof/>
                <w:sz w:val="20"/>
                <w:lang w:val="sr-Cyrl-CS"/>
              </w:rPr>
              <w:t>1,089</w:t>
            </w:r>
          </w:p>
        </w:tc>
        <w:tc>
          <w:tcPr>
            <w:tcW w:w="1596" w:type="dxa"/>
            <w:tcBorders>
              <w:top w:val="nil"/>
              <w:left w:val="nil"/>
              <w:bottom w:val="nil"/>
              <w:right w:val="nil"/>
            </w:tcBorders>
            <w:shd w:val="clear" w:color="000000" w:fill="D8E6F3"/>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0.15%</w:t>
            </w:r>
          </w:p>
        </w:tc>
      </w:tr>
      <w:tr w:rsidR="009B1CE0" w:rsidRPr="00BF3CDE" w:rsidTr="009B1CE0">
        <w:trPr>
          <w:trHeight w:val="283"/>
        </w:trPr>
        <w:tc>
          <w:tcPr>
            <w:tcW w:w="706" w:type="dxa"/>
            <w:tcBorders>
              <w:top w:val="nil"/>
              <w:left w:val="nil"/>
              <w:bottom w:val="single" w:sz="4" w:space="0" w:color="632423" w:themeColor="accent2" w:themeShade="80"/>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BF3CDE">
              <w:rPr>
                <w:noProof/>
                <w:sz w:val="20"/>
                <w:lang w:val="sr-Cyrl-CS"/>
              </w:rPr>
              <w:t>10</w:t>
            </w:r>
          </w:p>
        </w:tc>
        <w:tc>
          <w:tcPr>
            <w:tcW w:w="4772" w:type="dxa"/>
            <w:tcBorders>
              <w:top w:val="nil"/>
              <w:left w:val="nil"/>
              <w:bottom w:val="single" w:sz="4" w:space="0" w:color="632423" w:themeColor="accent2" w:themeShade="80"/>
              <w:right w:val="nil"/>
            </w:tcBorders>
            <w:shd w:val="clear" w:color="auto" w:fill="auto"/>
            <w:noWrap/>
            <w:vAlign w:val="center"/>
            <w:hideMark/>
          </w:tcPr>
          <w:p w:rsidR="009B1CE0" w:rsidRPr="00BF3CDE" w:rsidRDefault="009B1CE0" w:rsidP="00EA7779">
            <w:pPr>
              <w:pStyle w:val="NoSpacing"/>
              <w:rPr>
                <w:noProof/>
                <w:sz w:val="20"/>
                <w:lang w:val="sr-Cyrl-CS"/>
              </w:rPr>
            </w:pPr>
            <w:r w:rsidRPr="0023028E">
              <w:rPr>
                <w:noProof/>
                <w:sz w:val="20"/>
                <w:lang w:val="sr-Cyrl-CS"/>
              </w:rPr>
              <w:t>EPG Investments d.o.o</w:t>
            </w:r>
          </w:p>
        </w:tc>
        <w:tc>
          <w:tcPr>
            <w:tcW w:w="957" w:type="dxa"/>
            <w:tcBorders>
              <w:top w:val="nil"/>
              <w:left w:val="nil"/>
              <w:bottom w:val="single" w:sz="4" w:space="0" w:color="632423" w:themeColor="accent2" w:themeShade="80"/>
              <w:right w:val="nil"/>
            </w:tcBorders>
            <w:shd w:val="clear" w:color="auto" w:fill="auto"/>
            <w:noWrap/>
            <w:vAlign w:val="center"/>
            <w:hideMark/>
          </w:tcPr>
          <w:p w:rsidR="009B1CE0" w:rsidRPr="00BF3CDE" w:rsidRDefault="009B1CE0" w:rsidP="00EA7779">
            <w:pPr>
              <w:pStyle w:val="NoSpacing"/>
              <w:jc w:val="right"/>
              <w:rPr>
                <w:noProof/>
                <w:sz w:val="20"/>
                <w:lang w:val="sr-Cyrl-CS"/>
              </w:rPr>
            </w:pPr>
            <w:r w:rsidRPr="0023028E">
              <w:rPr>
                <w:noProof/>
                <w:sz w:val="20"/>
                <w:lang w:val="sr-Cyrl-CS"/>
              </w:rPr>
              <w:t>50</w:t>
            </w:r>
          </w:p>
        </w:tc>
        <w:tc>
          <w:tcPr>
            <w:tcW w:w="1162" w:type="dxa"/>
            <w:tcBorders>
              <w:top w:val="nil"/>
              <w:left w:val="nil"/>
              <w:bottom w:val="single" w:sz="4" w:space="0" w:color="632423" w:themeColor="accent2" w:themeShade="80"/>
              <w:right w:val="nil"/>
            </w:tcBorders>
            <w:shd w:val="clear" w:color="auto" w:fill="auto"/>
            <w:vAlign w:val="center"/>
            <w:hideMark/>
          </w:tcPr>
          <w:p w:rsidR="009B1CE0" w:rsidRPr="00BF3CDE" w:rsidRDefault="009B1CE0" w:rsidP="00EA7779">
            <w:pPr>
              <w:pStyle w:val="NoSpacing"/>
              <w:jc w:val="right"/>
              <w:rPr>
                <w:noProof/>
                <w:sz w:val="20"/>
                <w:lang w:val="sr-Cyrl-CS"/>
              </w:rPr>
            </w:pPr>
            <w:r w:rsidRPr="0023028E">
              <w:rPr>
                <w:noProof/>
                <w:sz w:val="20"/>
                <w:lang w:val="sr-Cyrl-CS"/>
              </w:rPr>
              <w:t>450</w:t>
            </w:r>
          </w:p>
        </w:tc>
        <w:tc>
          <w:tcPr>
            <w:tcW w:w="1596" w:type="dxa"/>
            <w:tcBorders>
              <w:top w:val="nil"/>
              <w:left w:val="nil"/>
              <w:bottom w:val="single" w:sz="4" w:space="0" w:color="632423" w:themeColor="accent2" w:themeShade="80"/>
              <w:right w:val="nil"/>
            </w:tcBorders>
            <w:shd w:val="clear" w:color="auto" w:fill="auto"/>
            <w:noWrap/>
            <w:vAlign w:val="center"/>
            <w:hideMark/>
          </w:tcPr>
          <w:p w:rsidR="009B1CE0" w:rsidRPr="00BF3CDE" w:rsidRDefault="009B1CE0" w:rsidP="00EA7779">
            <w:pPr>
              <w:pStyle w:val="NoSpacing"/>
              <w:jc w:val="center"/>
              <w:rPr>
                <w:noProof/>
                <w:sz w:val="20"/>
                <w:lang w:val="sr-Cyrl-CS"/>
              </w:rPr>
            </w:pPr>
            <w:r w:rsidRPr="0023028E">
              <w:rPr>
                <w:noProof/>
                <w:sz w:val="20"/>
                <w:lang w:val="sr-Cyrl-CS"/>
              </w:rPr>
              <w:t>0.06%</w:t>
            </w:r>
          </w:p>
        </w:tc>
      </w:tr>
    </w:tbl>
    <w:p w:rsidR="00A12FD6" w:rsidRPr="00BF3CDE" w:rsidRDefault="00A12FD6" w:rsidP="00F11E3C">
      <w:pPr>
        <w:spacing w:after="100"/>
        <w:ind w:firstLine="567"/>
        <w:rPr>
          <w:noProof/>
          <w:sz w:val="10"/>
          <w:szCs w:val="10"/>
          <w:highlight w:val="yellow"/>
          <w:lang w:val="sr-Cyrl-CS"/>
        </w:rPr>
      </w:pPr>
    </w:p>
    <w:p w:rsidR="004539A2" w:rsidRPr="00BF3CDE" w:rsidRDefault="004539A2" w:rsidP="004539A2">
      <w:pPr>
        <w:spacing w:after="100" w:afterAutospacing="1" w:line="240" w:lineRule="auto"/>
        <w:rPr>
          <w:rStyle w:val="IntenseEmphasis"/>
          <w:noProof/>
          <w:lang w:val="sr-Cyrl-CS"/>
        </w:rPr>
      </w:pPr>
      <w:r w:rsidRPr="00BF3CDE">
        <w:rPr>
          <w:rStyle w:val="IntenseEmphasis"/>
          <w:noProof/>
          <w:lang w:val="sr-Cyrl-CS"/>
        </w:rPr>
        <w:t>Запослени</w:t>
      </w:r>
    </w:p>
    <w:p w:rsidR="00EE19E9" w:rsidRPr="00BF3CDE" w:rsidRDefault="00F11E3C" w:rsidP="00F11E3C">
      <w:pPr>
        <w:spacing w:after="100"/>
        <w:ind w:firstLine="567"/>
        <w:rPr>
          <w:noProof/>
          <w:sz w:val="20"/>
          <w:szCs w:val="20"/>
          <w:lang w:val="sr-Cyrl-CS"/>
        </w:rPr>
      </w:pPr>
      <w:r w:rsidRPr="00BF3CDE">
        <w:rPr>
          <w:noProof/>
          <w:sz w:val="20"/>
          <w:szCs w:val="20"/>
          <w:lang w:val="sr-Cyrl-CS"/>
        </w:rPr>
        <w:t>На дан 31.12.201</w:t>
      </w:r>
      <w:r w:rsidR="00613313">
        <w:rPr>
          <w:noProof/>
          <w:sz w:val="20"/>
          <w:szCs w:val="20"/>
          <w:lang w:val="sr-Cyrl-CS"/>
        </w:rPr>
        <w:t>5</w:t>
      </w:r>
      <w:r w:rsidRPr="00BF3CDE">
        <w:rPr>
          <w:noProof/>
          <w:sz w:val="20"/>
          <w:szCs w:val="20"/>
          <w:lang w:val="sr-Cyrl-CS"/>
        </w:rPr>
        <w:t>. године у Друштву је било 3</w:t>
      </w:r>
      <w:r w:rsidR="001C373D" w:rsidRPr="00BF3CDE">
        <w:rPr>
          <w:noProof/>
          <w:sz w:val="20"/>
          <w:szCs w:val="20"/>
          <w:lang w:val="sr-Cyrl-CS"/>
        </w:rPr>
        <w:t>2</w:t>
      </w:r>
      <w:r w:rsidRPr="00BF3CDE">
        <w:rPr>
          <w:noProof/>
          <w:sz w:val="20"/>
          <w:szCs w:val="20"/>
          <w:lang w:val="sr-Cyrl-CS"/>
        </w:rPr>
        <w:t xml:space="preserve"> запослених.</w:t>
      </w:r>
    </w:p>
    <w:p w:rsidR="00716C32" w:rsidRPr="00BF3CDE" w:rsidRDefault="00716C32" w:rsidP="00F11E3C">
      <w:pPr>
        <w:spacing w:after="100"/>
        <w:ind w:firstLine="567"/>
        <w:rPr>
          <w:noProof/>
          <w:sz w:val="10"/>
          <w:szCs w:val="10"/>
          <w:lang w:val="sr-Cyrl-CS"/>
        </w:rPr>
      </w:pPr>
    </w:p>
    <w:p w:rsidR="00F11E3C" w:rsidRPr="00BF3CDE" w:rsidRDefault="00F11E3C" w:rsidP="00F11E3C">
      <w:pPr>
        <w:spacing w:after="100"/>
        <w:jc w:val="center"/>
        <w:rPr>
          <w:rStyle w:val="IntenseEmphasis"/>
          <w:noProof/>
          <w:sz w:val="18"/>
          <w:lang w:val="sr-Cyrl-CS"/>
        </w:rPr>
      </w:pPr>
      <w:r w:rsidRPr="00BF3CDE">
        <w:rPr>
          <w:rStyle w:val="IntenseEmphasis"/>
          <w:noProof/>
          <w:sz w:val="18"/>
          <w:lang w:val="sr-Cyrl-CS"/>
        </w:rPr>
        <w:t>Квалификациона структура запослених на дан 31.12.201</w:t>
      </w:r>
      <w:r w:rsidR="00613313">
        <w:rPr>
          <w:rStyle w:val="IntenseEmphasis"/>
          <w:noProof/>
          <w:sz w:val="18"/>
          <w:lang w:val="sr-Cyrl-CS"/>
        </w:rPr>
        <w:t>5</w:t>
      </w:r>
      <w:r w:rsidRPr="00BF3CDE">
        <w:rPr>
          <w:rStyle w:val="IntenseEmphasis"/>
          <w:noProof/>
          <w:sz w:val="18"/>
          <w:lang w:val="sr-Cyrl-CS"/>
        </w:rPr>
        <w:t>. и 31.12.201</w:t>
      </w:r>
      <w:r w:rsidR="00613313">
        <w:rPr>
          <w:rStyle w:val="IntenseEmphasis"/>
          <w:noProof/>
          <w:sz w:val="18"/>
          <w:lang w:val="sr-Cyrl-CS"/>
        </w:rPr>
        <w:t>4</w:t>
      </w:r>
      <w:r w:rsidRPr="00BF3CDE">
        <w:rPr>
          <w:rStyle w:val="IntenseEmphasis"/>
          <w:noProof/>
          <w:sz w:val="18"/>
          <w:lang w:val="sr-Cyrl-CS"/>
        </w:rPr>
        <w:t>. године</w:t>
      </w:r>
    </w:p>
    <w:tbl>
      <w:tblPr>
        <w:tblStyle w:val="MediumList1-Accent11"/>
        <w:tblW w:w="4275" w:type="pct"/>
        <w:jc w:val="center"/>
        <w:tblLook w:val="0460" w:firstRow="1" w:lastRow="1" w:firstColumn="0" w:lastColumn="0" w:noHBand="0" w:noVBand="1"/>
      </w:tblPr>
      <w:tblGrid>
        <w:gridCol w:w="4062"/>
        <w:gridCol w:w="1944"/>
        <w:gridCol w:w="1934"/>
      </w:tblGrid>
      <w:tr w:rsidR="00A12FD6" w:rsidRPr="00BF3CDE" w:rsidTr="004011EE">
        <w:trPr>
          <w:cnfStyle w:val="100000000000" w:firstRow="1" w:lastRow="0" w:firstColumn="0" w:lastColumn="0" w:oddVBand="0" w:evenVBand="0" w:oddHBand="0" w:evenHBand="0" w:firstRowFirstColumn="0" w:firstRowLastColumn="0" w:lastRowFirstColumn="0" w:lastRowLastColumn="0"/>
          <w:trHeight w:val="170"/>
          <w:jc w:val="center"/>
        </w:trPr>
        <w:tc>
          <w:tcPr>
            <w:tcW w:w="2558" w:type="pct"/>
            <w:vMerge w:val="restart"/>
            <w:tcBorders>
              <w:top w:val="single" w:sz="8" w:space="0" w:color="4F81BD" w:themeColor="accent1"/>
              <w:bottom w:val="nil"/>
            </w:tcBorders>
            <w:shd w:val="clear" w:color="auto" w:fill="auto"/>
            <w:vAlign w:val="center"/>
          </w:tcPr>
          <w:p w:rsidR="00F11E3C" w:rsidRPr="00BF3CDE" w:rsidRDefault="00F11E3C" w:rsidP="00EA7779">
            <w:pPr>
              <w:pStyle w:val="NoSpacing"/>
              <w:jc w:val="center"/>
              <w:rPr>
                <w:rFonts w:asciiTheme="minorHAnsi" w:hAnsiTheme="minorHAnsi"/>
                <w:b/>
                <w:bCs/>
                <w:noProof/>
                <w:lang w:val="sr-Cyrl-CS"/>
              </w:rPr>
            </w:pPr>
            <w:r w:rsidRPr="00BF3CDE">
              <w:rPr>
                <w:rFonts w:asciiTheme="minorHAnsi" w:hAnsiTheme="minorHAnsi"/>
                <w:b/>
                <w:noProof/>
                <w:lang w:val="sr-Cyrl-CS"/>
              </w:rPr>
              <w:t>Степен стручне спреме</w:t>
            </w:r>
          </w:p>
        </w:tc>
        <w:tc>
          <w:tcPr>
            <w:tcW w:w="2442" w:type="pct"/>
            <w:gridSpan w:val="2"/>
            <w:tcBorders>
              <w:top w:val="single" w:sz="8" w:space="0" w:color="4F81BD" w:themeColor="accent1"/>
              <w:bottom w:val="nil"/>
            </w:tcBorders>
            <w:shd w:val="clear" w:color="auto" w:fill="auto"/>
            <w:vAlign w:val="center"/>
          </w:tcPr>
          <w:p w:rsidR="00F11E3C" w:rsidRPr="00BF3CDE" w:rsidRDefault="00F11E3C" w:rsidP="00EA7779">
            <w:pPr>
              <w:pStyle w:val="NoSpacing"/>
              <w:jc w:val="center"/>
              <w:rPr>
                <w:rFonts w:asciiTheme="minorHAnsi" w:hAnsiTheme="minorHAnsi"/>
                <w:b/>
                <w:bCs/>
                <w:noProof/>
                <w:lang w:val="sr-Cyrl-CS"/>
              </w:rPr>
            </w:pPr>
            <w:r w:rsidRPr="00BF3CDE">
              <w:rPr>
                <w:rFonts w:asciiTheme="minorHAnsi" w:hAnsiTheme="minorHAnsi"/>
                <w:b/>
                <w:noProof/>
                <w:lang w:val="sr-Cyrl-CS"/>
              </w:rPr>
              <w:t>Број запослених</w:t>
            </w:r>
          </w:p>
        </w:tc>
      </w:tr>
      <w:tr w:rsidR="00A12FD6" w:rsidRPr="00BF3CDE" w:rsidTr="004011EE">
        <w:trPr>
          <w:cnfStyle w:val="000000100000" w:firstRow="0" w:lastRow="0" w:firstColumn="0" w:lastColumn="0" w:oddVBand="0" w:evenVBand="0" w:oddHBand="1" w:evenHBand="0" w:firstRowFirstColumn="0" w:firstRowLastColumn="0" w:lastRowFirstColumn="0" w:lastRowLastColumn="0"/>
          <w:trHeight w:val="170"/>
          <w:jc w:val="center"/>
        </w:trPr>
        <w:tc>
          <w:tcPr>
            <w:tcW w:w="2558" w:type="pct"/>
            <w:vMerge/>
            <w:tcBorders>
              <w:top w:val="nil"/>
              <w:bottom w:val="single" w:sz="8" w:space="0" w:color="4F81BD" w:themeColor="accent1"/>
            </w:tcBorders>
            <w:shd w:val="clear" w:color="auto" w:fill="auto"/>
            <w:vAlign w:val="center"/>
          </w:tcPr>
          <w:p w:rsidR="00F11E3C" w:rsidRPr="00BF3CDE" w:rsidRDefault="00F11E3C" w:rsidP="00EA7779">
            <w:pPr>
              <w:pStyle w:val="NoSpacing"/>
              <w:jc w:val="center"/>
              <w:rPr>
                <w:rFonts w:asciiTheme="minorHAnsi" w:hAnsiTheme="minorHAnsi"/>
                <w:b/>
                <w:bCs/>
                <w:noProof/>
                <w:lang w:val="sr-Cyrl-CS"/>
              </w:rPr>
            </w:pPr>
          </w:p>
        </w:tc>
        <w:tc>
          <w:tcPr>
            <w:tcW w:w="1224" w:type="pct"/>
            <w:tcBorders>
              <w:top w:val="nil"/>
              <w:bottom w:val="single" w:sz="8" w:space="0" w:color="4F81BD" w:themeColor="accent1"/>
            </w:tcBorders>
            <w:shd w:val="clear" w:color="auto" w:fill="auto"/>
            <w:vAlign w:val="center"/>
          </w:tcPr>
          <w:p w:rsidR="00F11E3C" w:rsidRPr="00BF3CDE" w:rsidRDefault="00F11E3C" w:rsidP="00613313">
            <w:pPr>
              <w:pStyle w:val="NoSpacing"/>
              <w:jc w:val="center"/>
              <w:rPr>
                <w:rFonts w:asciiTheme="minorHAnsi" w:hAnsiTheme="minorHAnsi"/>
                <w:b/>
                <w:noProof/>
                <w:lang w:val="sr-Cyrl-CS"/>
              </w:rPr>
            </w:pPr>
            <w:r w:rsidRPr="00BF3CDE">
              <w:rPr>
                <w:rFonts w:asciiTheme="minorHAnsi" w:hAnsiTheme="minorHAnsi"/>
                <w:b/>
                <w:noProof/>
                <w:lang w:val="sr-Cyrl-CS"/>
              </w:rPr>
              <w:t>31.12.201</w:t>
            </w:r>
            <w:r w:rsidR="00613313">
              <w:rPr>
                <w:rFonts w:asciiTheme="minorHAnsi" w:hAnsiTheme="minorHAnsi"/>
                <w:b/>
                <w:noProof/>
                <w:lang w:val="sr-Cyrl-CS"/>
              </w:rPr>
              <w:t>5</w:t>
            </w:r>
          </w:p>
        </w:tc>
        <w:tc>
          <w:tcPr>
            <w:tcW w:w="1218" w:type="pct"/>
            <w:tcBorders>
              <w:top w:val="nil"/>
              <w:bottom w:val="single" w:sz="8" w:space="0" w:color="4F81BD" w:themeColor="accent1"/>
            </w:tcBorders>
            <w:shd w:val="clear" w:color="auto" w:fill="auto"/>
            <w:vAlign w:val="center"/>
          </w:tcPr>
          <w:p w:rsidR="00F11E3C" w:rsidRPr="00BF3CDE" w:rsidRDefault="00F11E3C" w:rsidP="00613313">
            <w:pPr>
              <w:pStyle w:val="NoSpacing"/>
              <w:jc w:val="center"/>
              <w:rPr>
                <w:rFonts w:asciiTheme="minorHAnsi" w:hAnsiTheme="minorHAnsi"/>
                <w:b/>
                <w:noProof/>
                <w:lang w:val="sr-Cyrl-CS"/>
              </w:rPr>
            </w:pPr>
            <w:r w:rsidRPr="00BF3CDE">
              <w:rPr>
                <w:rFonts w:asciiTheme="minorHAnsi" w:hAnsiTheme="minorHAnsi"/>
                <w:b/>
                <w:bCs/>
                <w:noProof/>
                <w:lang w:val="sr-Cyrl-CS"/>
              </w:rPr>
              <w:t>31.12.201</w:t>
            </w:r>
            <w:r w:rsidR="00613313">
              <w:rPr>
                <w:rFonts w:asciiTheme="minorHAnsi" w:hAnsiTheme="minorHAnsi"/>
                <w:b/>
                <w:bCs/>
                <w:noProof/>
                <w:lang w:val="sr-Cyrl-CS"/>
              </w:rPr>
              <w:t>4</w:t>
            </w:r>
          </w:p>
        </w:tc>
      </w:tr>
      <w:tr w:rsidR="00EA7779" w:rsidRPr="00BF3CDE" w:rsidTr="004011EE">
        <w:trPr>
          <w:trHeight w:val="283"/>
          <w:jc w:val="center"/>
        </w:trPr>
        <w:tc>
          <w:tcPr>
            <w:tcW w:w="2558" w:type="pct"/>
            <w:tcBorders>
              <w:top w:val="single" w:sz="8" w:space="0" w:color="4F81BD" w:themeColor="accent1"/>
            </w:tcBorders>
            <w:shd w:val="clear" w:color="auto" w:fill="DBE5F1" w:themeFill="accent1" w:themeFillTint="33"/>
            <w:vAlign w:val="center"/>
          </w:tcPr>
          <w:p w:rsidR="00EA7779" w:rsidRPr="00BF3CDE" w:rsidRDefault="00EA7779" w:rsidP="00EA7779">
            <w:pPr>
              <w:pStyle w:val="NoSpacing"/>
              <w:rPr>
                <w:rFonts w:asciiTheme="minorHAnsi" w:hAnsiTheme="minorHAnsi"/>
                <w:noProof/>
                <w:lang w:val="sr-Cyrl-CS"/>
              </w:rPr>
            </w:pPr>
            <w:r w:rsidRPr="00BF3CDE">
              <w:rPr>
                <w:rFonts w:asciiTheme="minorHAnsi" w:hAnsiTheme="minorHAnsi"/>
                <w:noProof/>
                <w:lang w:val="sr-Cyrl-CS"/>
              </w:rPr>
              <w:t>Висока стручна спрема</w:t>
            </w:r>
          </w:p>
        </w:tc>
        <w:tc>
          <w:tcPr>
            <w:tcW w:w="1224" w:type="pct"/>
            <w:tcBorders>
              <w:top w:val="single" w:sz="8" w:space="0" w:color="4F81BD" w:themeColor="accent1"/>
            </w:tcBorders>
            <w:shd w:val="clear" w:color="auto" w:fill="DBE5F1" w:themeFill="accent1" w:themeFillTint="33"/>
            <w:vAlign w:val="center"/>
          </w:tcPr>
          <w:p w:rsidR="00EA7779" w:rsidRPr="00BF3CDE" w:rsidRDefault="00EA7779" w:rsidP="00AE0E16">
            <w:pPr>
              <w:pStyle w:val="NoSpacing"/>
              <w:jc w:val="center"/>
              <w:rPr>
                <w:rFonts w:asciiTheme="minorHAnsi" w:hAnsiTheme="minorHAnsi"/>
                <w:noProof/>
                <w:lang w:val="sr-Cyrl-CS"/>
              </w:rPr>
            </w:pPr>
            <w:r w:rsidRPr="00BF3CDE">
              <w:rPr>
                <w:rFonts w:asciiTheme="minorHAnsi" w:hAnsiTheme="minorHAnsi"/>
                <w:noProof/>
                <w:lang w:val="sr-Cyrl-CS"/>
              </w:rPr>
              <w:t>2</w:t>
            </w:r>
            <w:r w:rsidR="00AE0E16" w:rsidRPr="00BF3CDE">
              <w:rPr>
                <w:rFonts w:asciiTheme="minorHAnsi" w:hAnsiTheme="minorHAnsi"/>
                <w:noProof/>
                <w:lang w:val="sr-Cyrl-CS"/>
              </w:rPr>
              <w:t>4</w:t>
            </w:r>
          </w:p>
        </w:tc>
        <w:tc>
          <w:tcPr>
            <w:tcW w:w="1218" w:type="pct"/>
            <w:tcBorders>
              <w:top w:val="single" w:sz="8" w:space="0" w:color="4F81BD" w:themeColor="accent1"/>
            </w:tcBorders>
            <w:shd w:val="clear" w:color="auto" w:fill="DBE5F1" w:themeFill="accent1" w:themeFillTint="33"/>
            <w:vAlign w:val="center"/>
          </w:tcPr>
          <w:p w:rsidR="00EA7779" w:rsidRPr="00BF3CDE" w:rsidRDefault="00613313" w:rsidP="00EA7779">
            <w:pPr>
              <w:pStyle w:val="NoSpacing"/>
              <w:jc w:val="center"/>
              <w:rPr>
                <w:rFonts w:asciiTheme="minorHAnsi" w:hAnsiTheme="minorHAnsi"/>
                <w:noProof/>
                <w:lang w:val="sr-Cyrl-CS"/>
              </w:rPr>
            </w:pPr>
            <w:r>
              <w:rPr>
                <w:rFonts w:asciiTheme="minorHAnsi" w:hAnsiTheme="minorHAnsi"/>
                <w:noProof/>
                <w:lang w:val="sr-Cyrl-CS"/>
              </w:rPr>
              <w:t>24</w:t>
            </w:r>
          </w:p>
        </w:tc>
      </w:tr>
      <w:tr w:rsidR="00EA7779" w:rsidRPr="00BF3CDE" w:rsidTr="004011EE">
        <w:trPr>
          <w:cnfStyle w:val="000000100000" w:firstRow="0" w:lastRow="0" w:firstColumn="0" w:lastColumn="0" w:oddVBand="0" w:evenVBand="0" w:oddHBand="1" w:evenHBand="0" w:firstRowFirstColumn="0" w:firstRowLastColumn="0" w:lastRowFirstColumn="0" w:lastRowLastColumn="0"/>
          <w:trHeight w:val="283"/>
          <w:jc w:val="center"/>
        </w:trPr>
        <w:tc>
          <w:tcPr>
            <w:tcW w:w="2558" w:type="pct"/>
            <w:shd w:val="clear" w:color="auto" w:fill="auto"/>
            <w:vAlign w:val="center"/>
          </w:tcPr>
          <w:p w:rsidR="00EA7779" w:rsidRPr="00BF3CDE" w:rsidRDefault="00EA7779" w:rsidP="00EA7779">
            <w:pPr>
              <w:pStyle w:val="NoSpacing"/>
              <w:rPr>
                <w:rFonts w:asciiTheme="minorHAnsi" w:hAnsiTheme="minorHAnsi"/>
                <w:noProof/>
                <w:lang w:val="sr-Cyrl-CS"/>
              </w:rPr>
            </w:pPr>
            <w:r w:rsidRPr="00BF3CDE">
              <w:rPr>
                <w:rFonts w:asciiTheme="minorHAnsi" w:hAnsiTheme="minorHAnsi"/>
                <w:noProof/>
                <w:lang w:val="sr-Cyrl-CS"/>
              </w:rPr>
              <w:t>Виша стручна спрема</w:t>
            </w:r>
          </w:p>
        </w:tc>
        <w:tc>
          <w:tcPr>
            <w:tcW w:w="1224" w:type="pct"/>
            <w:shd w:val="clear" w:color="auto" w:fill="auto"/>
            <w:vAlign w:val="center"/>
          </w:tcPr>
          <w:p w:rsidR="00EA7779" w:rsidRPr="00BF3CDE" w:rsidRDefault="00EA7779" w:rsidP="00EA7779">
            <w:pPr>
              <w:pStyle w:val="NoSpacing"/>
              <w:jc w:val="center"/>
              <w:rPr>
                <w:rFonts w:asciiTheme="minorHAnsi" w:hAnsiTheme="minorHAnsi"/>
                <w:noProof/>
                <w:lang w:val="sr-Cyrl-CS"/>
              </w:rPr>
            </w:pPr>
            <w:r w:rsidRPr="00BF3CDE">
              <w:rPr>
                <w:rFonts w:asciiTheme="minorHAnsi" w:hAnsiTheme="minorHAnsi"/>
                <w:noProof/>
                <w:lang w:val="sr-Cyrl-CS"/>
              </w:rPr>
              <w:t>3</w:t>
            </w:r>
          </w:p>
        </w:tc>
        <w:tc>
          <w:tcPr>
            <w:tcW w:w="1218" w:type="pct"/>
            <w:shd w:val="clear" w:color="auto" w:fill="auto"/>
            <w:vAlign w:val="center"/>
          </w:tcPr>
          <w:p w:rsidR="00EA7779" w:rsidRPr="00BF3CDE" w:rsidRDefault="00EA7779" w:rsidP="00EA7779">
            <w:pPr>
              <w:pStyle w:val="NoSpacing"/>
              <w:jc w:val="center"/>
              <w:rPr>
                <w:rFonts w:asciiTheme="minorHAnsi" w:hAnsiTheme="minorHAnsi"/>
                <w:noProof/>
                <w:lang w:val="sr-Cyrl-CS"/>
              </w:rPr>
            </w:pPr>
            <w:r w:rsidRPr="00BF3CDE">
              <w:rPr>
                <w:rFonts w:asciiTheme="minorHAnsi" w:hAnsiTheme="minorHAnsi"/>
                <w:noProof/>
                <w:lang w:val="sr-Cyrl-CS"/>
              </w:rPr>
              <w:t>3</w:t>
            </w:r>
          </w:p>
        </w:tc>
      </w:tr>
      <w:tr w:rsidR="00EA7779" w:rsidRPr="00BF3CDE" w:rsidTr="004011EE">
        <w:trPr>
          <w:trHeight w:val="283"/>
          <w:jc w:val="center"/>
        </w:trPr>
        <w:tc>
          <w:tcPr>
            <w:tcW w:w="2558" w:type="pct"/>
            <w:tcBorders>
              <w:bottom w:val="single" w:sz="8" w:space="0" w:color="4F81BD" w:themeColor="accent1"/>
            </w:tcBorders>
            <w:shd w:val="clear" w:color="auto" w:fill="DBE5F1" w:themeFill="accent1" w:themeFillTint="33"/>
            <w:vAlign w:val="center"/>
          </w:tcPr>
          <w:p w:rsidR="00EA7779" w:rsidRPr="00BF3CDE" w:rsidRDefault="00EA7779" w:rsidP="00EA7779">
            <w:pPr>
              <w:pStyle w:val="NoSpacing"/>
              <w:rPr>
                <w:rFonts w:asciiTheme="minorHAnsi" w:hAnsiTheme="minorHAnsi"/>
                <w:noProof/>
                <w:lang w:val="sr-Cyrl-CS"/>
              </w:rPr>
            </w:pPr>
            <w:r w:rsidRPr="00BF3CDE">
              <w:rPr>
                <w:rFonts w:asciiTheme="minorHAnsi" w:hAnsiTheme="minorHAnsi"/>
                <w:noProof/>
                <w:lang w:val="sr-Cyrl-CS"/>
              </w:rPr>
              <w:t>Средња стручна спрема</w:t>
            </w:r>
          </w:p>
        </w:tc>
        <w:tc>
          <w:tcPr>
            <w:tcW w:w="1224" w:type="pct"/>
            <w:tcBorders>
              <w:bottom w:val="single" w:sz="8" w:space="0" w:color="4F81BD" w:themeColor="accent1"/>
            </w:tcBorders>
            <w:shd w:val="clear" w:color="auto" w:fill="DBE5F1" w:themeFill="accent1" w:themeFillTint="33"/>
            <w:vAlign w:val="center"/>
          </w:tcPr>
          <w:p w:rsidR="00EA7779" w:rsidRPr="00BF3CDE" w:rsidRDefault="00AE0E16" w:rsidP="00EA7779">
            <w:pPr>
              <w:pStyle w:val="NoSpacing"/>
              <w:jc w:val="center"/>
              <w:rPr>
                <w:rFonts w:asciiTheme="minorHAnsi" w:hAnsiTheme="minorHAnsi"/>
                <w:noProof/>
                <w:lang w:val="sr-Cyrl-CS"/>
              </w:rPr>
            </w:pPr>
            <w:r w:rsidRPr="00BF3CDE">
              <w:rPr>
                <w:rFonts w:asciiTheme="minorHAnsi" w:hAnsiTheme="minorHAnsi"/>
                <w:noProof/>
                <w:lang w:val="sr-Cyrl-CS"/>
              </w:rPr>
              <w:t>5</w:t>
            </w:r>
          </w:p>
        </w:tc>
        <w:tc>
          <w:tcPr>
            <w:tcW w:w="1218" w:type="pct"/>
            <w:tcBorders>
              <w:bottom w:val="single" w:sz="8" w:space="0" w:color="4F81BD" w:themeColor="accent1"/>
            </w:tcBorders>
            <w:shd w:val="clear" w:color="auto" w:fill="DBE5F1" w:themeFill="accent1" w:themeFillTint="33"/>
            <w:vAlign w:val="center"/>
          </w:tcPr>
          <w:p w:rsidR="00EA7779" w:rsidRPr="00BF3CDE" w:rsidRDefault="00EA7779" w:rsidP="00EA7779">
            <w:pPr>
              <w:pStyle w:val="NoSpacing"/>
              <w:jc w:val="center"/>
              <w:rPr>
                <w:rFonts w:asciiTheme="minorHAnsi" w:hAnsiTheme="minorHAnsi"/>
                <w:noProof/>
                <w:lang w:val="sr-Cyrl-CS"/>
              </w:rPr>
            </w:pPr>
            <w:r w:rsidRPr="00BF3CDE">
              <w:rPr>
                <w:rFonts w:asciiTheme="minorHAnsi" w:hAnsiTheme="minorHAnsi"/>
                <w:noProof/>
                <w:lang w:val="sr-Cyrl-CS"/>
              </w:rPr>
              <w:t>5</w:t>
            </w:r>
          </w:p>
        </w:tc>
      </w:tr>
      <w:tr w:rsidR="00A12FD6" w:rsidRPr="00BF3CDE" w:rsidTr="0057338D">
        <w:trPr>
          <w:cnfStyle w:val="000000100000" w:firstRow="0" w:lastRow="0" w:firstColumn="0" w:lastColumn="0" w:oddVBand="0" w:evenVBand="0" w:oddHBand="1" w:evenHBand="0" w:firstRowFirstColumn="0" w:firstRowLastColumn="0" w:lastRowFirstColumn="0" w:lastRowLastColumn="0"/>
          <w:trHeight w:val="397"/>
          <w:jc w:val="center"/>
        </w:trPr>
        <w:tc>
          <w:tcPr>
            <w:tcW w:w="2558" w:type="pct"/>
            <w:tcBorders>
              <w:top w:val="single" w:sz="8" w:space="0" w:color="4F81BD" w:themeColor="accent1"/>
              <w:bottom w:val="single" w:sz="8" w:space="0" w:color="4F81BD" w:themeColor="accent1"/>
            </w:tcBorders>
            <w:shd w:val="clear" w:color="auto" w:fill="auto"/>
            <w:vAlign w:val="center"/>
          </w:tcPr>
          <w:p w:rsidR="00F11E3C" w:rsidRPr="00BF3CDE" w:rsidRDefault="00F11E3C" w:rsidP="00EA7779">
            <w:pPr>
              <w:pStyle w:val="NoSpacing"/>
              <w:jc w:val="center"/>
              <w:rPr>
                <w:rFonts w:asciiTheme="minorHAnsi" w:hAnsiTheme="minorHAnsi"/>
                <w:b/>
                <w:noProof/>
                <w:lang w:val="sr-Cyrl-CS"/>
              </w:rPr>
            </w:pPr>
            <w:r w:rsidRPr="00BF3CDE">
              <w:rPr>
                <w:rFonts w:asciiTheme="minorHAnsi" w:hAnsiTheme="minorHAnsi"/>
                <w:b/>
                <w:noProof/>
                <w:lang w:val="sr-Cyrl-CS"/>
              </w:rPr>
              <w:t>Укупно</w:t>
            </w:r>
          </w:p>
        </w:tc>
        <w:tc>
          <w:tcPr>
            <w:tcW w:w="1224" w:type="pct"/>
            <w:tcBorders>
              <w:top w:val="single" w:sz="8" w:space="0" w:color="4F81BD" w:themeColor="accent1"/>
              <w:bottom w:val="single" w:sz="8" w:space="0" w:color="4F81BD" w:themeColor="accent1"/>
            </w:tcBorders>
            <w:shd w:val="clear" w:color="auto" w:fill="auto"/>
            <w:vAlign w:val="center"/>
          </w:tcPr>
          <w:p w:rsidR="00F11E3C" w:rsidRPr="00BF3CDE" w:rsidRDefault="00A57879" w:rsidP="00AE0E16">
            <w:pPr>
              <w:pStyle w:val="NoSpacing"/>
              <w:jc w:val="center"/>
              <w:rPr>
                <w:rFonts w:asciiTheme="minorHAnsi" w:hAnsiTheme="minorHAnsi"/>
                <w:b/>
                <w:noProof/>
                <w:lang w:val="sr-Cyrl-CS"/>
              </w:rPr>
            </w:pPr>
            <w:r w:rsidRPr="00BF3CDE">
              <w:rPr>
                <w:rFonts w:asciiTheme="minorHAnsi" w:hAnsiTheme="minorHAnsi"/>
                <w:b/>
                <w:noProof/>
                <w:lang w:val="sr-Cyrl-CS"/>
              </w:rPr>
              <w:t>3</w:t>
            </w:r>
            <w:r w:rsidR="00AE0E16" w:rsidRPr="00BF3CDE">
              <w:rPr>
                <w:rFonts w:asciiTheme="minorHAnsi" w:hAnsiTheme="minorHAnsi"/>
                <w:b/>
                <w:noProof/>
                <w:lang w:val="sr-Cyrl-CS"/>
              </w:rPr>
              <w:t>2</w:t>
            </w:r>
          </w:p>
        </w:tc>
        <w:tc>
          <w:tcPr>
            <w:tcW w:w="1218" w:type="pct"/>
            <w:tcBorders>
              <w:top w:val="single" w:sz="8" w:space="0" w:color="4F81BD" w:themeColor="accent1"/>
              <w:bottom w:val="single" w:sz="8" w:space="0" w:color="4F81BD" w:themeColor="accent1"/>
            </w:tcBorders>
            <w:shd w:val="clear" w:color="auto" w:fill="auto"/>
            <w:vAlign w:val="center"/>
          </w:tcPr>
          <w:p w:rsidR="00F11E3C" w:rsidRPr="00BF3CDE" w:rsidRDefault="00F11E3C" w:rsidP="00613313">
            <w:pPr>
              <w:pStyle w:val="NoSpacing"/>
              <w:jc w:val="center"/>
              <w:rPr>
                <w:rFonts w:asciiTheme="minorHAnsi" w:hAnsiTheme="minorHAnsi"/>
                <w:b/>
                <w:noProof/>
                <w:lang w:val="sr-Cyrl-CS"/>
              </w:rPr>
            </w:pPr>
            <w:r w:rsidRPr="00BF3CDE">
              <w:rPr>
                <w:rFonts w:asciiTheme="minorHAnsi" w:hAnsiTheme="minorHAnsi"/>
                <w:b/>
                <w:noProof/>
                <w:lang w:val="sr-Cyrl-CS"/>
              </w:rPr>
              <w:t>3</w:t>
            </w:r>
            <w:r w:rsidR="00613313">
              <w:rPr>
                <w:rFonts w:asciiTheme="minorHAnsi" w:hAnsiTheme="minorHAnsi"/>
                <w:b/>
                <w:noProof/>
                <w:lang w:val="sr-Cyrl-CS"/>
              </w:rPr>
              <w:t>2</w:t>
            </w:r>
          </w:p>
        </w:tc>
      </w:tr>
      <w:tr w:rsidR="00A12FD6" w:rsidRPr="00BF3CDE" w:rsidTr="0057338D">
        <w:trPr>
          <w:cnfStyle w:val="010000000000" w:firstRow="0" w:lastRow="1" w:firstColumn="0" w:lastColumn="0" w:oddVBand="0" w:evenVBand="0" w:oddHBand="0" w:evenHBand="0" w:firstRowFirstColumn="0" w:firstRowLastColumn="0" w:lastRowFirstColumn="0" w:lastRowLastColumn="0"/>
          <w:trHeight w:val="397"/>
          <w:jc w:val="center"/>
        </w:trPr>
        <w:tc>
          <w:tcPr>
            <w:tcW w:w="2558" w:type="pct"/>
            <w:vAlign w:val="center"/>
          </w:tcPr>
          <w:p w:rsidR="00F11E3C" w:rsidRPr="00BF3CDE" w:rsidRDefault="00F11E3C" w:rsidP="00EA7779">
            <w:pPr>
              <w:pStyle w:val="NoSpacing"/>
              <w:jc w:val="center"/>
              <w:rPr>
                <w:rFonts w:asciiTheme="minorHAnsi" w:hAnsiTheme="minorHAnsi"/>
                <w:noProof/>
                <w:lang w:val="sr-Cyrl-CS"/>
              </w:rPr>
            </w:pPr>
            <w:r w:rsidRPr="00BF3CDE">
              <w:rPr>
                <w:rFonts w:asciiTheme="minorHAnsi" w:hAnsiTheme="minorHAnsi"/>
                <w:noProof/>
                <w:lang w:val="sr-Cyrl-CS"/>
              </w:rPr>
              <w:t>Просечан број запослених</w:t>
            </w:r>
          </w:p>
        </w:tc>
        <w:tc>
          <w:tcPr>
            <w:tcW w:w="1224" w:type="pct"/>
            <w:vAlign w:val="center"/>
          </w:tcPr>
          <w:p w:rsidR="00F11E3C" w:rsidRPr="00BF3CDE" w:rsidRDefault="00A57879" w:rsidP="00613313">
            <w:pPr>
              <w:pStyle w:val="NoSpacing"/>
              <w:jc w:val="center"/>
              <w:rPr>
                <w:rFonts w:asciiTheme="minorHAnsi" w:hAnsiTheme="minorHAnsi"/>
                <w:noProof/>
                <w:lang w:val="sr-Cyrl-CS"/>
              </w:rPr>
            </w:pPr>
            <w:r w:rsidRPr="00BF3CDE">
              <w:rPr>
                <w:rFonts w:asciiTheme="minorHAnsi" w:hAnsiTheme="minorHAnsi"/>
                <w:noProof/>
                <w:lang w:val="sr-Cyrl-CS"/>
              </w:rPr>
              <w:t>3</w:t>
            </w:r>
            <w:r w:rsidR="00613313">
              <w:rPr>
                <w:rFonts w:asciiTheme="minorHAnsi" w:hAnsiTheme="minorHAnsi"/>
                <w:noProof/>
                <w:lang w:val="sr-Cyrl-CS"/>
              </w:rPr>
              <w:t>2</w:t>
            </w:r>
          </w:p>
        </w:tc>
        <w:tc>
          <w:tcPr>
            <w:tcW w:w="1218" w:type="pct"/>
            <w:vAlign w:val="center"/>
          </w:tcPr>
          <w:p w:rsidR="00F11E3C" w:rsidRPr="00BF3CDE" w:rsidRDefault="00F11E3C" w:rsidP="00EA7779">
            <w:pPr>
              <w:pStyle w:val="NoSpacing"/>
              <w:jc w:val="center"/>
              <w:rPr>
                <w:rFonts w:asciiTheme="minorHAnsi" w:hAnsiTheme="minorHAnsi"/>
                <w:noProof/>
                <w:lang w:val="sr-Cyrl-CS"/>
              </w:rPr>
            </w:pPr>
            <w:r w:rsidRPr="00BF3CDE">
              <w:rPr>
                <w:rFonts w:asciiTheme="minorHAnsi" w:hAnsiTheme="minorHAnsi"/>
                <w:noProof/>
                <w:lang w:val="sr-Cyrl-CS"/>
              </w:rPr>
              <w:t>3</w:t>
            </w:r>
            <w:r w:rsidR="00EA7779" w:rsidRPr="00BF3CDE">
              <w:rPr>
                <w:rFonts w:asciiTheme="minorHAnsi" w:hAnsiTheme="minorHAnsi"/>
                <w:noProof/>
                <w:lang w:val="sr-Cyrl-CS"/>
              </w:rPr>
              <w:t>2</w:t>
            </w:r>
          </w:p>
        </w:tc>
      </w:tr>
    </w:tbl>
    <w:p w:rsidR="00F11E3C" w:rsidRPr="00BF3CDE" w:rsidRDefault="00F11E3C" w:rsidP="00A12FD6">
      <w:pPr>
        <w:spacing w:after="100"/>
        <w:ind w:firstLine="567"/>
        <w:jc w:val="both"/>
        <w:rPr>
          <w:noProof/>
          <w:sz w:val="10"/>
          <w:szCs w:val="10"/>
          <w:highlight w:val="yellow"/>
          <w:lang w:val="sr-Cyrl-CS"/>
        </w:rPr>
      </w:pPr>
    </w:p>
    <w:p w:rsidR="004011EE" w:rsidRPr="00BF3CDE" w:rsidRDefault="004011EE" w:rsidP="00EA7779">
      <w:pPr>
        <w:spacing w:after="100" w:afterAutospacing="1" w:line="240" w:lineRule="auto"/>
        <w:rPr>
          <w:rStyle w:val="IntenseEmphasis"/>
          <w:noProof/>
          <w:lang w:val="sr-Cyrl-CS"/>
        </w:rPr>
      </w:pPr>
    </w:p>
    <w:p w:rsidR="00EA7779" w:rsidRPr="00BF3CDE" w:rsidRDefault="00EA7779" w:rsidP="00EA7779">
      <w:pPr>
        <w:spacing w:after="100" w:afterAutospacing="1" w:line="240" w:lineRule="auto"/>
        <w:rPr>
          <w:rStyle w:val="IntenseEmphasis"/>
          <w:noProof/>
          <w:lang w:val="sr-Cyrl-CS"/>
        </w:rPr>
      </w:pPr>
      <w:r w:rsidRPr="00BF3CDE">
        <w:rPr>
          <w:rStyle w:val="IntenseEmphasis"/>
          <w:noProof/>
          <w:lang w:val="sr-Cyrl-CS"/>
        </w:rPr>
        <w:t>Организациона структура</w:t>
      </w:r>
    </w:p>
    <w:p w:rsidR="00EA7779" w:rsidRDefault="00EA7779" w:rsidP="00EA7779">
      <w:pPr>
        <w:jc w:val="center"/>
        <w:rPr>
          <w:rStyle w:val="IntenseEmphasis"/>
          <w:rFonts w:asciiTheme="majorHAnsi" w:hAnsiTheme="majorHAnsi"/>
          <w:noProof/>
          <w:lang w:val="sr-Cyrl-CS"/>
        </w:rPr>
      </w:pPr>
      <w:r w:rsidRPr="00BF3CDE">
        <w:rPr>
          <w:rStyle w:val="IntenseEmphasis"/>
          <w:rFonts w:asciiTheme="majorHAnsi" w:hAnsiTheme="majorHAnsi"/>
          <w:noProof/>
          <w:lang w:val="sr-Cyrl-CS"/>
        </w:rPr>
        <w:t>Организациона структура Друштва на дан 31.12.201</w:t>
      </w:r>
      <w:r w:rsidR="002C10E6">
        <w:rPr>
          <w:rStyle w:val="IntenseEmphasis"/>
          <w:rFonts w:asciiTheme="majorHAnsi" w:hAnsiTheme="majorHAnsi"/>
          <w:noProof/>
          <w:lang w:val="sr-Cyrl-CS"/>
        </w:rPr>
        <w:t>5</w:t>
      </w:r>
      <w:r w:rsidRPr="00BF3CDE">
        <w:rPr>
          <w:rStyle w:val="IntenseEmphasis"/>
          <w:rFonts w:asciiTheme="majorHAnsi" w:hAnsiTheme="majorHAnsi"/>
          <w:noProof/>
          <w:lang w:val="sr-Cyrl-CS"/>
        </w:rPr>
        <w:t>. године</w:t>
      </w:r>
    </w:p>
    <w:p w:rsidR="00C169CE" w:rsidRPr="00BF3CDE" w:rsidRDefault="00EF0ADA" w:rsidP="00EA7779">
      <w:pPr>
        <w:jc w:val="center"/>
        <w:rPr>
          <w:rStyle w:val="IntenseEmphasis"/>
          <w:rFonts w:asciiTheme="majorHAnsi" w:hAnsiTheme="majorHAnsi"/>
          <w:noProof/>
          <w:lang w:val="sr-Cyrl-CS"/>
        </w:rPr>
      </w:pPr>
      <w:r>
        <w:rPr>
          <w:noProof/>
          <w:lang w:val="sr-Latn-RS" w:eastAsia="sr-Latn-RS"/>
        </w:rPr>
        <w:drawing>
          <wp:inline distT="0" distB="0" distL="0" distR="0" wp14:anchorId="05EC528B" wp14:editId="562763A7">
            <wp:extent cx="5657850" cy="5343525"/>
            <wp:effectExtent l="0" t="0" r="0" b="9525"/>
            <wp:docPr id="26" name="Picture 2"/>
            <wp:cNvGraphicFramePr/>
            <a:graphic xmlns:a="http://schemas.openxmlformats.org/drawingml/2006/main">
              <a:graphicData uri="http://schemas.openxmlformats.org/drawingml/2006/picture">
                <pic:pic xmlns:pic="http://schemas.openxmlformats.org/drawingml/2006/picture">
                  <pic:nvPicPr>
                    <pic:cNvPr id="3" name="Picture 2"/>
                    <pic:cNvPicPr/>
                  </pic:nvPicPr>
                  <pic:blipFill>
                    <a:blip r:embed="rId10"/>
                    <a:stretch>
                      <a:fillRect/>
                    </a:stretch>
                  </pic:blipFill>
                  <pic:spPr>
                    <a:xfrm>
                      <a:off x="0" y="0"/>
                      <a:ext cx="5655980" cy="5341759"/>
                    </a:xfrm>
                    <a:prstGeom prst="rect">
                      <a:avLst/>
                    </a:prstGeom>
                  </pic:spPr>
                </pic:pic>
              </a:graphicData>
            </a:graphic>
          </wp:inline>
        </w:drawing>
      </w:r>
    </w:p>
    <w:p w:rsidR="00672ABD" w:rsidRPr="00503034" w:rsidRDefault="00672ABD" w:rsidP="00860C32">
      <w:pPr>
        <w:pStyle w:val="Heading1"/>
        <w:numPr>
          <w:ilvl w:val="0"/>
          <w:numId w:val="28"/>
        </w:numPr>
      </w:pPr>
      <w:bookmarkStart w:id="3" w:name="_Toc445975011"/>
      <w:r>
        <w:t>АКТИВНОСТИ НА УСКЛАЂИВАЊУ СА ЗАКОНОМ О ОСИГУРАЊУ</w:t>
      </w:r>
      <w:bookmarkEnd w:id="3"/>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У току 2005. године, након спроведеног усклађивања Статута Друштва са Законом о осигурању, извршена је промена у регистрацији назива Друштва у „Дунав Ре“ а.д.о.</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Следеће измене и допуне Статута Друштво је усвојило дана 28.06.2012. године, како би се спровело усклађивање са новим Законом о привредним друштвима.</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 xml:space="preserve"> Статутом је дефинисан избор, опозив, делокруг рада и начин одлучивања органа Друштва за реосигурање „Дунав Ре“ а.д.о. Органи Друштва су: Скупштина, Извршни одбор, Надзорни одбор и Генерални директор.</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Дана 18.12.2014. године усвојен је нови Закон о осигурању, док су у току 2015. године усвојена и сва пратећа подзаконска акта. Друштва  за  осигурање  била су у обавези да своје пословање, имовину, капитал, обавезе, органе, организацију и акте ускладе са одредбама новог закона у року од годину дана од дана ступања на снагу овог закона.</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У складу са чланом 268. Закона о осигурању и Обавештењем Народне банке Србије, Друштво је дана 27.10.2015. године Народној банци Србије доставило следећу документацију:</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521CE0">
      <w:pPr>
        <w:pStyle w:val="NoSpacing"/>
        <w:numPr>
          <w:ilvl w:val="0"/>
          <w:numId w:val="29"/>
        </w:numPr>
        <w:jc w:val="both"/>
        <w:rPr>
          <w:rFonts w:eastAsiaTheme="minorHAnsi"/>
          <w:noProof/>
          <w:sz w:val="20"/>
          <w:szCs w:val="20"/>
          <w:lang w:val="sr-Cyrl-CS" w:eastAsia="en-US"/>
        </w:rPr>
      </w:pPr>
      <w:r w:rsidRPr="00672ABD">
        <w:rPr>
          <w:rFonts w:eastAsiaTheme="minorHAnsi"/>
          <w:noProof/>
          <w:sz w:val="20"/>
          <w:szCs w:val="20"/>
          <w:lang w:val="sr-Cyrl-CS" w:eastAsia="en-US"/>
        </w:rPr>
        <w:t>предлог одлуке о изменама и допунама статута Друштва</w:t>
      </w:r>
    </w:p>
    <w:p w:rsidR="00672ABD" w:rsidRPr="00672ABD" w:rsidRDefault="00672ABD" w:rsidP="00521CE0">
      <w:pPr>
        <w:pStyle w:val="NoSpacing"/>
        <w:numPr>
          <w:ilvl w:val="0"/>
          <w:numId w:val="29"/>
        </w:numPr>
        <w:jc w:val="both"/>
        <w:rPr>
          <w:rFonts w:eastAsiaTheme="minorHAnsi"/>
          <w:noProof/>
          <w:sz w:val="20"/>
          <w:szCs w:val="20"/>
          <w:lang w:val="sr-Cyrl-CS" w:eastAsia="en-US"/>
        </w:rPr>
      </w:pPr>
      <w:r w:rsidRPr="00672ABD">
        <w:rPr>
          <w:rFonts w:eastAsiaTheme="minorHAnsi"/>
          <w:noProof/>
          <w:sz w:val="20"/>
          <w:szCs w:val="20"/>
          <w:lang w:val="sr-Cyrl-CS" w:eastAsia="en-US"/>
        </w:rPr>
        <w:t>доказ да Друштво у поступку усклађивања располаже капиталом који је прописан новим законом о осигурању</w:t>
      </w:r>
    </w:p>
    <w:p w:rsidR="00672ABD" w:rsidRPr="00672ABD" w:rsidRDefault="00672ABD" w:rsidP="00521CE0">
      <w:pPr>
        <w:pStyle w:val="NoSpacing"/>
        <w:numPr>
          <w:ilvl w:val="0"/>
          <w:numId w:val="29"/>
        </w:numPr>
        <w:jc w:val="both"/>
        <w:rPr>
          <w:rFonts w:eastAsiaTheme="minorHAnsi"/>
          <w:noProof/>
          <w:sz w:val="20"/>
          <w:szCs w:val="20"/>
          <w:lang w:val="sr-Cyrl-CS" w:eastAsia="en-US"/>
        </w:rPr>
      </w:pPr>
      <w:r w:rsidRPr="00672ABD">
        <w:rPr>
          <w:rFonts w:eastAsiaTheme="minorHAnsi"/>
          <w:noProof/>
          <w:sz w:val="20"/>
          <w:szCs w:val="20"/>
          <w:lang w:val="sr-Cyrl-CS" w:eastAsia="en-US"/>
        </w:rPr>
        <w:t>пословни план Друштва</w:t>
      </w:r>
    </w:p>
    <w:p w:rsidR="00672ABD" w:rsidRPr="0014263F" w:rsidRDefault="00672ABD" w:rsidP="00521CE0">
      <w:pPr>
        <w:pStyle w:val="NoSpacing"/>
        <w:numPr>
          <w:ilvl w:val="0"/>
          <w:numId w:val="29"/>
        </w:numPr>
        <w:jc w:val="both"/>
        <w:rPr>
          <w:rFonts w:eastAsiaTheme="minorHAnsi"/>
          <w:noProof/>
          <w:sz w:val="20"/>
          <w:szCs w:val="20"/>
          <w:lang w:val="sr-Cyrl-CS" w:eastAsia="en-US"/>
        </w:rPr>
      </w:pPr>
      <w:r w:rsidRPr="00672ABD">
        <w:rPr>
          <w:rFonts w:eastAsiaTheme="minorHAnsi"/>
          <w:noProof/>
          <w:sz w:val="20"/>
          <w:szCs w:val="20"/>
          <w:lang w:val="sr-Cyrl-CS" w:eastAsia="en-US"/>
        </w:rPr>
        <w:t>предлоге аката пословне политике и других аката: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Одлука о критеријумима за утврђивање, начину утврђивања и табели максималног самопридржаја и укупном износу самопридржаја, са Мишљењем овлашћеног актуара (Мишљење актуара је један докуменат али садржи посебна мишљења за сваки акт пословне политике)</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условима и начину саосигурања и реосигурања, са мишљењем овлашћеног актуара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 за преносне премије, са мишљењем овлашћеног актуара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 за неистекле ризике, са мишљењем овлашћеног актуара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 за бонусе и попусте, са мишљењем овлашћеног актуара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резервисаних штета, са мишљењем овлашћеног актуара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математичке резерве, са мишљењем овлашћеног актуара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 за изравнање ризика, са мишљењем овлашћеног актуара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Инвестициона политика са правилима инвестирања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максималним стопама режијског додатка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условима и начину остваривања регреса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поверавању послова трећим лицима</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Рачуноводствене политике и Правилник о рачуноводству</w:t>
      </w:r>
    </w:p>
    <w:p w:rsidR="00672ABD" w:rsidRPr="00672ABD" w:rsidRDefault="00672ABD" w:rsidP="00521CE0">
      <w:pPr>
        <w:pStyle w:val="NoSpacing"/>
        <w:numPr>
          <w:ilvl w:val="1"/>
          <w:numId w:val="29"/>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Изјава законског заступника Друштва са списком аката који су престали да важе у поступку усклађивања, без обавезе замене истих другим актом</w:t>
      </w:r>
    </w:p>
    <w:p w:rsidR="00672ABD" w:rsidRPr="00672ABD" w:rsidRDefault="00672ABD" w:rsidP="00521CE0">
      <w:pPr>
        <w:pStyle w:val="NoSpacing"/>
        <w:numPr>
          <w:ilvl w:val="0"/>
          <w:numId w:val="29"/>
        </w:numPr>
        <w:spacing w:before="20" w:after="20"/>
        <w:ind w:left="1003" w:hanging="357"/>
        <w:jc w:val="both"/>
        <w:rPr>
          <w:rFonts w:eastAsiaTheme="minorHAnsi"/>
          <w:noProof/>
          <w:sz w:val="20"/>
          <w:szCs w:val="20"/>
          <w:lang w:val="sr-Cyrl-CS" w:eastAsia="en-US"/>
        </w:rPr>
      </w:pPr>
      <w:r w:rsidRPr="00672ABD">
        <w:rPr>
          <w:rFonts w:eastAsiaTheme="minorHAnsi"/>
          <w:noProof/>
          <w:sz w:val="20"/>
          <w:szCs w:val="20"/>
          <w:lang w:val="sr-Cyrl-CS" w:eastAsia="en-US"/>
        </w:rPr>
        <w:t>предлог система управљања</w:t>
      </w:r>
    </w:p>
    <w:p w:rsidR="00672ABD" w:rsidRPr="00672ABD" w:rsidRDefault="00672ABD" w:rsidP="00521CE0">
      <w:pPr>
        <w:pStyle w:val="NoSpacing"/>
        <w:numPr>
          <w:ilvl w:val="0"/>
          <w:numId w:val="29"/>
        </w:numPr>
        <w:spacing w:before="20" w:after="20"/>
        <w:ind w:left="1003" w:hanging="357"/>
        <w:jc w:val="both"/>
        <w:rPr>
          <w:rFonts w:eastAsiaTheme="minorHAnsi"/>
          <w:noProof/>
          <w:sz w:val="20"/>
          <w:szCs w:val="20"/>
          <w:lang w:val="sr-Cyrl-CS" w:eastAsia="en-US"/>
        </w:rPr>
      </w:pPr>
      <w:r w:rsidRPr="00672ABD">
        <w:rPr>
          <w:rFonts w:eastAsiaTheme="minorHAnsi"/>
          <w:noProof/>
          <w:sz w:val="20"/>
          <w:szCs w:val="20"/>
          <w:lang w:val="sr-Cyrl-CS" w:eastAsia="en-US"/>
        </w:rPr>
        <w:t>подаци о акционарима друштва</w:t>
      </w:r>
    </w:p>
    <w:p w:rsidR="00672ABD" w:rsidRPr="00672ABD" w:rsidRDefault="00672ABD" w:rsidP="00521CE0">
      <w:pPr>
        <w:pStyle w:val="NoSpacing"/>
        <w:numPr>
          <w:ilvl w:val="0"/>
          <w:numId w:val="29"/>
        </w:numPr>
        <w:spacing w:before="20" w:after="20"/>
        <w:ind w:left="1003" w:hanging="357"/>
        <w:jc w:val="both"/>
        <w:rPr>
          <w:rFonts w:eastAsiaTheme="minorHAnsi"/>
          <w:noProof/>
          <w:sz w:val="20"/>
          <w:szCs w:val="20"/>
          <w:lang w:val="sr-Cyrl-CS" w:eastAsia="en-US"/>
        </w:rPr>
      </w:pPr>
      <w:r w:rsidRPr="00672ABD">
        <w:rPr>
          <w:rFonts w:eastAsiaTheme="minorHAnsi"/>
          <w:noProof/>
          <w:sz w:val="20"/>
          <w:szCs w:val="20"/>
          <w:lang w:val="sr-Cyrl-CS" w:eastAsia="en-US"/>
        </w:rPr>
        <w:t>подаци о члановима извршног одбора и надзорног одбора</w:t>
      </w:r>
    </w:p>
    <w:p w:rsidR="00672ABD" w:rsidRPr="00672ABD" w:rsidRDefault="00672ABD" w:rsidP="00521CE0">
      <w:pPr>
        <w:pStyle w:val="NoSpacing"/>
        <w:numPr>
          <w:ilvl w:val="0"/>
          <w:numId w:val="29"/>
        </w:numPr>
        <w:spacing w:before="20" w:after="20"/>
        <w:ind w:left="1003" w:hanging="357"/>
        <w:jc w:val="both"/>
        <w:rPr>
          <w:rFonts w:eastAsiaTheme="minorHAnsi"/>
          <w:noProof/>
          <w:sz w:val="20"/>
          <w:szCs w:val="20"/>
          <w:lang w:val="sr-Cyrl-CS" w:eastAsia="en-US"/>
        </w:rPr>
      </w:pPr>
      <w:r w:rsidRPr="00672ABD">
        <w:rPr>
          <w:rFonts w:eastAsiaTheme="minorHAnsi"/>
          <w:noProof/>
          <w:sz w:val="20"/>
          <w:szCs w:val="20"/>
          <w:lang w:val="sr-Cyrl-CS" w:eastAsia="en-US"/>
        </w:rPr>
        <w:t>доказ о потребној организационој и кадровској оспособљености друштва</w:t>
      </w:r>
    </w:p>
    <w:p w:rsidR="00672ABD" w:rsidRPr="00672ABD" w:rsidRDefault="00672ABD" w:rsidP="00521CE0">
      <w:pPr>
        <w:pStyle w:val="NoSpacing"/>
        <w:numPr>
          <w:ilvl w:val="0"/>
          <w:numId w:val="29"/>
        </w:numPr>
        <w:spacing w:before="20" w:after="20"/>
        <w:ind w:left="1003" w:hanging="357"/>
        <w:jc w:val="both"/>
        <w:rPr>
          <w:rFonts w:eastAsiaTheme="minorHAnsi"/>
          <w:noProof/>
          <w:sz w:val="20"/>
          <w:szCs w:val="20"/>
          <w:lang w:val="sr-Cyrl-CS" w:eastAsia="en-US"/>
        </w:rPr>
      </w:pPr>
      <w:r w:rsidRPr="00672ABD">
        <w:rPr>
          <w:rFonts w:eastAsiaTheme="minorHAnsi"/>
          <w:noProof/>
          <w:sz w:val="20"/>
          <w:szCs w:val="20"/>
          <w:lang w:val="sr-Cyrl-CS" w:eastAsia="en-US"/>
        </w:rPr>
        <w:t>Предлог Правилника о унутрашњој организацији и систематизацији радних места у Друштву</w:t>
      </w:r>
    </w:p>
    <w:p w:rsidR="00672ABD" w:rsidRPr="00672ABD" w:rsidRDefault="00672ABD" w:rsidP="00521CE0">
      <w:pPr>
        <w:pStyle w:val="NoSpacing"/>
        <w:numPr>
          <w:ilvl w:val="0"/>
          <w:numId w:val="29"/>
        </w:numPr>
        <w:spacing w:before="20" w:after="20"/>
        <w:ind w:left="1003" w:hanging="357"/>
        <w:jc w:val="both"/>
        <w:rPr>
          <w:rFonts w:eastAsiaTheme="minorHAnsi"/>
          <w:noProof/>
          <w:sz w:val="20"/>
          <w:szCs w:val="20"/>
          <w:lang w:val="sr-Cyrl-CS" w:eastAsia="en-US"/>
        </w:rPr>
      </w:pPr>
      <w:r w:rsidRPr="00672ABD">
        <w:rPr>
          <w:rFonts w:eastAsiaTheme="minorHAnsi"/>
          <w:noProof/>
          <w:sz w:val="20"/>
          <w:szCs w:val="20"/>
          <w:lang w:val="sr-Cyrl-CS" w:eastAsia="en-US"/>
        </w:rPr>
        <w:t>обавештење о томе да ли друштво обавља послове преко огранка у иностранству, односно о непосредном обављању тих послова у иностранству.</w:t>
      </w:r>
    </w:p>
    <w:p w:rsidR="00672ABD" w:rsidRPr="00672ABD" w:rsidRDefault="00672ABD" w:rsidP="00672ABD">
      <w:pPr>
        <w:pStyle w:val="NoSpacing"/>
        <w:ind w:left="100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Дописом КГ бр. 4769/1/15 од 30.12.2015. године, Народна банке Србије је након оцене захтева за усклађивање и провере достављене документације, затражила од Друштва за реосигурање „Дунав Ре“ а.д.о. Београд, да у року од 30 дана од дана пријема истог, достави потребне доказе и документацију и изврши наведене исправке и допуне.</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Поступајући у свему по наведеном допису, Дурштво је дана 22.01.2016. године доставило Народној банци Србије следеће:</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1.</w:t>
      </w:r>
      <w:r w:rsidRPr="00672ABD">
        <w:rPr>
          <w:rFonts w:eastAsiaTheme="minorHAnsi"/>
          <w:noProof/>
          <w:sz w:val="20"/>
          <w:szCs w:val="20"/>
          <w:lang w:val="sr-Cyrl-CS" w:eastAsia="en-US"/>
        </w:rPr>
        <w:tab/>
        <w:t>Предлог Статута</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Нови предлог Одлуке о изменама и допунама Статута у који су унете све захтеване исправке и допуне, као и нови Пречишћени текст Статута измењен у складу са новим предлогом Одлуке.</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2.</w:t>
      </w:r>
      <w:r w:rsidRPr="00672ABD">
        <w:rPr>
          <w:rFonts w:eastAsiaTheme="minorHAnsi"/>
          <w:noProof/>
          <w:sz w:val="20"/>
          <w:szCs w:val="20"/>
          <w:lang w:val="sr-Cyrl-CS" w:eastAsia="en-US"/>
        </w:rPr>
        <w:tab/>
        <w:t>Правилник о организацији и систематизацији послова</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Нови предлог Правилника са допуњеном одредбом члана 37. о почетку примене овог Правилника.</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3.</w:t>
      </w:r>
      <w:r w:rsidRPr="00672ABD">
        <w:rPr>
          <w:rFonts w:eastAsiaTheme="minorHAnsi"/>
          <w:noProof/>
          <w:sz w:val="20"/>
          <w:szCs w:val="20"/>
          <w:lang w:val="sr-Cyrl-CS" w:eastAsia="en-US"/>
        </w:rPr>
        <w:tab/>
        <w:t>Одлука о критеријумима за утврђивање, начину утврђивања и табели максималног самопридржаја и укупном износу самопридржаја</w:t>
      </w:r>
    </w:p>
    <w:p w:rsid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Нови предлог Одлуке са измењеним ставом 2. члана 2., брисаним ставом 2. члана 4. и измењеним ставом 2. члана 6.</w:t>
      </w:r>
    </w:p>
    <w:p w:rsidR="0014263F" w:rsidRPr="00672ABD" w:rsidRDefault="0014263F"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4.</w:t>
      </w:r>
      <w:r w:rsidRPr="00672ABD">
        <w:rPr>
          <w:rFonts w:eastAsiaTheme="minorHAnsi"/>
          <w:noProof/>
          <w:sz w:val="20"/>
          <w:szCs w:val="20"/>
          <w:lang w:val="sr-Cyrl-CS" w:eastAsia="en-US"/>
        </w:rPr>
        <w:tab/>
        <w:t>Правилник о саосигурању и реосигурању</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Нови предлог Правилника допуњен са одредбама којима се регулише начин утврђивања ризичности друштава од којих се прихватају ризици и којима се ризици преносе у саосигурање и ретроцесију са допуњеним Мишљењем овлашћеног актуара.</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5.</w:t>
      </w:r>
      <w:r w:rsidRPr="00672ABD">
        <w:rPr>
          <w:rFonts w:eastAsiaTheme="minorHAnsi"/>
          <w:noProof/>
          <w:sz w:val="20"/>
          <w:szCs w:val="20"/>
          <w:lang w:val="sr-Cyrl-CS" w:eastAsia="en-US"/>
        </w:rPr>
        <w:tab/>
        <w:t>Правилник о образовању резерви за неистекле ризике</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Допуњено Мишљење овлашћеног актуара у погледу адекватности утврђеног метода обрачуна резерви за неистекле ризике, као и очекиваним износом ових резерви.</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6.</w:t>
      </w:r>
      <w:r w:rsidRPr="00672ABD">
        <w:rPr>
          <w:rFonts w:eastAsiaTheme="minorHAnsi"/>
          <w:noProof/>
          <w:sz w:val="20"/>
          <w:szCs w:val="20"/>
          <w:lang w:val="sr-Cyrl-CS" w:eastAsia="en-US"/>
        </w:rPr>
        <w:tab/>
        <w:t xml:space="preserve">Правилник о образовању резерви за бонусе и попусте  </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Нови предлог Правилника са брисањем позивања на члан 8. и пренумерацијом чланова, као и допуњено Мишљење овлашћеног актуара у погледу адекватности утврђеног метода обрачуна резерви за бонусе и попусте, као и очекиваним износом ових резерви.</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 xml:space="preserve">7. </w:t>
      </w:r>
      <w:r w:rsidRPr="00672ABD">
        <w:rPr>
          <w:rFonts w:eastAsiaTheme="minorHAnsi"/>
          <w:noProof/>
          <w:sz w:val="20"/>
          <w:szCs w:val="20"/>
          <w:lang w:val="sr-Cyrl-CS" w:eastAsia="en-US"/>
        </w:rPr>
        <w:tab/>
        <w:t>Правилник о образовању резервисаних штета</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Допуњено Мишљење овлашћеног актуара са разлозима због којих не постоји потреба образовања резерви за штете настале ранијих година (пре 2009. год.), затим са изјашњењем о довољности износа резерви за настале непријављене штете ауто-одговорности за измирење обавеза у у току године, као и са мишљењем о адеквтности утврђене методе обрачуна резервисаних штета.</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8.</w:t>
      </w:r>
      <w:r w:rsidRPr="00672ABD">
        <w:rPr>
          <w:rFonts w:eastAsiaTheme="minorHAnsi"/>
          <w:noProof/>
          <w:sz w:val="20"/>
          <w:szCs w:val="20"/>
          <w:lang w:val="sr-Cyrl-CS" w:eastAsia="en-US"/>
        </w:rPr>
        <w:tab/>
        <w:t>Правилник о образовању резерви за изравна</w:t>
      </w:r>
      <w:r>
        <w:rPr>
          <w:rFonts w:eastAsiaTheme="minorHAnsi"/>
          <w:noProof/>
          <w:sz w:val="20"/>
          <w:szCs w:val="20"/>
          <w:lang w:val="sr-Cyrl-CS" w:eastAsia="en-US"/>
        </w:rPr>
        <w:t>њ</w:t>
      </w:r>
      <w:r w:rsidRPr="00672ABD">
        <w:rPr>
          <w:rFonts w:eastAsiaTheme="minorHAnsi"/>
          <w:noProof/>
          <w:sz w:val="20"/>
          <w:szCs w:val="20"/>
          <w:lang w:val="sr-Cyrl-CS" w:eastAsia="en-US"/>
        </w:rPr>
        <w:t>е ризика</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 xml:space="preserve">Допуњено Мишљење овлашћеног актуара у погледу информација о утицају измена Правилника на износ ових резерви. </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9.</w:t>
      </w:r>
      <w:r w:rsidRPr="00672ABD">
        <w:rPr>
          <w:rFonts w:eastAsiaTheme="minorHAnsi"/>
          <w:noProof/>
          <w:sz w:val="20"/>
          <w:szCs w:val="20"/>
          <w:lang w:val="sr-Cyrl-CS" w:eastAsia="en-US"/>
        </w:rPr>
        <w:tab/>
        <w:t>Правилник о поступању са обрасцима евиденције о полисама</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 xml:space="preserve">Није достављен јер Друштво у обављању послова реосигурања не издаје било какву врсту полиса па стога сматра да нема потребе за доношењем овог Правилника. </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10.</w:t>
      </w:r>
      <w:r w:rsidRPr="00672ABD">
        <w:rPr>
          <w:rFonts w:eastAsiaTheme="minorHAnsi"/>
          <w:noProof/>
          <w:sz w:val="20"/>
          <w:szCs w:val="20"/>
          <w:lang w:val="sr-Cyrl-CS" w:eastAsia="en-US"/>
        </w:rPr>
        <w:tab/>
        <w:t>Правилник о рачуноводству и рачуноводственим политикама</w:t>
      </w: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Нови предлог Рачуноводствених политика са уграђеним распоредом трошкова спровођења реосигурања у складу са најновијим изменама рачуноводствених прописа.</w:t>
      </w:r>
    </w:p>
    <w:p w:rsidR="00672ABD" w:rsidRPr="00672ABD" w:rsidRDefault="00672ABD" w:rsidP="00672ABD">
      <w:pPr>
        <w:pStyle w:val="NoSpacing"/>
        <w:ind w:firstLine="284"/>
        <w:jc w:val="both"/>
        <w:rPr>
          <w:rFonts w:eastAsiaTheme="minorHAnsi"/>
          <w:noProof/>
          <w:sz w:val="20"/>
          <w:szCs w:val="20"/>
          <w:lang w:val="sr-Cyrl-CS" w:eastAsia="en-US"/>
        </w:rPr>
      </w:pPr>
    </w:p>
    <w:p w:rsidR="00672ABD" w:rsidRPr="00672ABD" w:rsidRDefault="00672ABD" w:rsidP="00521CE0">
      <w:pPr>
        <w:pStyle w:val="NoSpacing"/>
        <w:numPr>
          <w:ilvl w:val="0"/>
          <w:numId w:val="29"/>
        </w:numPr>
        <w:ind w:left="709" w:hanging="425"/>
        <w:jc w:val="both"/>
        <w:rPr>
          <w:rFonts w:eastAsiaTheme="minorHAnsi"/>
          <w:noProof/>
          <w:sz w:val="20"/>
          <w:szCs w:val="20"/>
          <w:lang w:val="sr-Cyrl-CS" w:eastAsia="en-US"/>
        </w:rPr>
      </w:pPr>
      <w:r w:rsidRPr="00672ABD">
        <w:rPr>
          <w:rFonts w:eastAsiaTheme="minorHAnsi"/>
          <w:noProof/>
          <w:sz w:val="20"/>
          <w:szCs w:val="20"/>
          <w:lang w:val="sr-Cyrl-CS" w:eastAsia="en-US"/>
        </w:rPr>
        <w:t>Процену испуњености услова који се односе на адекватност капитала и инвестиције средстава реосигурања, сачињену и усвојену од стране Извршног одбора Друштва.</w:t>
      </w:r>
    </w:p>
    <w:p w:rsidR="00672ABD" w:rsidRPr="00672ABD" w:rsidRDefault="00672ABD" w:rsidP="00672ABD">
      <w:pPr>
        <w:pStyle w:val="NoSpacing"/>
        <w:ind w:left="1353"/>
        <w:jc w:val="both"/>
        <w:rPr>
          <w:rFonts w:eastAsiaTheme="minorHAnsi"/>
          <w:noProof/>
          <w:sz w:val="20"/>
          <w:szCs w:val="20"/>
          <w:lang w:val="sr-Cyrl-CS" w:eastAsia="en-U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Дана 17.02.2016. године, Народна банка је доставила допис - одговор, у којем обавештава Друштво о следећем:</w:t>
      </w:r>
    </w:p>
    <w:p w:rsidR="00672ABD" w:rsidRPr="00672ABD" w:rsidRDefault="00672ABD" w:rsidP="00521CE0">
      <w:pPr>
        <w:pStyle w:val="NoSpacing"/>
        <w:numPr>
          <w:ilvl w:val="0"/>
          <w:numId w:val="30"/>
        </w:numPr>
        <w:jc w:val="both"/>
        <w:rPr>
          <w:rFonts w:eastAsiaTheme="minorHAnsi"/>
          <w:noProof/>
          <w:sz w:val="20"/>
          <w:szCs w:val="20"/>
          <w:lang w:val="sr-Cyrl-CS" w:eastAsia="en-US"/>
        </w:rPr>
      </w:pPr>
      <w:r w:rsidRPr="00672ABD">
        <w:rPr>
          <w:rFonts w:eastAsiaTheme="minorHAnsi"/>
          <w:noProof/>
          <w:sz w:val="20"/>
          <w:szCs w:val="20"/>
          <w:lang w:val="sr-Cyrl-CS" w:eastAsia="en-US"/>
        </w:rPr>
        <w:t>да нема сметњи да усвоји Статут, Правилник о систематизацији и организацији послова Друштва и Правилник о поверавњу послова трећим лицима, с тим да се примењују по добијању решења о усклађености са Законом о соигурању.</w:t>
      </w:r>
    </w:p>
    <w:p w:rsidR="00672ABD" w:rsidRPr="00672ABD" w:rsidRDefault="00672ABD" w:rsidP="00521CE0">
      <w:pPr>
        <w:pStyle w:val="NoSpacing"/>
        <w:numPr>
          <w:ilvl w:val="0"/>
          <w:numId w:val="30"/>
        </w:numPr>
        <w:jc w:val="both"/>
        <w:rPr>
          <w:rFonts w:eastAsiaTheme="minorHAnsi"/>
          <w:noProof/>
          <w:sz w:val="20"/>
          <w:szCs w:val="20"/>
          <w:lang w:val="sr-Cyrl-CS" w:eastAsia="en-US"/>
        </w:rPr>
      </w:pPr>
      <w:r w:rsidRPr="00672ABD">
        <w:rPr>
          <w:rFonts w:eastAsiaTheme="minorHAnsi"/>
          <w:noProof/>
          <w:sz w:val="20"/>
          <w:szCs w:val="20"/>
          <w:lang w:val="sr-Cyrl-CS" w:eastAsia="en-US"/>
        </w:rPr>
        <w:t xml:space="preserve">За документа која се односне на испуњеност актуарске и економске природе ће обавестити Друштво након провере  накнадно достављене документације. </w:t>
      </w:r>
    </w:p>
    <w:p w:rsidR="00672ABD" w:rsidRPr="00672ABD" w:rsidRDefault="00672ABD" w:rsidP="00672ABD">
      <w:pPr>
        <w:pStyle w:val="NoSpacing"/>
        <w:jc w:val="both"/>
        <w:rPr>
          <w:rFonts w:eastAsiaTheme="minorHAnsi"/>
          <w:noProof/>
          <w:sz w:val="20"/>
          <w:szCs w:val="20"/>
          <w:lang w:val="sr-Cyrl-CS" w:eastAsia="en-US"/>
        </w:rPr>
      </w:pPr>
    </w:p>
    <w:p w:rsidR="00672ABD" w:rsidRDefault="00672ABD" w:rsidP="00521CE0">
      <w:pPr>
        <w:pStyle w:val="NoSpacing"/>
        <w:numPr>
          <w:ilvl w:val="0"/>
          <w:numId w:val="30"/>
        </w:numPr>
        <w:jc w:val="both"/>
        <w:rPr>
          <w:rFonts w:eastAsiaTheme="minorHAnsi"/>
          <w:noProof/>
          <w:sz w:val="20"/>
          <w:szCs w:val="20"/>
          <w:lang w:val="sr-Cyrl-CS" w:eastAsia="en-US"/>
        </w:rPr>
      </w:pPr>
      <w:r w:rsidRPr="00672ABD">
        <w:rPr>
          <w:rFonts w:eastAsiaTheme="minorHAnsi"/>
          <w:noProof/>
          <w:sz w:val="20"/>
          <w:szCs w:val="20"/>
          <w:lang w:val="sr-Cyrl-CS" w:eastAsia="en-US"/>
        </w:rPr>
        <w:t>За лица предложена за чланове управе је достављена сва прописана документација.</w:t>
      </w:r>
    </w:p>
    <w:p w:rsidR="00EF0ADA" w:rsidRDefault="00EF0ADA" w:rsidP="00EF0ADA">
      <w:pPr>
        <w:pStyle w:val="ListParagraph"/>
        <w:ind w:left="0"/>
        <w:rPr>
          <w:noProof/>
          <w:sz w:val="20"/>
          <w:szCs w:val="20"/>
          <w:lang w:val="sr-Cyrl-CS"/>
        </w:rPr>
      </w:pPr>
      <w:r>
        <w:rPr>
          <w:noProof/>
          <w:sz w:val="20"/>
          <w:szCs w:val="20"/>
          <w:lang w:val="sr-Cyrl-CS"/>
        </w:rPr>
        <w:tab/>
        <w:t>Дана 23.02.2016. године Народна банка Србије је обавестила Друштво да нема сметњи да Друштво усвоји следећа акта: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Одлука о критеријумима за утврђивање, начину утврђивања и табели максималног самопридржаја и укупном износу самопридржаја, са Мишљењем овлашћеног актуара (Мишљење актуара је један докуменат али садржи посебна мишљења за сваки акт пословне политике)</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условима и начину саосигурања и реосигурања, са мишљењем овлашћеног актуара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 за преносне премије, са мишљењем овлашћеног актуара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 за неистекле ризике, са мишљењем овлашћеног актуара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 за бонусе и попусте, са мишљењем овлашћеног актуара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резервисаних штета, са мишљењем овлашћеног актуара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математичке резерве, са мишљењем овлашћеног актуара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образовању резерви за изравнање ризика, са мишљењем овлашћеног актуара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максималним стопама режијског додатка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условима и начину остваривања регреса</w:t>
      </w:r>
    </w:p>
    <w:p w:rsidR="00EF0ADA" w:rsidRPr="00672ABD" w:rsidRDefault="00EF0ADA" w:rsidP="00521CE0">
      <w:pPr>
        <w:pStyle w:val="NoSpacing"/>
        <w:numPr>
          <w:ilvl w:val="0"/>
          <w:numId w:val="31"/>
        </w:numPr>
        <w:spacing w:before="20" w:after="20"/>
        <w:jc w:val="both"/>
        <w:rPr>
          <w:rFonts w:eastAsiaTheme="minorHAnsi"/>
          <w:noProof/>
          <w:sz w:val="20"/>
          <w:szCs w:val="20"/>
          <w:lang w:val="sr-Cyrl-CS" w:eastAsia="en-US"/>
        </w:rPr>
      </w:pPr>
      <w:r w:rsidRPr="00672ABD">
        <w:rPr>
          <w:rFonts w:eastAsiaTheme="minorHAnsi"/>
          <w:noProof/>
          <w:sz w:val="20"/>
          <w:szCs w:val="20"/>
          <w:lang w:val="sr-Cyrl-CS" w:eastAsia="en-US"/>
        </w:rPr>
        <w:t>Правилник о поверавању послова трећим лицима</w:t>
      </w:r>
    </w:p>
    <w:p w:rsidR="00EF0ADA" w:rsidRDefault="00EF0ADA" w:rsidP="00EF0ADA">
      <w:pPr>
        <w:pStyle w:val="ListParagraph"/>
        <w:ind w:left="0"/>
        <w:rPr>
          <w:noProof/>
          <w:sz w:val="20"/>
          <w:szCs w:val="20"/>
          <w:lang w:val="sr-Cyrl-CS"/>
        </w:rPr>
      </w:pPr>
    </w:p>
    <w:p w:rsidR="00672ABD" w:rsidRPr="00672ABD" w:rsidRDefault="00672ABD" w:rsidP="00672ABD">
      <w:pPr>
        <w:pStyle w:val="NoSpacing"/>
        <w:ind w:firstLine="284"/>
        <w:jc w:val="both"/>
        <w:rPr>
          <w:rFonts w:eastAsiaTheme="minorHAnsi"/>
          <w:noProof/>
          <w:sz w:val="20"/>
          <w:szCs w:val="20"/>
          <w:lang w:val="sr-Cyrl-CS" w:eastAsia="en-US"/>
        </w:rPr>
      </w:pPr>
      <w:r w:rsidRPr="00672ABD">
        <w:rPr>
          <w:rFonts w:eastAsiaTheme="minorHAnsi"/>
          <w:noProof/>
          <w:sz w:val="20"/>
          <w:szCs w:val="20"/>
          <w:lang w:val="sr-Cyrl-CS" w:eastAsia="en-US"/>
        </w:rPr>
        <w:t>Друштво је за састављање ових финансијских извештаја применило Предлоге правилника и политика који су достављени НБС.</w:t>
      </w:r>
    </w:p>
    <w:p w:rsidR="00232C7A" w:rsidRPr="00A6789A" w:rsidRDefault="00232C7A" w:rsidP="00860C32">
      <w:pPr>
        <w:pStyle w:val="Heading1"/>
        <w:numPr>
          <w:ilvl w:val="0"/>
          <w:numId w:val="28"/>
        </w:numPr>
      </w:pPr>
      <w:bookmarkStart w:id="4" w:name="_Toc445975012"/>
      <w:r w:rsidRPr="00A6789A">
        <w:t xml:space="preserve">ТРЖИШНА ПОЗИЦИЈА ДРУШТВА </w:t>
      </w:r>
      <w:r w:rsidR="00CA531C" w:rsidRPr="00A6789A">
        <w:t xml:space="preserve">И АКТИВНОСТИ НА ПОЉУ ИСТРАЖИВАЊА И РАЗВОЈА </w:t>
      </w:r>
      <w:r w:rsidRPr="00A6789A">
        <w:t>У 201</w:t>
      </w:r>
      <w:r w:rsidR="00FA08FC">
        <w:rPr>
          <w:lang w:val="sr-Latn-RS"/>
        </w:rPr>
        <w:t>5</w:t>
      </w:r>
      <w:r w:rsidRPr="00A6789A">
        <w:t>. ГОДИНИ</w:t>
      </w:r>
      <w:bookmarkEnd w:id="4"/>
      <w:r w:rsidRPr="00A6789A">
        <w:t xml:space="preserve"> </w:t>
      </w:r>
    </w:p>
    <w:p w:rsidR="007D05A5" w:rsidRPr="0027511D" w:rsidRDefault="007D05A5" w:rsidP="007D05A5">
      <w:pPr>
        <w:spacing w:before="240" w:after="240"/>
        <w:rPr>
          <w:rStyle w:val="IntenseEmphasis"/>
          <w:rFonts w:ascii="Verdana" w:hAnsi="Verdana"/>
          <w:noProof/>
          <w:sz w:val="20"/>
          <w:lang w:val="sr-Cyrl-CS"/>
        </w:rPr>
      </w:pPr>
      <w:r w:rsidRPr="0027511D">
        <w:rPr>
          <w:rStyle w:val="IntenseEmphasis"/>
          <w:rFonts w:ascii="Verdana" w:hAnsi="Verdana"/>
          <w:noProof/>
          <w:sz w:val="20"/>
          <w:lang w:val="sr-Cyrl-CS"/>
        </w:rPr>
        <w:t xml:space="preserve">Стање на тржишту осигурања </w:t>
      </w:r>
      <w:r w:rsidR="00EA7779" w:rsidRPr="0027511D">
        <w:rPr>
          <w:rStyle w:val="IntenseEmphasis"/>
          <w:rFonts w:ascii="Verdana" w:hAnsi="Verdana"/>
          <w:noProof/>
          <w:sz w:val="20"/>
          <w:lang w:val="sr-Cyrl-CS"/>
        </w:rPr>
        <w:t xml:space="preserve">и реосигурања </w:t>
      </w:r>
      <w:r w:rsidRPr="0027511D">
        <w:rPr>
          <w:rStyle w:val="IntenseEmphasis"/>
          <w:rFonts w:ascii="Verdana" w:hAnsi="Verdana"/>
          <w:noProof/>
          <w:sz w:val="20"/>
          <w:lang w:val="sr-Cyrl-CS"/>
        </w:rPr>
        <w:t>у Србији</w:t>
      </w:r>
    </w:p>
    <w:p w:rsidR="007D05A5" w:rsidRPr="0027511D" w:rsidRDefault="007D05A5" w:rsidP="007D05A5">
      <w:pPr>
        <w:spacing w:before="200"/>
        <w:ind w:firstLine="284"/>
        <w:jc w:val="both"/>
        <w:rPr>
          <w:rFonts w:ascii="Verdana" w:eastAsia="Calibri" w:hAnsi="Verdana"/>
          <w:noProof/>
          <w:sz w:val="20"/>
          <w:lang w:val="sr-Cyrl-CS"/>
        </w:rPr>
      </w:pPr>
      <w:r w:rsidRPr="0027511D">
        <w:rPr>
          <w:rFonts w:ascii="Verdana" w:eastAsia="Calibri" w:hAnsi="Verdana"/>
          <w:noProof/>
          <w:sz w:val="20"/>
          <w:lang w:val="sr-Cyrl-CS"/>
        </w:rPr>
        <w:t>На тржишту Србије током 201</w:t>
      </w:r>
      <w:r w:rsidR="0027511D" w:rsidRPr="0027511D">
        <w:rPr>
          <w:rFonts w:ascii="Verdana" w:eastAsia="Calibri" w:hAnsi="Verdana"/>
          <w:noProof/>
          <w:sz w:val="20"/>
          <w:lang w:val="sr-Cyrl-CS"/>
        </w:rPr>
        <w:t>5</w:t>
      </w:r>
      <w:r w:rsidRPr="0027511D">
        <w:rPr>
          <w:rFonts w:ascii="Verdana" w:eastAsia="Calibri" w:hAnsi="Verdana"/>
          <w:noProof/>
          <w:sz w:val="20"/>
          <w:lang w:val="sr-Cyrl-CS"/>
        </w:rPr>
        <w:t>. године послује 2</w:t>
      </w:r>
      <w:r w:rsidR="0012597D" w:rsidRPr="0027511D">
        <w:rPr>
          <w:rFonts w:ascii="Verdana" w:eastAsia="Calibri" w:hAnsi="Verdana"/>
          <w:noProof/>
          <w:sz w:val="20"/>
          <w:lang w:val="sr-Cyrl-CS"/>
        </w:rPr>
        <w:t>3</w:t>
      </w:r>
      <w:r w:rsidRPr="0027511D">
        <w:rPr>
          <w:rFonts w:ascii="Verdana" w:eastAsia="Calibri" w:hAnsi="Verdana"/>
          <w:noProof/>
          <w:sz w:val="20"/>
          <w:lang w:val="sr-Cyrl-CS"/>
        </w:rPr>
        <w:t xml:space="preserve"> друштава за осигурање и 4 друштва која се баве пословима реосигурања.</w:t>
      </w:r>
    </w:p>
    <w:p w:rsidR="007D05A5" w:rsidRPr="0027511D" w:rsidRDefault="007D05A5" w:rsidP="007D05A5">
      <w:pPr>
        <w:spacing w:before="200"/>
        <w:ind w:firstLine="284"/>
        <w:jc w:val="both"/>
        <w:rPr>
          <w:rFonts w:ascii="Verdana" w:eastAsia="Calibri" w:hAnsi="Verdana"/>
          <w:noProof/>
          <w:sz w:val="20"/>
          <w:lang w:val="sr-Cyrl-CS"/>
        </w:rPr>
      </w:pPr>
      <w:r w:rsidRPr="0027511D">
        <w:rPr>
          <w:rFonts w:ascii="Verdana" w:eastAsia="Calibri" w:hAnsi="Verdana"/>
          <w:noProof/>
          <w:sz w:val="20"/>
          <w:lang w:val="sr-Cyrl-CS"/>
        </w:rPr>
        <w:t>Посматрано према власничкој структури капитала 18 друштава за осигурање и 3 друштва за реосигурање је у већинском страном власништву.</w:t>
      </w:r>
    </w:p>
    <w:p w:rsidR="007D05A5" w:rsidRPr="0027511D" w:rsidRDefault="007D05A5" w:rsidP="007D05A5">
      <w:pPr>
        <w:spacing w:before="200"/>
        <w:ind w:firstLine="288"/>
        <w:jc w:val="both"/>
        <w:rPr>
          <w:rFonts w:ascii="Verdana" w:eastAsia="Calibri" w:hAnsi="Verdana"/>
          <w:noProof/>
          <w:sz w:val="20"/>
          <w:lang w:val="sr-Cyrl-CS"/>
        </w:rPr>
      </w:pPr>
      <w:r w:rsidRPr="0027511D">
        <w:rPr>
          <w:rFonts w:ascii="Verdana" w:eastAsia="Calibri" w:hAnsi="Verdana"/>
          <w:noProof/>
          <w:sz w:val="20"/>
          <w:lang w:val="sr-Cyrl-CS"/>
        </w:rPr>
        <w:t>Друштва за реосигурање су:</w:t>
      </w:r>
    </w:p>
    <w:p w:rsidR="007D05A5" w:rsidRPr="0027511D" w:rsidRDefault="007D05A5" w:rsidP="002B7266">
      <w:pPr>
        <w:pStyle w:val="ListParagraph"/>
        <w:numPr>
          <w:ilvl w:val="0"/>
          <w:numId w:val="7"/>
        </w:numPr>
        <w:spacing w:before="200"/>
        <w:jc w:val="both"/>
        <w:rPr>
          <w:rFonts w:ascii="Verdana" w:eastAsia="Calibri" w:hAnsi="Verdana"/>
          <w:noProof/>
          <w:sz w:val="20"/>
          <w:lang w:val="sr-Cyrl-CS"/>
        </w:rPr>
      </w:pPr>
      <w:r w:rsidRPr="0027511D">
        <w:rPr>
          <w:rFonts w:ascii="Verdana" w:eastAsia="Calibri" w:hAnsi="Verdana"/>
          <w:noProof/>
          <w:sz w:val="20"/>
          <w:lang w:val="sr-Cyrl-CS"/>
        </w:rPr>
        <w:t>АД за реосигурање Дунав РЕ (основано 1977. године),</w:t>
      </w:r>
    </w:p>
    <w:p w:rsidR="007D05A5" w:rsidRPr="0027511D" w:rsidRDefault="007D05A5" w:rsidP="002B7266">
      <w:pPr>
        <w:pStyle w:val="ListParagraph"/>
        <w:numPr>
          <w:ilvl w:val="0"/>
          <w:numId w:val="7"/>
        </w:numPr>
        <w:spacing w:before="200"/>
        <w:jc w:val="both"/>
        <w:rPr>
          <w:rFonts w:ascii="Verdana" w:eastAsia="Calibri" w:hAnsi="Verdana"/>
          <w:noProof/>
          <w:sz w:val="20"/>
          <w:lang w:val="sr-Cyrl-CS"/>
        </w:rPr>
      </w:pPr>
      <w:r w:rsidRPr="0027511D">
        <w:rPr>
          <w:rFonts w:ascii="Verdana" w:eastAsia="Calibri" w:hAnsi="Verdana"/>
          <w:noProof/>
          <w:sz w:val="20"/>
          <w:lang w:val="sr-Cyrl-CS"/>
        </w:rPr>
        <w:t xml:space="preserve">АД за реосигурање </w:t>
      </w:r>
      <w:r w:rsidRPr="0027511D">
        <w:rPr>
          <w:rFonts w:ascii="Verdana" w:eastAsia="Calibri" w:hAnsi="Verdana"/>
          <w:i/>
          <w:noProof/>
          <w:sz w:val="20"/>
          <w:lang w:val="sr-Cyrl-CS"/>
        </w:rPr>
        <w:t>Delta Generali Reosiguranje</w:t>
      </w:r>
      <w:r w:rsidRPr="0027511D">
        <w:rPr>
          <w:rFonts w:ascii="Verdana" w:eastAsia="Calibri" w:hAnsi="Verdana"/>
          <w:noProof/>
          <w:sz w:val="20"/>
          <w:lang w:val="sr-Cyrl-CS"/>
        </w:rPr>
        <w:t xml:space="preserve"> (основано 2000. године),</w:t>
      </w:r>
    </w:p>
    <w:p w:rsidR="007D05A5" w:rsidRPr="0027511D" w:rsidRDefault="007D05A5" w:rsidP="002B7266">
      <w:pPr>
        <w:pStyle w:val="ListParagraph"/>
        <w:numPr>
          <w:ilvl w:val="0"/>
          <w:numId w:val="7"/>
        </w:numPr>
        <w:spacing w:before="200"/>
        <w:jc w:val="both"/>
        <w:rPr>
          <w:rFonts w:ascii="Verdana" w:eastAsia="Calibri" w:hAnsi="Verdana"/>
          <w:noProof/>
          <w:sz w:val="20"/>
          <w:lang w:val="sr-Cyrl-CS"/>
        </w:rPr>
      </w:pPr>
      <w:r w:rsidRPr="0027511D">
        <w:rPr>
          <w:rFonts w:ascii="Verdana" w:eastAsia="Calibri" w:hAnsi="Verdana"/>
          <w:noProof/>
          <w:sz w:val="20"/>
          <w:lang w:val="sr-Cyrl-CS"/>
        </w:rPr>
        <w:t>ДДОР РЕ за реосигурање Нови Сад (основано 2009. године)и</w:t>
      </w:r>
    </w:p>
    <w:p w:rsidR="007D05A5" w:rsidRPr="0027511D" w:rsidRDefault="007D05A5" w:rsidP="002B7266">
      <w:pPr>
        <w:pStyle w:val="ListParagraph"/>
        <w:numPr>
          <w:ilvl w:val="0"/>
          <w:numId w:val="7"/>
        </w:numPr>
        <w:spacing w:before="200"/>
        <w:jc w:val="both"/>
        <w:rPr>
          <w:rFonts w:ascii="Verdana" w:eastAsia="Calibri" w:hAnsi="Verdana"/>
          <w:noProof/>
          <w:sz w:val="20"/>
          <w:lang w:val="sr-Cyrl-CS"/>
        </w:rPr>
      </w:pPr>
      <w:r w:rsidRPr="0027511D">
        <w:rPr>
          <w:rFonts w:ascii="Verdana" w:eastAsia="Calibri" w:hAnsi="Verdana"/>
          <w:i/>
          <w:noProof/>
          <w:sz w:val="20"/>
          <w:lang w:val="sr-Cyrl-CS"/>
        </w:rPr>
        <w:t>WIENER RE АД</w:t>
      </w:r>
      <w:r w:rsidRPr="0027511D">
        <w:rPr>
          <w:rFonts w:ascii="Verdana" w:eastAsia="Calibri" w:hAnsi="Verdana"/>
          <w:noProof/>
          <w:sz w:val="20"/>
          <w:lang w:val="sr-Cyrl-CS"/>
        </w:rPr>
        <w:t xml:space="preserve"> за реосигурање (основано 2008. године).</w:t>
      </w:r>
    </w:p>
    <w:p w:rsidR="007D05A5" w:rsidRDefault="007D05A5" w:rsidP="007D05A5">
      <w:pPr>
        <w:spacing w:before="200"/>
        <w:ind w:firstLine="288"/>
        <w:jc w:val="both"/>
        <w:rPr>
          <w:rFonts w:ascii="Verdana" w:eastAsia="Calibri" w:hAnsi="Verdana"/>
          <w:noProof/>
          <w:sz w:val="20"/>
          <w:lang w:val="sr-Cyrl-CS"/>
        </w:rPr>
      </w:pPr>
      <w:r w:rsidRPr="0027511D">
        <w:rPr>
          <w:rFonts w:ascii="Verdana" w:eastAsia="Calibri" w:hAnsi="Verdana"/>
          <w:noProof/>
          <w:sz w:val="20"/>
          <w:lang w:val="sr-Cyrl-CS"/>
        </w:rPr>
        <w:t>У страном власништву у 201</w:t>
      </w:r>
      <w:r w:rsidR="0027511D" w:rsidRPr="0027511D">
        <w:rPr>
          <w:rFonts w:ascii="Verdana" w:eastAsia="Calibri" w:hAnsi="Verdana"/>
          <w:noProof/>
          <w:sz w:val="20"/>
          <w:lang w:val="sr-Cyrl-CS"/>
        </w:rPr>
        <w:t>5</w:t>
      </w:r>
      <w:r w:rsidRPr="0027511D">
        <w:rPr>
          <w:rFonts w:ascii="Verdana" w:eastAsia="Calibri" w:hAnsi="Verdana"/>
          <w:noProof/>
          <w:sz w:val="20"/>
          <w:lang w:val="sr-Cyrl-CS"/>
        </w:rPr>
        <w:t>. години налази се 75% друштава за реосигурање, а слична је и структура учешћа у укупном акцијском капиталу друштава за реосигурање.</w:t>
      </w:r>
    </w:p>
    <w:p w:rsidR="00A6789A" w:rsidRDefault="00A6789A" w:rsidP="007D05A5">
      <w:pPr>
        <w:spacing w:before="200"/>
        <w:ind w:firstLine="288"/>
        <w:jc w:val="both"/>
        <w:rPr>
          <w:rFonts w:ascii="Verdana" w:eastAsia="Calibri" w:hAnsi="Verdana"/>
          <w:noProof/>
          <w:sz w:val="20"/>
          <w:lang w:val="sr-Latn-RS"/>
        </w:rPr>
      </w:pPr>
    </w:p>
    <w:p w:rsidR="007367D8" w:rsidRPr="007367D8" w:rsidRDefault="007367D8" w:rsidP="007D05A5">
      <w:pPr>
        <w:spacing w:before="200"/>
        <w:ind w:firstLine="288"/>
        <w:jc w:val="both"/>
        <w:rPr>
          <w:rFonts w:ascii="Verdana" w:eastAsia="Calibri" w:hAnsi="Verdana"/>
          <w:noProof/>
          <w:sz w:val="20"/>
          <w:lang w:val="sr-Latn-RS"/>
        </w:rPr>
      </w:pPr>
    </w:p>
    <w:p w:rsidR="00925C24" w:rsidRPr="00A6789A" w:rsidRDefault="00925C24" w:rsidP="00860C32">
      <w:pPr>
        <w:pStyle w:val="Heading1"/>
        <w:numPr>
          <w:ilvl w:val="0"/>
          <w:numId w:val="28"/>
        </w:numPr>
      </w:pPr>
      <w:bookmarkStart w:id="5" w:name="_Toc445975013"/>
      <w:r w:rsidRPr="00A6789A">
        <w:t>РЕЗИМЕ ОСТВАРЕНИХ РЕЗУЛТАТА</w:t>
      </w:r>
      <w:bookmarkEnd w:id="5"/>
      <w:r w:rsidRPr="00A6789A">
        <w:t xml:space="preserve"> </w:t>
      </w:r>
    </w:p>
    <w:p w:rsidR="00584DB1" w:rsidRPr="008D4D3A" w:rsidRDefault="00584DB1" w:rsidP="00480E31">
      <w:pPr>
        <w:pStyle w:val="NoSpacing"/>
        <w:ind w:left="431"/>
        <w:jc w:val="right"/>
        <w:rPr>
          <w:noProof/>
          <w:sz w:val="18"/>
          <w:szCs w:val="18"/>
          <w:lang w:val="sr-Latn-RS"/>
        </w:rPr>
      </w:pPr>
      <w:r w:rsidRPr="008D4D3A">
        <w:rPr>
          <w:noProof/>
          <w:sz w:val="18"/>
          <w:szCs w:val="18"/>
          <w:lang w:val="sr-Cyrl-CS"/>
        </w:rPr>
        <w:t xml:space="preserve">                                                                    </w:t>
      </w:r>
      <w:r w:rsidR="00480E31" w:rsidRPr="008D4D3A">
        <w:rPr>
          <w:noProof/>
          <w:sz w:val="18"/>
          <w:szCs w:val="18"/>
          <w:lang w:val="sr-Cyrl-CS"/>
        </w:rPr>
        <w:t>у 000 дин</w:t>
      </w:r>
    </w:p>
    <w:p w:rsidR="008D4D3A" w:rsidRDefault="008D4D3A" w:rsidP="00480E31">
      <w:pPr>
        <w:pStyle w:val="NoSpacing"/>
        <w:ind w:left="431"/>
        <w:jc w:val="right"/>
        <w:rPr>
          <w:noProof/>
          <w:sz w:val="20"/>
          <w:lang w:val="sr-Latn-RS"/>
        </w:rPr>
      </w:pPr>
    </w:p>
    <w:tbl>
      <w:tblPr>
        <w:tblW w:w="9026" w:type="dxa"/>
        <w:tblInd w:w="108" w:type="dxa"/>
        <w:tblLook w:val="04A0" w:firstRow="1" w:lastRow="0" w:firstColumn="1" w:lastColumn="0" w:noHBand="0" w:noVBand="1"/>
      </w:tblPr>
      <w:tblGrid>
        <w:gridCol w:w="2034"/>
        <w:gridCol w:w="1290"/>
        <w:gridCol w:w="1347"/>
        <w:gridCol w:w="1185"/>
        <w:gridCol w:w="1585"/>
        <w:gridCol w:w="1585"/>
      </w:tblGrid>
      <w:tr w:rsidR="00FA08FC" w:rsidRPr="00FA08FC" w:rsidTr="00FA08FC">
        <w:trPr>
          <w:trHeight w:val="544"/>
        </w:trPr>
        <w:tc>
          <w:tcPr>
            <w:tcW w:w="1996" w:type="dxa"/>
            <w:vMerge w:val="restart"/>
            <w:tcBorders>
              <w:top w:val="double" w:sz="6" w:space="0" w:color="auto"/>
              <w:left w:val="nil"/>
              <w:bottom w:val="double" w:sz="6" w:space="0" w:color="000000"/>
              <w:right w:val="nil"/>
            </w:tcBorders>
            <w:shd w:val="clear" w:color="auto" w:fill="auto"/>
            <w:vAlign w:val="center"/>
            <w:hideMark/>
          </w:tcPr>
          <w:p w:rsidR="00FA08FC" w:rsidRPr="00FA08FC" w:rsidRDefault="00FA08FC" w:rsidP="00FA08FC">
            <w:pPr>
              <w:spacing w:after="0" w:line="240" w:lineRule="auto"/>
              <w:jc w:val="center"/>
              <w:rPr>
                <w:rFonts w:ascii="Tahoma" w:eastAsia="Times New Roman" w:hAnsi="Tahoma" w:cs="Tahoma"/>
                <w:b/>
                <w:bCs/>
                <w:i/>
                <w:iCs/>
                <w:color w:val="000000"/>
                <w:sz w:val="18"/>
                <w:szCs w:val="18"/>
                <w:lang w:val="sr-Latn-RS" w:eastAsia="sr-Latn-RS"/>
              </w:rPr>
            </w:pPr>
            <w:r w:rsidRPr="00FA08FC">
              <w:rPr>
                <w:rFonts w:ascii="Tahoma" w:eastAsia="Times New Roman" w:hAnsi="Tahoma" w:cs="Tahoma"/>
                <w:b/>
                <w:bCs/>
                <w:i/>
                <w:iCs/>
                <w:color w:val="000000"/>
                <w:sz w:val="18"/>
                <w:szCs w:val="18"/>
                <w:lang w:val="sr-Latn-RS" w:eastAsia="sr-Latn-RS"/>
              </w:rPr>
              <w:t>КАТЕГОРИЈА</w:t>
            </w:r>
          </w:p>
        </w:tc>
        <w:tc>
          <w:tcPr>
            <w:tcW w:w="1297" w:type="dxa"/>
            <w:vMerge w:val="restart"/>
            <w:tcBorders>
              <w:top w:val="double" w:sz="6" w:space="0" w:color="auto"/>
              <w:left w:val="nil"/>
              <w:bottom w:val="double" w:sz="6" w:space="0" w:color="000000"/>
              <w:right w:val="nil"/>
            </w:tcBorders>
            <w:shd w:val="clear" w:color="auto" w:fill="auto"/>
            <w:vAlign w:val="center"/>
            <w:hideMark/>
          </w:tcPr>
          <w:p w:rsidR="00FA08FC" w:rsidRPr="00FA08FC" w:rsidRDefault="00FA08FC" w:rsidP="00FA08FC">
            <w:pPr>
              <w:spacing w:after="0" w:line="240" w:lineRule="auto"/>
              <w:jc w:val="center"/>
              <w:rPr>
                <w:rFonts w:ascii="Tahoma" w:eastAsia="Times New Roman" w:hAnsi="Tahoma" w:cs="Tahoma"/>
                <w:b/>
                <w:bCs/>
                <w:color w:val="000000"/>
                <w:sz w:val="14"/>
                <w:szCs w:val="14"/>
                <w:lang w:val="sr-Latn-RS" w:eastAsia="sr-Latn-RS"/>
              </w:rPr>
            </w:pPr>
            <w:r w:rsidRPr="00FA08FC">
              <w:rPr>
                <w:rFonts w:ascii="Tahoma" w:eastAsia="Times New Roman" w:hAnsi="Tahoma" w:cs="Tahoma"/>
                <w:b/>
                <w:bCs/>
                <w:color w:val="000000"/>
                <w:sz w:val="14"/>
                <w:szCs w:val="14"/>
                <w:lang w:val="sr-Latn-RS" w:eastAsia="sr-Latn-RS"/>
              </w:rPr>
              <w:t>Остварење у посматраном периоду претходне године (2014)</w:t>
            </w:r>
          </w:p>
        </w:tc>
        <w:tc>
          <w:tcPr>
            <w:tcW w:w="1365" w:type="dxa"/>
            <w:vMerge w:val="restart"/>
            <w:tcBorders>
              <w:top w:val="double" w:sz="6" w:space="0" w:color="auto"/>
              <w:left w:val="nil"/>
              <w:bottom w:val="double" w:sz="6" w:space="0" w:color="000000"/>
              <w:right w:val="nil"/>
            </w:tcBorders>
            <w:shd w:val="clear" w:color="auto" w:fill="auto"/>
            <w:vAlign w:val="center"/>
            <w:hideMark/>
          </w:tcPr>
          <w:p w:rsidR="00FA08FC" w:rsidRPr="00FA08FC" w:rsidRDefault="00FA08FC" w:rsidP="00FA08FC">
            <w:pPr>
              <w:spacing w:after="0" w:line="240" w:lineRule="auto"/>
              <w:jc w:val="center"/>
              <w:rPr>
                <w:rFonts w:ascii="Tahoma" w:eastAsia="Times New Roman" w:hAnsi="Tahoma" w:cs="Tahoma"/>
                <w:b/>
                <w:bCs/>
                <w:color w:val="000000"/>
                <w:sz w:val="14"/>
                <w:szCs w:val="14"/>
                <w:lang w:val="sr-Latn-RS" w:eastAsia="sr-Latn-RS"/>
              </w:rPr>
            </w:pPr>
            <w:r w:rsidRPr="00FA08FC">
              <w:rPr>
                <w:rFonts w:ascii="Tahoma" w:eastAsia="Times New Roman" w:hAnsi="Tahoma" w:cs="Tahoma"/>
                <w:b/>
                <w:bCs/>
                <w:color w:val="000000"/>
                <w:sz w:val="14"/>
                <w:szCs w:val="14"/>
                <w:lang w:val="sr-Latn-RS" w:eastAsia="sr-Latn-RS"/>
              </w:rPr>
              <w:t>План за посматрани период текуће године (2015)</w:t>
            </w:r>
          </w:p>
        </w:tc>
        <w:tc>
          <w:tcPr>
            <w:tcW w:w="1126" w:type="dxa"/>
            <w:vMerge w:val="restart"/>
            <w:tcBorders>
              <w:top w:val="double" w:sz="6" w:space="0" w:color="auto"/>
              <w:left w:val="nil"/>
              <w:bottom w:val="double" w:sz="6" w:space="0" w:color="000000"/>
              <w:right w:val="nil"/>
            </w:tcBorders>
            <w:shd w:val="clear" w:color="auto" w:fill="auto"/>
            <w:vAlign w:val="center"/>
            <w:hideMark/>
          </w:tcPr>
          <w:p w:rsidR="00FA08FC" w:rsidRPr="00FA08FC" w:rsidRDefault="00FA08FC" w:rsidP="00FA08FC">
            <w:pPr>
              <w:spacing w:after="0" w:line="240" w:lineRule="auto"/>
              <w:jc w:val="center"/>
              <w:rPr>
                <w:rFonts w:ascii="Tahoma" w:eastAsia="Times New Roman" w:hAnsi="Tahoma" w:cs="Tahoma"/>
                <w:b/>
                <w:bCs/>
                <w:color w:val="000000"/>
                <w:sz w:val="14"/>
                <w:szCs w:val="14"/>
                <w:lang w:val="sr-Latn-RS" w:eastAsia="sr-Latn-RS"/>
              </w:rPr>
            </w:pPr>
            <w:r w:rsidRPr="00FA08FC">
              <w:rPr>
                <w:rFonts w:ascii="Tahoma" w:eastAsia="Times New Roman" w:hAnsi="Tahoma" w:cs="Tahoma"/>
                <w:b/>
                <w:bCs/>
                <w:color w:val="000000"/>
                <w:sz w:val="14"/>
                <w:szCs w:val="14"/>
                <w:lang w:val="sr-Latn-RS" w:eastAsia="sr-Latn-RS"/>
              </w:rPr>
              <w:t>Остварење у посматраном периоду текуће године (2015)</w:t>
            </w:r>
          </w:p>
        </w:tc>
        <w:tc>
          <w:tcPr>
            <w:tcW w:w="1621" w:type="dxa"/>
            <w:vMerge w:val="restart"/>
            <w:tcBorders>
              <w:top w:val="double" w:sz="6" w:space="0" w:color="auto"/>
              <w:left w:val="nil"/>
              <w:bottom w:val="double" w:sz="6" w:space="0" w:color="000000"/>
              <w:right w:val="nil"/>
            </w:tcBorders>
            <w:shd w:val="clear" w:color="auto" w:fill="auto"/>
            <w:vAlign w:val="center"/>
            <w:hideMark/>
          </w:tcPr>
          <w:p w:rsidR="00FA08FC" w:rsidRPr="00FA08FC" w:rsidRDefault="00FA08FC" w:rsidP="00FA08FC">
            <w:pPr>
              <w:spacing w:after="0" w:line="240" w:lineRule="auto"/>
              <w:jc w:val="center"/>
              <w:rPr>
                <w:rFonts w:ascii="Tahoma" w:eastAsia="Times New Roman" w:hAnsi="Tahoma" w:cs="Tahoma"/>
                <w:b/>
                <w:bCs/>
                <w:color w:val="000000"/>
                <w:sz w:val="14"/>
                <w:szCs w:val="14"/>
                <w:lang w:val="sr-Latn-RS" w:eastAsia="sr-Latn-RS"/>
              </w:rPr>
            </w:pPr>
            <w:r w:rsidRPr="00FA08FC">
              <w:rPr>
                <w:rFonts w:ascii="Tahoma" w:eastAsia="Times New Roman" w:hAnsi="Tahoma" w:cs="Tahoma"/>
                <w:b/>
                <w:bCs/>
                <w:color w:val="000000"/>
                <w:sz w:val="14"/>
                <w:szCs w:val="14"/>
                <w:lang w:val="sr-Latn-RS" w:eastAsia="sr-Latn-RS"/>
              </w:rPr>
              <w:t>% раста/пада</w:t>
            </w:r>
            <w:r w:rsidRPr="00FA08FC">
              <w:rPr>
                <w:rFonts w:ascii="Tahoma" w:eastAsia="Times New Roman" w:hAnsi="Tahoma" w:cs="Tahoma"/>
                <w:color w:val="000000"/>
                <w:sz w:val="14"/>
                <w:szCs w:val="14"/>
                <w:lang w:val="sr-Latn-RS" w:eastAsia="sr-Latn-RS"/>
              </w:rPr>
              <w:t xml:space="preserve">                                                </w:t>
            </w:r>
            <w:r w:rsidRPr="00FA08FC">
              <w:rPr>
                <w:rFonts w:ascii="Tahoma" w:eastAsia="Times New Roman" w:hAnsi="Tahoma" w:cs="Tahoma"/>
                <w:color w:val="000000"/>
                <w:sz w:val="13"/>
                <w:szCs w:val="13"/>
                <w:lang w:val="sr-Latn-RS" w:eastAsia="sr-Latn-RS"/>
              </w:rPr>
              <w:t>остварење у посматраном периоду текуће године/ остварење у посматраном периоду претходне године</w:t>
            </w:r>
          </w:p>
        </w:tc>
        <w:tc>
          <w:tcPr>
            <w:tcW w:w="1621" w:type="dxa"/>
            <w:vMerge w:val="restart"/>
            <w:tcBorders>
              <w:top w:val="double" w:sz="6" w:space="0" w:color="auto"/>
              <w:left w:val="nil"/>
              <w:bottom w:val="double" w:sz="6" w:space="0" w:color="000000"/>
              <w:right w:val="nil"/>
            </w:tcBorders>
            <w:shd w:val="clear" w:color="auto" w:fill="auto"/>
            <w:vAlign w:val="center"/>
            <w:hideMark/>
          </w:tcPr>
          <w:p w:rsidR="00FA08FC" w:rsidRPr="00FA08FC" w:rsidRDefault="00FA08FC" w:rsidP="00FA08FC">
            <w:pPr>
              <w:spacing w:after="0" w:line="240" w:lineRule="auto"/>
              <w:jc w:val="center"/>
              <w:rPr>
                <w:rFonts w:ascii="Tahoma" w:eastAsia="Times New Roman" w:hAnsi="Tahoma" w:cs="Tahoma"/>
                <w:b/>
                <w:bCs/>
                <w:color w:val="000000"/>
                <w:sz w:val="14"/>
                <w:szCs w:val="14"/>
                <w:lang w:val="sr-Latn-RS" w:eastAsia="sr-Latn-RS"/>
              </w:rPr>
            </w:pPr>
            <w:r w:rsidRPr="00FA08FC">
              <w:rPr>
                <w:rFonts w:ascii="Tahoma" w:eastAsia="Times New Roman" w:hAnsi="Tahoma" w:cs="Tahoma"/>
                <w:b/>
                <w:bCs/>
                <w:color w:val="000000"/>
                <w:sz w:val="14"/>
                <w:szCs w:val="14"/>
                <w:lang w:val="sr-Latn-RS" w:eastAsia="sr-Latn-RS"/>
              </w:rPr>
              <w:t>% раста/пада</w:t>
            </w:r>
            <w:r w:rsidRPr="00FA08FC">
              <w:rPr>
                <w:rFonts w:ascii="Tahoma" w:eastAsia="Times New Roman" w:hAnsi="Tahoma" w:cs="Tahoma"/>
                <w:color w:val="000000"/>
                <w:sz w:val="14"/>
                <w:szCs w:val="14"/>
                <w:lang w:val="sr-Latn-RS" w:eastAsia="sr-Latn-RS"/>
              </w:rPr>
              <w:t xml:space="preserve">                                              </w:t>
            </w:r>
            <w:r w:rsidRPr="00FA08FC">
              <w:rPr>
                <w:rFonts w:ascii="Tahoma" w:eastAsia="Times New Roman" w:hAnsi="Tahoma" w:cs="Tahoma"/>
                <w:color w:val="000000"/>
                <w:sz w:val="13"/>
                <w:szCs w:val="13"/>
                <w:lang w:val="sr-Latn-RS" w:eastAsia="sr-Latn-RS"/>
              </w:rPr>
              <w:t>остварење у посматраном периоду текуће године / план за посматрани период текуће године</w:t>
            </w:r>
          </w:p>
        </w:tc>
      </w:tr>
      <w:tr w:rsidR="00FA08FC" w:rsidRPr="00FA08FC" w:rsidTr="00FA08FC">
        <w:trPr>
          <w:trHeight w:val="544"/>
        </w:trPr>
        <w:tc>
          <w:tcPr>
            <w:tcW w:w="1996" w:type="dxa"/>
            <w:vMerge/>
            <w:tcBorders>
              <w:top w:val="double" w:sz="6" w:space="0" w:color="auto"/>
              <w:left w:val="nil"/>
              <w:bottom w:val="double" w:sz="6" w:space="0" w:color="000000"/>
              <w:right w:val="nil"/>
            </w:tcBorders>
            <w:vAlign w:val="center"/>
            <w:hideMark/>
          </w:tcPr>
          <w:p w:rsidR="00FA08FC" w:rsidRPr="00FA08FC" w:rsidRDefault="00FA08FC" w:rsidP="00FA08FC">
            <w:pPr>
              <w:spacing w:after="0" w:line="240" w:lineRule="auto"/>
              <w:rPr>
                <w:rFonts w:ascii="Tahoma" w:eastAsia="Times New Roman" w:hAnsi="Tahoma" w:cs="Tahoma"/>
                <w:b/>
                <w:bCs/>
                <w:i/>
                <w:iCs/>
                <w:color w:val="000000"/>
                <w:sz w:val="18"/>
                <w:szCs w:val="18"/>
                <w:lang w:val="sr-Latn-RS" w:eastAsia="sr-Latn-RS"/>
              </w:rPr>
            </w:pPr>
          </w:p>
        </w:tc>
        <w:tc>
          <w:tcPr>
            <w:tcW w:w="1297" w:type="dxa"/>
            <w:vMerge/>
            <w:tcBorders>
              <w:top w:val="double" w:sz="6" w:space="0" w:color="auto"/>
              <w:left w:val="nil"/>
              <w:bottom w:val="double" w:sz="6" w:space="0" w:color="000000"/>
              <w:right w:val="nil"/>
            </w:tcBorders>
            <w:vAlign w:val="center"/>
            <w:hideMark/>
          </w:tcPr>
          <w:p w:rsidR="00FA08FC" w:rsidRPr="00FA08FC" w:rsidRDefault="00FA08FC" w:rsidP="00FA08FC">
            <w:pPr>
              <w:spacing w:after="0" w:line="240" w:lineRule="auto"/>
              <w:rPr>
                <w:rFonts w:ascii="Tahoma" w:eastAsia="Times New Roman" w:hAnsi="Tahoma" w:cs="Tahoma"/>
                <w:b/>
                <w:bCs/>
                <w:color w:val="000000"/>
                <w:sz w:val="14"/>
                <w:szCs w:val="14"/>
                <w:lang w:val="sr-Latn-RS" w:eastAsia="sr-Latn-RS"/>
              </w:rPr>
            </w:pPr>
          </w:p>
        </w:tc>
        <w:tc>
          <w:tcPr>
            <w:tcW w:w="1365" w:type="dxa"/>
            <w:vMerge/>
            <w:tcBorders>
              <w:top w:val="double" w:sz="6" w:space="0" w:color="auto"/>
              <w:left w:val="nil"/>
              <w:bottom w:val="double" w:sz="6" w:space="0" w:color="000000"/>
              <w:right w:val="nil"/>
            </w:tcBorders>
            <w:vAlign w:val="center"/>
            <w:hideMark/>
          </w:tcPr>
          <w:p w:rsidR="00FA08FC" w:rsidRPr="00FA08FC" w:rsidRDefault="00FA08FC" w:rsidP="00FA08FC">
            <w:pPr>
              <w:spacing w:after="0" w:line="240" w:lineRule="auto"/>
              <w:rPr>
                <w:rFonts w:ascii="Tahoma" w:eastAsia="Times New Roman" w:hAnsi="Tahoma" w:cs="Tahoma"/>
                <w:b/>
                <w:bCs/>
                <w:color w:val="000000"/>
                <w:sz w:val="14"/>
                <w:szCs w:val="14"/>
                <w:lang w:val="sr-Latn-RS" w:eastAsia="sr-Latn-RS"/>
              </w:rPr>
            </w:pPr>
          </w:p>
        </w:tc>
        <w:tc>
          <w:tcPr>
            <w:tcW w:w="1126" w:type="dxa"/>
            <w:vMerge/>
            <w:tcBorders>
              <w:top w:val="double" w:sz="6" w:space="0" w:color="auto"/>
              <w:left w:val="nil"/>
              <w:bottom w:val="double" w:sz="6" w:space="0" w:color="000000"/>
              <w:right w:val="nil"/>
            </w:tcBorders>
            <w:vAlign w:val="center"/>
            <w:hideMark/>
          </w:tcPr>
          <w:p w:rsidR="00FA08FC" w:rsidRPr="00FA08FC" w:rsidRDefault="00FA08FC" w:rsidP="00FA08FC">
            <w:pPr>
              <w:spacing w:after="0" w:line="240" w:lineRule="auto"/>
              <w:rPr>
                <w:rFonts w:ascii="Tahoma" w:eastAsia="Times New Roman" w:hAnsi="Tahoma" w:cs="Tahoma"/>
                <w:b/>
                <w:bCs/>
                <w:color w:val="000000"/>
                <w:sz w:val="14"/>
                <w:szCs w:val="14"/>
                <w:lang w:val="sr-Latn-RS" w:eastAsia="sr-Latn-RS"/>
              </w:rPr>
            </w:pPr>
          </w:p>
        </w:tc>
        <w:tc>
          <w:tcPr>
            <w:tcW w:w="1621" w:type="dxa"/>
            <w:vMerge/>
            <w:tcBorders>
              <w:top w:val="double" w:sz="6" w:space="0" w:color="auto"/>
              <w:left w:val="nil"/>
              <w:bottom w:val="double" w:sz="6" w:space="0" w:color="000000"/>
              <w:right w:val="nil"/>
            </w:tcBorders>
            <w:vAlign w:val="center"/>
            <w:hideMark/>
          </w:tcPr>
          <w:p w:rsidR="00FA08FC" w:rsidRPr="00FA08FC" w:rsidRDefault="00FA08FC" w:rsidP="00FA08FC">
            <w:pPr>
              <w:spacing w:after="0" w:line="240" w:lineRule="auto"/>
              <w:rPr>
                <w:rFonts w:ascii="Tahoma" w:eastAsia="Times New Roman" w:hAnsi="Tahoma" w:cs="Tahoma"/>
                <w:b/>
                <w:bCs/>
                <w:color w:val="000000"/>
                <w:sz w:val="14"/>
                <w:szCs w:val="14"/>
                <w:lang w:val="sr-Latn-RS" w:eastAsia="sr-Latn-RS"/>
              </w:rPr>
            </w:pPr>
          </w:p>
        </w:tc>
        <w:tc>
          <w:tcPr>
            <w:tcW w:w="1621" w:type="dxa"/>
            <w:vMerge/>
            <w:tcBorders>
              <w:top w:val="double" w:sz="6" w:space="0" w:color="auto"/>
              <w:left w:val="nil"/>
              <w:bottom w:val="double" w:sz="6" w:space="0" w:color="000000"/>
              <w:right w:val="nil"/>
            </w:tcBorders>
            <w:vAlign w:val="center"/>
            <w:hideMark/>
          </w:tcPr>
          <w:p w:rsidR="00FA08FC" w:rsidRPr="00FA08FC" w:rsidRDefault="00FA08FC" w:rsidP="00FA08FC">
            <w:pPr>
              <w:spacing w:after="0" w:line="240" w:lineRule="auto"/>
              <w:rPr>
                <w:rFonts w:ascii="Tahoma" w:eastAsia="Times New Roman" w:hAnsi="Tahoma" w:cs="Tahoma"/>
                <w:b/>
                <w:bCs/>
                <w:color w:val="000000"/>
                <w:sz w:val="14"/>
                <w:szCs w:val="14"/>
                <w:lang w:val="sr-Latn-RS" w:eastAsia="sr-Latn-RS"/>
              </w:rPr>
            </w:pPr>
          </w:p>
        </w:tc>
      </w:tr>
      <w:tr w:rsidR="00FA08FC" w:rsidRPr="00FA08FC" w:rsidTr="00FA08FC">
        <w:trPr>
          <w:trHeight w:val="315"/>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Укупни приходи</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3.949.593</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3.570.783</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7.173.785</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181,63</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200,90</w:t>
            </w:r>
          </w:p>
        </w:tc>
      </w:tr>
      <w:tr w:rsidR="00FA08FC" w:rsidRPr="00FA08FC" w:rsidTr="00FA08FC">
        <w:trPr>
          <w:trHeight w:val="301"/>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Укупни расходи</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4.027.270</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3.516.671</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6.778.560</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168,32</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192,76</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Добитак пре опорезивања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sz w:val="18"/>
                <w:szCs w:val="18"/>
                <w:lang w:val="sr-Latn-RS" w:eastAsia="sr-Latn-RS"/>
              </w:rPr>
            </w:pPr>
            <w:r w:rsidRPr="00FA08FC">
              <w:rPr>
                <w:rFonts w:ascii="Tahoma" w:eastAsia="Times New Roman" w:hAnsi="Tahoma" w:cs="Tahoma"/>
                <w:b/>
                <w:bCs/>
                <w:sz w:val="18"/>
                <w:szCs w:val="18"/>
                <w:lang w:val="sr-Latn-RS" w:eastAsia="sr-Latn-RS"/>
              </w:rPr>
              <w:t> </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54.112</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sz w:val="18"/>
                <w:szCs w:val="18"/>
                <w:lang w:val="sr-Latn-RS" w:eastAsia="sr-Latn-RS"/>
              </w:rPr>
            </w:pPr>
            <w:r w:rsidRPr="00FA08FC">
              <w:rPr>
                <w:rFonts w:ascii="Tahoma" w:eastAsia="Times New Roman" w:hAnsi="Tahoma" w:cs="Tahoma"/>
                <w:b/>
                <w:bCs/>
                <w:sz w:val="18"/>
                <w:szCs w:val="18"/>
                <w:lang w:val="sr-Latn-RS" w:eastAsia="sr-Latn-RS"/>
              </w:rPr>
              <w:t>395.225</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730,38</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Губитак пре опорезивања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-77.677</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FF0000"/>
                <w:sz w:val="18"/>
                <w:szCs w:val="18"/>
                <w:lang w:val="sr-Latn-RS" w:eastAsia="sr-Latn-RS"/>
              </w:rPr>
            </w:pPr>
            <w:r w:rsidRPr="00FA08FC">
              <w:rPr>
                <w:rFonts w:ascii="Tahoma" w:eastAsia="Times New Roman" w:hAnsi="Tahoma" w:cs="Tahoma"/>
                <w:color w:val="FF0000"/>
                <w:sz w:val="18"/>
                <w:szCs w:val="18"/>
                <w:lang w:val="sr-Latn-RS" w:eastAsia="sr-Latn-RS"/>
              </w:rPr>
              <w:t> </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 </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Билансна актива/пасива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4.196.598</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FF0000"/>
                <w:sz w:val="18"/>
                <w:szCs w:val="18"/>
                <w:lang w:val="sr-Latn-RS" w:eastAsia="sr-Latn-RS"/>
              </w:rPr>
            </w:pPr>
            <w:r w:rsidRPr="00FA08FC">
              <w:rPr>
                <w:rFonts w:ascii="Tahoma" w:eastAsia="Times New Roman" w:hAnsi="Tahoma" w:cs="Tahoma"/>
                <w:color w:val="FF0000"/>
                <w:sz w:val="18"/>
                <w:szCs w:val="18"/>
                <w:lang w:val="sr-Latn-RS" w:eastAsia="sr-Latn-RS"/>
              </w:rPr>
              <w:t> </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4.777.902</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113,85</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r>
      <w:tr w:rsidR="00FA08FC" w:rsidRPr="00FA08FC" w:rsidTr="00FA08FC">
        <w:trPr>
          <w:trHeight w:val="286"/>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Ванбил. актива/пасива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 </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FF0000"/>
                <w:sz w:val="18"/>
                <w:szCs w:val="18"/>
                <w:lang w:val="sr-Latn-RS" w:eastAsia="sr-Latn-RS"/>
              </w:rPr>
            </w:pPr>
            <w:r w:rsidRPr="00FA08FC">
              <w:rPr>
                <w:rFonts w:ascii="Tahoma" w:eastAsia="Times New Roman" w:hAnsi="Tahoma" w:cs="Tahoma"/>
                <w:color w:val="FF0000"/>
                <w:sz w:val="18"/>
                <w:szCs w:val="18"/>
                <w:lang w:val="sr-Latn-RS" w:eastAsia="sr-Latn-RS"/>
              </w:rPr>
              <w:t> </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 </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r>
      <w:tr w:rsidR="00FA08FC" w:rsidRPr="00FA08FC" w:rsidTr="00FA08FC">
        <w:trPr>
          <w:trHeight w:val="301"/>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Трошкови пословања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125.674</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118.119</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100.625</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80,07</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85,19</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Број запослених на крају месеца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32</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32</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32</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100,00</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100,00</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Просечна нето  зарада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132</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103</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121</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91,67</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117,48</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Просечна бруто зарада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188</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147</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172</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91,49</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117,01</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Учешће напл. премије у бруто премији</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121,69%</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FF0000"/>
                <w:sz w:val="18"/>
                <w:szCs w:val="18"/>
                <w:lang w:val="sr-Latn-RS" w:eastAsia="sr-Latn-RS"/>
              </w:rPr>
            </w:pPr>
            <w:r w:rsidRPr="00FA08FC">
              <w:rPr>
                <w:rFonts w:ascii="Tahoma" w:eastAsia="Times New Roman" w:hAnsi="Tahoma" w:cs="Tahoma"/>
                <w:color w:val="FF0000"/>
                <w:sz w:val="18"/>
                <w:szCs w:val="18"/>
                <w:lang w:val="sr-Latn-RS" w:eastAsia="sr-Latn-RS"/>
              </w:rPr>
              <w:t> </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95,49%</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78,47</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Учешће лик. штета у бруто премији</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33,13%</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31,61%</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100,05%</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301,98</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316,50</w:t>
            </w:r>
          </w:p>
        </w:tc>
      </w:tr>
      <w:tr w:rsidR="00FA08FC" w:rsidRPr="00FA08FC" w:rsidTr="00FA08FC">
        <w:trPr>
          <w:trHeight w:val="559"/>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Учешће лик.штета у наплаћеној премији</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27,23%</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104,77%</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384,77</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Учешће ТСР у бруто премији</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5,50%</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4,60%</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3,78%</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68,74</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82,19</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ROE (резултат/капитал)</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-9,77</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FF0000"/>
                <w:sz w:val="18"/>
                <w:szCs w:val="18"/>
                <w:lang w:val="sr-Latn-RS" w:eastAsia="sr-Latn-RS"/>
              </w:rPr>
            </w:pPr>
            <w:r w:rsidRPr="00FA08FC">
              <w:rPr>
                <w:rFonts w:ascii="Tahoma" w:eastAsia="Times New Roman" w:hAnsi="Tahoma" w:cs="Tahoma"/>
                <w:color w:val="FF0000"/>
                <w:sz w:val="18"/>
                <w:szCs w:val="18"/>
                <w:lang w:val="sr-Latn-RS" w:eastAsia="sr-Latn-RS"/>
              </w:rPr>
              <w:t> </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44,65</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-457,06</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r>
      <w:tr w:rsidR="00FA08FC" w:rsidRPr="00FA08FC" w:rsidTr="00FA08FC">
        <w:trPr>
          <w:trHeight w:val="301"/>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ROA (резултат/актива)</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-1,84</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FF0000"/>
                <w:sz w:val="18"/>
                <w:szCs w:val="18"/>
                <w:lang w:val="sr-Latn-RS" w:eastAsia="sr-Latn-RS"/>
              </w:rPr>
            </w:pPr>
            <w:r w:rsidRPr="00FA08FC">
              <w:rPr>
                <w:rFonts w:ascii="Tahoma" w:eastAsia="Times New Roman" w:hAnsi="Tahoma" w:cs="Tahoma"/>
                <w:color w:val="FF0000"/>
                <w:sz w:val="18"/>
                <w:szCs w:val="18"/>
                <w:lang w:val="sr-Latn-RS" w:eastAsia="sr-Latn-RS"/>
              </w:rPr>
              <w:t> </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7,18</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-390,22</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r>
      <w:tr w:rsidR="00FA08FC" w:rsidRPr="00FA08FC" w:rsidTr="00FA08FC">
        <w:trPr>
          <w:trHeight w:val="444"/>
        </w:trPr>
        <w:tc>
          <w:tcPr>
            <w:tcW w:w="1996" w:type="dxa"/>
            <w:tcBorders>
              <w:top w:val="nil"/>
              <w:left w:val="nil"/>
              <w:bottom w:val="single" w:sz="8" w:space="0" w:color="969696"/>
              <w:right w:val="nil"/>
            </w:tcBorders>
            <w:shd w:val="clear" w:color="auto" w:fill="auto"/>
            <w:vAlign w:val="center"/>
            <w:hideMark/>
          </w:tcPr>
          <w:p w:rsidR="00FA08FC" w:rsidRPr="00FA08FC" w:rsidRDefault="00FA08FC" w:rsidP="00FA08FC">
            <w:pPr>
              <w:spacing w:after="0" w:line="240" w:lineRule="auto"/>
              <w:rPr>
                <w:rFonts w:ascii="Verdana" w:eastAsia="Times New Roman" w:hAnsi="Verdana" w:cs="Times New Roman"/>
                <w:color w:val="000000"/>
                <w:sz w:val="18"/>
                <w:szCs w:val="18"/>
                <w:lang w:val="sr-Latn-RS" w:eastAsia="sr-Latn-RS"/>
              </w:rPr>
            </w:pPr>
            <w:r w:rsidRPr="00FA08FC">
              <w:rPr>
                <w:rFonts w:ascii="Verdana" w:eastAsia="Times New Roman" w:hAnsi="Verdana" w:cs="Times New Roman"/>
                <w:color w:val="000000"/>
                <w:sz w:val="18"/>
                <w:szCs w:val="18"/>
                <w:lang w:val="sr-Latn-RS" w:eastAsia="sr-Latn-RS"/>
              </w:rPr>
              <w:t>CIR 1 (ТСР/пословни фун.приходи)</w:t>
            </w:r>
          </w:p>
        </w:tc>
        <w:tc>
          <w:tcPr>
            <w:tcW w:w="1297"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34,87</w:t>
            </w:r>
          </w:p>
        </w:tc>
        <w:tc>
          <w:tcPr>
            <w:tcW w:w="1365" w:type="dxa"/>
            <w:tcBorders>
              <w:top w:val="nil"/>
              <w:left w:val="nil"/>
              <w:bottom w:val="single" w:sz="8" w:space="0" w:color="969696"/>
              <w:right w:val="nil"/>
            </w:tcBorders>
            <w:shd w:val="clear" w:color="000000" w:fill="FFFFFF"/>
            <w:vAlign w:val="bottom"/>
            <w:hideMark/>
          </w:tcPr>
          <w:p w:rsidR="00FA08FC" w:rsidRPr="00FA08FC" w:rsidRDefault="00FA08FC" w:rsidP="00FA08FC">
            <w:pPr>
              <w:spacing w:after="0" w:line="240" w:lineRule="auto"/>
              <w:jc w:val="center"/>
              <w:rPr>
                <w:rFonts w:ascii="Tahoma" w:eastAsia="Times New Roman" w:hAnsi="Tahoma" w:cs="Tahoma"/>
                <w:color w:val="FF0000"/>
                <w:sz w:val="18"/>
                <w:szCs w:val="18"/>
                <w:lang w:val="sr-Latn-RS" w:eastAsia="sr-Latn-RS"/>
              </w:rPr>
            </w:pPr>
            <w:r w:rsidRPr="00FA08FC">
              <w:rPr>
                <w:rFonts w:ascii="Tahoma" w:eastAsia="Times New Roman" w:hAnsi="Tahoma" w:cs="Tahoma"/>
                <w:color w:val="FF0000"/>
                <w:sz w:val="18"/>
                <w:szCs w:val="18"/>
                <w:lang w:val="sr-Latn-RS" w:eastAsia="sr-Latn-RS"/>
              </w:rPr>
              <w:t> </w:t>
            </w:r>
          </w:p>
        </w:tc>
        <w:tc>
          <w:tcPr>
            <w:tcW w:w="1126" w:type="dxa"/>
            <w:tcBorders>
              <w:top w:val="nil"/>
              <w:left w:val="nil"/>
              <w:bottom w:val="single" w:sz="8" w:space="0" w:color="969696"/>
              <w:right w:val="nil"/>
            </w:tcBorders>
            <w:shd w:val="clear" w:color="000000" w:fill="C5D9F1"/>
            <w:vAlign w:val="bottom"/>
            <w:hideMark/>
          </w:tcPr>
          <w:p w:rsidR="00FA08FC" w:rsidRPr="00FA08FC" w:rsidRDefault="00FA08FC" w:rsidP="00FA08FC">
            <w:pPr>
              <w:spacing w:after="0" w:line="240" w:lineRule="auto"/>
              <w:jc w:val="center"/>
              <w:rPr>
                <w:rFonts w:ascii="Tahoma" w:eastAsia="Times New Roman" w:hAnsi="Tahoma" w:cs="Tahoma"/>
                <w:b/>
                <w:bCs/>
                <w:color w:val="000000"/>
                <w:sz w:val="18"/>
                <w:szCs w:val="18"/>
                <w:lang w:val="sr-Latn-RS" w:eastAsia="sr-Latn-RS"/>
              </w:rPr>
            </w:pPr>
            <w:r w:rsidRPr="00FA08FC">
              <w:rPr>
                <w:rFonts w:ascii="Tahoma" w:eastAsia="Times New Roman" w:hAnsi="Tahoma" w:cs="Tahoma"/>
                <w:b/>
                <w:bCs/>
                <w:color w:val="000000"/>
                <w:sz w:val="18"/>
                <w:szCs w:val="18"/>
                <w:lang w:val="sr-Latn-RS" w:eastAsia="sr-Latn-RS"/>
              </w:rPr>
              <w:t>24,04</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68,95</w:t>
            </w:r>
          </w:p>
        </w:tc>
        <w:tc>
          <w:tcPr>
            <w:tcW w:w="1621" w:type="dxa"/>
            <w:tcBorders>
              <w:top w:val="nil"/>
              <w:left w:val="nil"/>
              <w:bottom w:val="single" w:sz="8" w:space="0" w:color="969696"/>
              <w:right w:val="nil"/>
            </w:tcBorders>
            <w:shd w:val="clear" w:color="auto" w:fill="auto"/>
            <w:vAlign w:val="bottom"/>
            <w:hideMark/>
          </w:tcPr>
          <w:p w:rsidR="00FA08FC" w:rsidRPr="00FA08FC" w:rsidRDefault="00FA08FC" w:rsidP="00FA08FC">
            <w:pPr>
              <w:spacing w:after="0" w:line="240" w:lineRule="auto"/>
              <w:jc w:val="center"/>
              <w:rPr>
                <w:rFonts w:ascii="Tahoma" w:eastAsia="Times New Roman" w:hAnsi="Tahoma" w:cs="Tahoma"/>
                <w:color w:val="000000"/>
                <w:sz w:val="18"/>
                <w:szCs w:val="18"/>
                <w:lang w:val="sr-Latn-RS" w:eastAsia="sr-Latn-RS"/>
              </w:rPr>
            </w:pPr>
            <w:r w:rsidRPr="00FA08FC">
              <w:rPr>
                <w:rFonts w:ascii="Tahoma" w:eastAsia="Times New Roman" w:hAnsi="Tahoma" w:cs="Tahoma"/>
                <w:color w:val="000000"/>
                <w:sz w:val="18"/>
                <w:szCs w:val="18"/>
                <w:lang w:val="sr-Latn-RS" w:eastAsia="sr-Latn-RS"/>
              </w:rPr>
              <w:t> </w:t>
            </w:r>
          </w:p>
        </w:tc>
      </w:tr>
    </w:tbl>
    <w:p w:rsidR="00FA08FC" w:rsidRDefault="00FA08FC" w:rsidP="00480E31">
      <w:pPr>
        <w:pStyle w:val="NoSpacing"/>
        <w:ind w:left="431"/>
        <w:jc w:val="right"/>
        <w:rPr>
          <w:noProof/>
          <w:sz w:val="20"/>
          <w:lang w:val="sr-Latn-RS"/>
        </w:rPr>
      </w:pPr>
    </w:p>
    <w:p w:rsidR="008D4D3A" w:rsidRPr="00FA08FC" w:rsidRDefault="008D4D3A" w:rsidP="008D4D3A">
      <w:pPr>
        <w:pStyle w:val="NoSpacing"/>
        <w:jc w:val="both"/>
        <w:rPr>
          <w:noProof/>
          <w:sz w:val="10"/>
          <w:szCs w:val="10"/>
          <w:lang w:val="sr-Cyrl-RS"/>
        </w:rPr>
      </w:pPr>
    </w:p>
    <w:tbl>
      <w:tblPr>
        <w:tblpPr w:leftFromText="181" w:rightFromText="181" w:vertAnchor="text" w:horzAnchor="margin" w:tblpXSpec="center" w:tblpY="1"/>
        <w:tblOverlap w:val="never"/>
        <w:tblW w:w="10314" w:type="dxa"/>
        <w:tblLook w:val="01E0" w:firstRow="1" w:lastRow="1" w:firstColumn="1" w:lastColumn="1" w:noHBand="0" w:noVBand="0"/>
      </w:tblPr>
      <w:tblGrid>
        <w:gridCol w:w="7196"/>
        <w:gridCol w:w="243"/>
        <w:gridCol w:w="2875"/>
      </w:tblGrid>
      <w:tr w:rsidR="00584DB1" w:rsidRPr="00BF3CDE" w:rsidTr="00E00FE9">
        <w:trPr>
          <w:trHeight w:val="340"/>
        </w:trPr>
        <w:tc>
          <w:tcPr>
            <w:tcW w:w="7196" w:type="dxa"/>
            <w:vAlign w:val="center"/>
          </w:tcPr>
          <w:p w:rsidR="00FA08FC" w:rsidRDefault="00FA08FC" w:rsidP="00DD403B">
            <w:pPr>
              <w:pStyle w:val="NoSpacing"/>
              <w:ind w:left="567"/>
              <w:jc w:val="both"/>
              <w:rPr>
                <w:noProof/>
                <w:sz w:val="20"/>
                <w:szCs w:val="20"/>
                <w:lang w:val="sr-Cyrl-CS"/>
              </w:rPr>
            </w:pPr>
          </w:p>
          <w:p w:rsidR="00584DB1" w:rsidRPr="008527EF" w:rsidRDefault="00C031DE" w:rsidP="00DD403B">
            <w:pPr>
              <w:pStyle w:val="NoSpacing"/>
              <w:ind w:left="567"/>
              <w:jc w:val="both"/>
              <w:rPr>
                <w:noProof/>
                <w:sz w:val="20"/>
                <w:szCs w:val="20"/>
                <w:lang w:val="sr-Cyrl-CS"/>
              </w:rPr>
            </w:pPr>
            <w:r w:rsidRPr="008527EF">
              <w:rPr>
                <w:noProof/>
                <w:sz w:val="20"/>
                <w:szCs w:val="20"/>
                <w:lang w:val="sr-Cyrl-CS"/>
              </w:rPr>
              <w:t>Друштво је у периоду I-XII  201</w:t>
            </w:r>
            <w:r w:rsidR="00DD403B" w:rsidRPr="008527EF">
              <w:rPr>
                <w:noProof/>
                <w:sz w:val="20"/>
                <w:szCs w:val="20"/>
                <w:lang w:val="sr-Cyrl-CS"/>
              </w:rPr>
              <w:t>5</w:t>
            </w:r>
            <w:r w:rsidRPr="008527EF">
              <w:rPr>
                <w:noProof/>
                <w:sz w:val="20"/>
                <w:szCs w:val="20"/>
                <w:lang w:val="sr-Cyrl-CS"/>
              </w:rPr>
              <w:t xml:space="preserve">. године остварило </w:t>
            </w:r>
            <w:r w:rsidR="00DD403B" w:rsidRPr="008527EF">
              <w:rPr>
                <w:noProof/>
                <w:sz w:val="20"/>
                <w:szCs w:val="20"/>
                <w:lang w:val="sr-Cyrl-CS"/>
              </w:rPr>
              <w:t>добит</w:t>
            </w:r>
            <w:r w:rsidRPr="008527EF">
              <w:rPr>
                <w:noProof/>
                <w:sz w:val="20"/>
                <w:szCs w:val="20"/>
                <w:lang w:val="sr-Cyrl-CS"/>
              </w:rPr>
              <w:t xml:space="preserve"> у бруто износу  од </w:t>
            </w:r>
            <w:r w:rsidR="00DD403B" w:rsidRPr="008527EF">
              <w:rPr>
                <w:noProof/>
                <w:sz w:val="20"/>
                <w:szCs w:val="20"/>
                <w:lang w:val="sr-Cyrl-CS"/>
              </w:rPr>
              <w:t xml:space="preserve">395.225 </w:t>
            </w:r>
            <w:r w:rsidRPr="008527EF">
              <w:rPr>
                <w:noProof/>
                <w:sz w:val="20"/>
                <w:szCs w:val="20"/>
                <w:lang w:val="sr-Cyrl-CS"/>
              </w:rPr>
              <w:t>динара</w:t>
            </w:r>
            <w:r w:rsidR="00DD403B" w:rsidRPr="008527EF">
              <w:rPr>
                <w:noProof/>
                <w:sz w:val="20"/>
                <w:szCs w:val="20"/>
                <w:lang w:val="sr-Cyrl-CS"/>
              </w:rPr>
              <w:t xml:space="preserve">, а у нето износу 343.058 хиљада </w:t>
            </w:r>
            <w:r w:rsidR="008527EF" w:rsidRPr="008527EF">
              <w:rPr>
                <w:noProof/>
                <w:sz w:val="20"/>
                <w:szCs w:val="20"/>
                <w:lang w:val="sr-Cyrl-CS"/>
              </w:rPr>
              <w:t>динара</w:t>
            </w:r>
            <w:r w:rsidRPr="008527EF">
              <w:rPr>
                <w:noProof/>
                <w:sz w:val="20"/>
                <w:szCs w:val="20"/>
                <w:lang w:val="sr-Cyrl-CS"/>
              </w:rPr>
              <w:t>.</w:t>
            </w:r>
          </w:p>
        </w:tc>
        <w:tc>
          <w:tcPr>
            <w:tcW w:w="243" w:type="dxa"/>
          </w:tcPr>
          <w:p w:rsidR="00584DB1" w:rsidRPr="008527EF" w:rsidRDefault="00584DB1" w:rsidP="00AB0F8D">
            <w:pPr>
              <w:pStyle w:val="NoSpacing"/>
              <w:jc w:val="both"/>
              <w:rPr>
                <w:noProof/>
                <w:sz w:val="20"/>
                <w:szCs w:val="20"/>
                <w:lang w:val="sr-Cyrl-CS"/>
              </w:rPr>
            </w:pPr>
          </w:p>
        </w:tc>
        <w:tc>
          <w:tcPr>
            <w:tcW w:w="2875" w:type="dxa"/>
            <w:vAlign w:val="center"/>
          </w:tcPr>
          <w:p w:rsidR="00584DB1" w:rsidRDefault="008527EF" w:rsidP="008527EF">
            <w:pPr>
              <w:pStyle w:val="NoSpacing"/>
              <w:rPr>
                <w:rFonts w:ascii="Palatino Linotype" w:hAnsi="Palatino Linotype" w:cs="Times New Roman"/>
                <w:b/>
                <w:noProof/>
                <w:color w:val="632423" w:themeColor="accent2" w:themeShade="80"/>
                <w:sz w:val="20"/>
                <w:szCs w:val="20"/>
                <w:lang w:val="sr-Cyrl-CS"/>
              </w:rPr>
            </w:pPr>
            <w:r w:rsidRPr="00A06882">
              <w:rPr>
                <w:rFonts w:ascii="Palatino Linotype" w:hAnsi="Palatino Linotype" w:cs="Times New Roman"/>
                <w:b/>
                <w:noProof/>
                <w:color w:val="632423" w:themeColor="accent2" w:themeShade="80"/>
                <w:sz w:val="20"/>
                <w:szCs w:val="20"/>
                <w:lang w:val="sr-Cyrl-CS"/>
              </w:rPr>
              <w:t>Добитак</w:t>
            </w:r>
            <w:r w:rsidR="00C031DE" w:rsidRPr="00A06882">
              <w:rPr>
                <w:rFonts w:ascii="Palatino Linotype" w:hAnsi="Palatino Linotype" w:cs="Times New Roman"/>
                <w:b/>
                <w:noProof/>
                <w:color w:val="632423" w:themeColor="accent2" w:themeShade="80"/>
                <w:sz w:val="20"/>
                <w:szCs w:val="20"/>
                <w:lang w:val="sr-Cyrl-CS"/>
              </w:rPr>
              <w:t xml:space="preserve">   </w:t>
            </w:r>
            <w:r w:rsidRPr="00A06882">
              <w:rPr>
                <w:rFonts w:ascii="Palatino Linotype" w:hAnsi="Palatino Linotype" w:cs="Times New Roman"/>
                <w:b/>
                <w:noProof/>
                <w:color w:val="632423" w:themeColor="accent2" w:themeShade="80"/>
                <w:sz w:val="20"/>
                <w:szCs w:val="20"/>
                <w:lang w:val="sr-Cyrl-CS"/>
              </w:rPr>
              <w:t>343.058</w:t>
            </w:r>
            <w:r w:rsidR="00C031DE" w:rsidRPr="00A06882">
              <w:rPr>
                <w:rFonts w:ascii="Palatino Linotype" w:hAnsi="Palatino Linotype" w:cs="Times New Roman"/>
                <w:b/>
                <w:noProof/>
                <w:color w:val="632423" w:themeColor="accent2" w:themeShade="80"/>
                <w:sz w:val="20"/>
                <w:szCs w:val="20"/>
                <w:lang w:val="sr-Cyrl-CS"/>
              </w:rPr>
              <w:t xml:space="preserve"> хиљ</w:t>
            </w:r>
            <w:r w:rsidR="00E00FE9" w:rsidRPr="00A06882">
              <w:rPr>
                <w:rFonts w:ascii="Palatino Linotype" w:hAnsi="Palatino Linotype" w:cs="Times New Roman"/>
                <w:b/>
                <w:noProof/>
                <w:color w:val="632423" w:themeColor="accent2" w:themeShade="80"/>
                <w:sz w:val="20"/>
                <w:szCs w:val="20"/>
                <w:lang w:val="sr-Cyrl-CS"/>
              </w:rPr>
              <w:t>.</w:t>
            </w:r>
            <w:r w:rsidR="00C031DE" w:rsidRPr="00A06882">
              <w:rPr>
                <w:rFonts w:ascii="Palatino Linotype" w:hAnsi="Palatino Linotype" w:cs="Times New Roman"/>
                <w:b/>
                <w:noProof/>
                <w:color w:val="632423" w:themeColor="accent2" w:themeShade="80"/>
                <w:sz w:val="20"/>
                <w:szCs w:val="20"/>
                <w:lang w:val="sr-Cyrl-CS"/>
              </w:rPr>
              <w:t xml:space="preserve"> дин.</w:t>
            </w:r>
          </w:p>
          <w:p w:rsidR="00A06882" w:rsidRPr="00A06882" w:rsidRDefault="00A06882" w:rsidP="008527EF">
            <w:pPr>
              <w:pStyle w:val="NoSpacing"/>
              <w:rPr>
                <w:rFonts w:ascii="Palatino Linotype" w:hAnsi="Palatino Linotype" w:cs="Aharoni"/>
                <w:b/>
                <w:noProof/>
                <w:sz w:val="20"/>
                <w:szCs w:val="20"/>
                <w:lang w:val="sr-Cyrl-CS"/>
              </w:rPr>
            </w:pPr>
          </w:p>
        </w:tc>
      </w:tr>
      <w:tr w:rsidR="00584DB1" w:rsidRPr="00BF3CDE" w:rsidTr="00E00FE9">
        <w:trPr>
          <w:trHeight w:val="510"/>
        </w:trPr>
        <w:tc>
          <w:tcPr>
            <w:tcW w:w="7196" w:type="dxa"/>
            <w:vAlign w:val="center"/>
          </w:tcPr>
          <w:p w:rsidR="00584DB1" w:rsidRPr="00BF6376" w:rsidRDefault="00C031DE" w:rsidP="008D4D3A">
            <w:pPr>
              <w:pStyle w:val="NoSpacing"/>
              <w:ind w:left="567"/>
              <w:jc w:val="both"/>
              <w:rPr>
                <w:noProof/>
                <w:sz w:val="6"/>
                <w:szCs w:val="6"/>
                <w:highlight w:val="yellow"/>
                <w:lang w:val="sr-Cyrl-CS"/>
              </w:rPr>
            </w:pPr>
            <w:r w:rsidRPr="008527EF">
              <w:rPr>
                <w:noProof/>
                <w:sz w:val="20"/>
                <w:szCs w:val="20"/>
                <w:lang w:val="sr-Cyrl-CS"/>
              </w:rPr>
              <w:t>Основни и остали капитал друштва износи 768.246 хиљ. динара. Од тогa се 94,99% односи на акцијски капитал, 4,56% на друштвени капитал и 0,45% на остали капитал.</w:t>
            </w:r>
          </w:p>
        </w:tc>
        <w:tc>
          <w:tcPr>
            <w:tcW w:w="243" w:type="dxa"/>
          </w:tcPr>
          <w:p w:rsidR="00584DB1" w:rsidRPr="00BF6376" w:rsidRDefault="00584DB1" w:rsidP="00AB0F8D">
            <w:pPr>
              <w:pStyle w:val="NoSpacing"/>
              <w:jc w:val="both"/>
              <w:rPr>
                <w:noProof/>
                <w:sz w:val="20"/>
                <w:szCs w:val="20"/>
                <w:highlight w:val="yellow"/>
                <w:lang w:val="sr-Cyrl-CS"/>
              </w:rPr>
            </w:pPr>
          </w:p>
        </w:tc>
        <w:tc>
          <w:tcPr>
            <w:tcW w:w="2875" w:type="dxa"/>
          </w:tcPr>
          <w:p w:rsidR="00584DB1" w:rsidRPr="00A06882" w:rsidRDefault="00C031DE" w:rsidP="00D85D41">
            <w:pPr>
              <w:pStyle w:val="NoSpacing"/>
              <w:rPr>
                <w:rFonts w:ascii="Palatino Linotype" w:hAnsi="Palatino Linotype" w:cs="Times New Roman"/>
                <w:b/>
                <w:noProof/>
                <w:color w:val="632423" w:themeColor="accent2" w:themeShade="80"/>
                <w:sz w:val="20"/>
                <w:szCs w:val="20"/>
                <w:lang w:val="sr-Cyrl-CS"/>
              </w:rPr>
            </w:pPr>
            <w:r w:rsidRPr="00A06882">
              <w:rPr>
                <w:rFonts w:ascii="Palatino Linotype" w:hAnsi="Palatino Linotype" w:cs="Times New Roman"/>
                <w:b/>
                <w:noProof/>
                <w:color w:val="632423" w:themeColor="accent2" w:themeShade="80"/>
                <w:sz w:val="20"/>
                <w:szCs w:val="20"/>
                <w:lang w:val="sr-Cyrl-CS"/>
              </w:rPr>
              <w:t>Основни и остали капитал 768.246 хиљ</w:t>
            </w:r>
            <w:r w:rsidR="00E00FE9" w:rsidRPr="00A06882">
              <w:rPr>
                <w:rFonts w:ascii="Palatino Linotype" w:hAnsi="Palatino Linotype" w:cs="Times New Roman"/>
                <w:b/>
                <w:noProof/>
                <w:color w:val="632423" w:themeColor="accent2" w:themeShade="80"/>
                <w:sz w:val="20"/>
                <w:szCs w:val="20"/>
                <w:lang w:val="sr-Cyrl-CS"/>
              </w:rPr>
              <w:t>.</w:t>
            </w:r>
            <w:r w:rsidRPr="00A06882">
              <w:rPr>
                <w:rFonts w:ascii="Palatino Linotype" w:hAnsi="Palatino Linotype" w:cs="Times New Roman"/>
                <w:b/>
                <w:noProof/>
                <w:color w:val="632423" w:themeColor="accent2" w:themeShade="80"/>
                <w:sz w:val="20"/>
                <w:szCs w:val="20"/>
                <w:lang w:val="sr-Cyrl-CS"/>
              </w:rPr>
              <w:t xml:space="preserve"> дин.</w:t>
            </w:r>
          </w:p>
          <w:p w:rsidR="00584DB1" w:rsidRPr="00A06882" w:rsidRDefault="00584DB1" w:rsidP="00AB0F8D">
            <w:pPr>
              <w:pStyle w:val="NoSpacing"/>
              <w:jc w:val="both"/>
              <w:rPr>
                <w:b/>
                <w:noProof/>
                <w:sz w:val="20"/>
                <w:szCs w:val="20"/>
                <w:lang w:val="sr-Cyrl-CS"/>
              </w:rPr>
            </w:pPr>
          </w:p>
        </w:tc>
      </w:tr>
      <w:tr w:rsidR="00584DB1" w:rsidRPr="00BF3CDE" w:rsidTr="00E00FE9">
        <w:trPr>
          <w:trHeight w:val="397"/>
        </w:trPr>
        <w:tc>
          <w:tcPr>
            <w:tcW w:w="7196" w:type="dxa"/>
            <w:vAlign w:val="center"/>
          </w:tcPr>
          <w:p w:rsidR="00584DB1" w:rsidRPr="00BF6376" w:rsidRDefault="00C031DE" w:rsidP="004D1716">
            <w:pPr>
              <w:pStyle w:val="NoSpacing"/>
              <w:ind w:left="567"/>
              <w:jc w:val="both"/>
              <w:rPr>
                <w:noProof/>
                <w:sz w:val="20"/>
                <w:szCs w:val="20"/>
                <w:highlight w:val="yellow"/>
                <w:lang w:val="sr-Cyrl-CS"/>
              </w:rPr>
            </w:pPr>
            <w:r w:rsidRPr="00A06882">
              <w:rPr>
                <w:noProof/>
                <w:sz w:val="20"/>
                <w:szCs w:val="20"/>
                <w:lang w:val="sr-Cyrl-CS"/>
              </w:rPr>
              <w:t>На дан 31.12.201</w:t>
            </w:r>
            <w:r w:rsidR="004D1716" w:rsidRPr="00A06882">
              <w:rPr>
                <w:noProof/>
                <w:sz w:val="20"/>
                <w:szCs w:val="20"/>
                <w:lang w:val="sr-Cyrl-CS"/>
              </w:rPr>
              <w:t>5</w:t>
            </w:r>
            <w:r w:rsidRPr="00A06882">
              <w:rPr>
                <w:noProof/>
                <w:sz w:val="20"/>
                <w:szCs w:val="20"/>
                <w:lang w:val="sr-Cyrl-CS"/>
              </w:rPr>
              <w:t xml:space="preserve">. </w:t>
            </w:r>
            <w:r w:rsidR="004D1716" w:rsidRPr="00A06882">
              <w:rPr>
                <w:noProof/>
                <w:sz w:val="20"/>
                <w:szCs w:val="20"/>
                <w:lang w:val="sr-Cyrl-CS"/>
              </w:rPr>
              <w:t>укупни инвестициони портф</w:t>
            </w:r>
            <w:r w:rsidR="00FA08FC">
              <w:rPr>
                <w:noProof/>
                <w:sz w:val="20"/>
                <w:szCs w:val="20"/>
                <w:lang w:val="sr-Cyrl-CS"/>
              </w:rPr>
              <w:t>о</w:t>
            </w:r>
            <w:r w:rsidR="004D1716" w:rsidRPr="00A06882">
              <w:rPr>
                <w:noProof/>
                <w:sz w:val="20"/>
                <w:szCs w:val="20"/>
                <w:lang w:val="sr-Cyrl-CS"/>
              </w:rPr>
              <w:t>лио је износио 2.061.975 хиљада динара</w:t>
            </w:r>
          </w:p>
        </w:tc>
        <w:tc>
          <w:tcPr>
            <w:tcW w:w="243" w:type="dxa"/>
          </w:tcPr>
          <w:p w:rsidR="00584DB1" w:rsidRPr="00BF6376" w:rsidRDefault="00584DB1" w:rsidP="00AB0F8D">
            <w:pPr>
              <w:pStyle w:val="NoSpacing"/>
              <w:jc w:val="both"/>
              <w:rPr>
                <w:noProof/>
                <w:sz w:val="20"/>
                <w:szCs w:val="20"/>
                <w:highlight w:val="yellow"/>
                <w:lang w:val="sr-Cyrl-CS"/>
              </w:rPr>
            </w:pPr>
          </w:p>
        </w:tc>
        <w:tc>
          <w:tcPr>
            <w:tcW w:w="2875" w:type="dxa"/>
          </w:tcPr>
          <w:p w:rsidR="00584DB1" w:rsidRPr="00A06882" w:rsidRDefault="00A06882" w:rsidP="00D85D41">
            <w:pPr>
              <w:pStyle w:val="NoSpacing"/>
              <w:rPr>
                <w:rFonts w:ascii="Palatino Linotype" w:hAnsi="Palatino Linotype" w:cs="Times New Roman"/>
                <w:b/>
                <w:noProof/>
                <w:color w:val="632423" w:themeColor="accent2" w:themeShade="80"/>
                <w:sz w:val="20"/>
                <w:szCs w:val="20"/>
                <w:lang w:val="sr-Cyrl-CS"/>
              </w:rPr>
            </w:pPr>
            <w:r w:rsidRPr="00A06882">
              <w:rPr>
                <w:rFonts w:ascii="Palatino Linotype" w:hAnsi="Palatino Linotype" w:cs="Times New Roman"/>
                <w:b/>
                <w:noProof/>
                <w:color w:val="632423" w:themeColor="accent2" w:themeShade="80"/>
                <w:sz w:val="20"/>
                <w:szCs w:val="20"/>
                <w:lang w:val="sr-Cyrl-CS"/>
              </w:rPr>
              <w:t>Укупни инвестицонои портфолио2.061.975</w:t>
            </w:r>
            <w:r w:rsidR="00C031DE" w:rsidRPr="00A06882">
              <w:rPr>
                <w:rFonts w:ascii="Palatino Linotype" w:hAnsi="Palatino Linotype" w:cs="Times New Roman"/>
                <w:b/>
                <w:noProof/>
                <w:color w:val="632423" w:themeColor="accent2" w:themeShade="80"/>
                <w:sz w:val="20"/>
                <w:szCs w:val="20"/>
                <w:lang w:val="sr-Cyrl-CS"/>
              </w:rPr>
              <w:t>. хиљ</w:t>
            </w:r>
            <w:r w:rsidR="00E00FE9" w:rsidRPr="00A06882">
              <w:rPr>
                <w:rFonts w:ascii="Palatino Linotype" w:hAnsi="Palatino Linotype" w:cs="Times New Roman"/>
                <w:b/>
                <w:noProof/>
                <w:color w:val="632423" w:themeColor="accent2" w:themeShade="80"/>
                <w:sz w:val="20"/>
                <w:szCs w:val="20"/>
                <w:lang w:val="sr-Cyrl-CS"/>
              </w:rPr>
              <w:t>.</w:t>
            </w:r>
            <w:r w:rsidR="00C031DE" w:rsidRPr="00A06882">
              <w:rPr>
                <w:rFonts w:ascii="Palatino Linotype" w:hAnsi="Palatino Linotype" w:cs="Times New Roman"/>
                <w:b/>
                <w:noProof/>
                <w:color w:val="632423" w:themeColor="accent2" w:themeShade="80"/>
                <w:sz w:val="20"/>
                <w:szCs w:val="20"/>
                <w:lang w:val="sr-Cyrl-CS"/>
              </w:rPr>
              <w:t xml:space="preserve"> дин</w:t>
            </w:r>
            <w:r w:rsidR="00E00FE9" w:rsidRPr="00A06882">
              <w:rPr>
                <w:rFonts w:ascii="Palatino Linotype" w:hAnsi="Palatino Linotype" w:cs="Times New Roman"/>
                <w:b/>
                <w:noProof/>
                <w:color w:val="632423" w:themeColor="accent2" w:themeShade="80"/>
                <w:sz w:val="20"/>
                <w:szCs w:val="20"/>
                <w:lang w:val="sr-Cyrl-CS"/>
              </w:rPr>
              <w:t>.</w:t>
            </w:r>
            <w:r w:rsidR="00C031DE" w:rsidRPr="00A06882">
              <w:rPr>
                <w:rFonts w:ascii="Palatino Linotype" w:hAnsi="Palatino Linotype" w:cs="Times New Roman"/>
                <w:b/>
                <w:noProof/>
                <w:color w:val="632423" w:themeColor="accent2" w:themeShade="80"/>
                <w:sz w:val="20"/>
                <w:szCs w:val="20"/>
                <w:lang w:val="sr-Cyrl-CS"/>
              </w:rPr>
              <w:t xml:space="preserve"> и за  </w:t>
            </w:r>
            <w:r w:rsidRPr="00A06882">
              <w:rPr>
                <w:rFonts w:ascii="Palatino Linotype" w:hAnsi="Palatino Linotype" w:cs="Times New Roman"/>
                <w:b/>
                <w:noProof/>
                <w:color w:val="632423" w:themeColor="accent2" w:themeShade="80"/>
                <w:sz w:val="20"/>
                <w:szCs w:val="20"/>
                <w:lang w:val="sr-Cyrl-CS"/>
              </w:rPr>
              <w:t>3,04% је мањи</w:t>
            </w:r>
            <w:r w:rsidR="00C031DE" w:rsidRPr="00A06882">
              <w:rPr>
                <w:rFonts w:ascii="Palatino Linotype" w:hAnsi="Palatino Linotype" w:cs="Times New Roman"/>
                <w:b/>
                <w:noProof/>
                <w:color w:val="632423" w:themeColor="accent2" w:themeShade="80"/>
                <w:sz w:val="20"/>
                <w:szCs w:val="20"/>
                <w:lang w:val="sr-Cyrl-CS"/>
              </w:rPr>
              <w:t xml:space="preserve"> у односу на </w:t>
            </w:r>
            <w:r w:rsidR="00E00FE9" w:rsidRPr="00A06882">
              <w:rPr>
                <w:rFonts w:ascii="Palatino Linotype" w:hAnsi="Palatino Linotype" w:cs="Times New Roman"/>
                <w:b/>
                <w:noProof/>
                <w:color w:val="632423" w:themeColor="accent2" w:themeShade="80"/>
                <w:sz w:val="20"/>
                <w:szCs w:val="20"/>
                <w:lang w:val="sr-Cyrl-CS"/>
              </w:rPr>
              <w:t>201</w:t>
            </w:r>
            <w:r w:rsidRPr="00A06882">
              <w:rPr>
                <w:rFonts w:ascii="Palatino Linotype" w:hAnsi="Palatino Linotype" w:cs="Times New Roman"/>
                <w:b/>
                <w:noProof/>
                <w:color w:val="632423" w:themeColor="accent2" w:themeShade="80"/>
                <w:sz w:val="20"/>
                <w:szCs w:val="20"/>
                <w:lang w:val="sr-Cyrl-CS"/>
              </w:rPr>
              <w:t>4</w:t>
            </w:r>
            <w:r w:rsidR="00E00FE9" w:rsidRPr="00A06882">
              <w:rPr>
                <w:rFonts w:ascii="Palatino Linotype" w:hAnsi="Palatino Linotype" w:cs="Times New Roman"/>
                <w:b/>
                <w:noProof/>
                <w:color w:val="632423" w:themeColor="accent2" w:themeShade="80"/>
                <w:sz w:val="20"/>
                <w:szCs w:val="20"/>
                <w:lang w:val="sr-Cyrl-CS"/>
              </w:rPr>
              <w:t>.</w:t>
            </w:r>
            <w:r w:rsidR="00C031DE" w:rsidRPr="00A06882">
              <w:rPr>
                <w:rFonts w:ascii="Palatino Linotype" w:hAnsi="Palatino Linotype" w:cs="Times New Roman"/>
                <w:b/>
                <w:noProof/>
                <w:color w:val="632423" w:themeColor="accent2" w:themeShade="80"/>
                <w:sz w:val="20"/>
                <w:szCs w:val="20"/>
                <w:lang w:val="sr-Cyrl-CS"/>
              </w:rPr>
              <w:t xml:space="preserve"> год.</w:t>
            </w:r>
          </w:p>
          <w:p w:rsidR="00584DB1" w:rsidRPr="00A06882" w:rsidRDefault="00584DB1" w:rsidP="00AB0F8D">
            <w:pPr>
              <w:pStyle w:val="NoSpacing"/>
              <w:jc w:val="both"/>
              <w:rPr>
                <w:rFonts w:ascii="Palatino Linotype" w:hAnsi="Palatino Linotype" w:cs="Times New Roman"/>
                <w:b/>
                <w:noProof/>
                <w:color w:val="632423" w:themeColor="accent2" w:themeShade="80"/>
                <w:sz w:val="20"/>
                <w:szCs w:val="20"/>
                <w:highlight w:val="yellow"/>
                <w:lang w:val="sr-Cyrl-CS"/>
              </w:rPr>
            </w:pPr>
          </w:p>
        </w:tc>
      </w:tr>
      <w:tr w:rsidR="00584DB1" w:rsidRPr="00BF3CDE" w:rsidTr="00E00FE9">
        <w:trPr>
          <w:trHeight w:val="911"/>
        </w:trPr>
        <w:tc>
          <w:tcPr>
            <w:tcW w:w="7196" w:type="dxa"/>
            <w:vAlign w:val="center"/>
          </w:tcPr>
          <w:p w:rsidR="00584DB1" w:rsidRPr="00F503F1" w:rsidRDefault="00C031DE" w:rsidP="00F629F0">
            <w:pPr>
              <w:pStyle w:val="NoSpacing"/>
              <w:ind w:left="567"/>
              <w:jc w:val="both"/>
              <w:rPr>
                <w:noProof/>
                <w:sz w:val="20"/>
                <w:szCs w:val="20"/>
                <w:lang w:val="sr-Cyrl-CS"/>
              </w:rPr>
            </w:pPr>
            <w:r w:rsidRPr="00F503F1">
              <w:rPr>
                <w:noProof/>
                <w:sz w:val="20"/>
                <w:szCs w:val="20"/>
                <w:lang w:val="sr-Cyrl-CS"/>
              </w:rPr>
              <w:t xml:space="preserve">У периоду  I-XII  </w:t>
            </w:r>
            <w:r w:rsidR="00F629F0">
              <w:rPr>
                <w:noProof/>
                <w:sz w:val="20"/>
                <w:szCs w:val="20"/>
                <w:lang w:val="sr-Latn-RS"/>
              </w:rPr>
              <w:t>2015</w:t>
            </w:r>
            <w:r w:rsidRPr="00F503F1">
              <w:rPr>
                <w:noProof/>
                <w:sz w:val="20"/>
                <w:szCs w:val="20"/>
                <w:lang w:val="sr-Cyrl-CS"/>
              </w:rPr>
              <w:t xml:space="preserve"> године остварена је укупна бруто премија у износу од </w:t>
            </w:r>
            <w:r w:rsidR="008527EF" w:rsidRPr="00F503F1">
              <w:rPr>
                <w:noProof/>
                <w:sz w:val="20"/>
                <w:szCs w:val="20"/>
                <w:lang w:val="sr-Cyrl-CS"/>
              </w:rPr>
              <w:t>2,661,526</w:t>
            </w:r>
            <w:r w:rsidR="00F503F1">
              <w:rPr>
                <w:noProof/>
                <w:sz w:val="20"/>
                <w:szCs w:val="20"/>
                <w:lang w:val="sr-Cyrl-CS"/>
              </w:rPr>
              <w:t xml:space="preserve"> </w:t>
            </w:r>
            <w:r w:rsidRPr="00F503F1">
              <w:rPr>
                <w:noProof/>
                <w:sz w:val="20"/>
                <w:szCs w:val="20"/>
                <w:lang w:val="sr-Cyrl-CS"/>
              </w:rPr>
              <w:t xml:space="preserve">хиљ.динара, </w:t>
            </w:r>
            <w:r w:rsidR="00F503F1" w:rsidRPr="00F503F1">
              <w:rPr>
                <w:noProof/>
                <w:sz w:val="20"/>
                <w:szCs w:val="20"/>
                <w:lang w:val="sr-Cyrl-CS"/>
              </w:rPr>
              <w:t>и за</w:t>
            </w:r>
            <w:r w:rsidRPr="00F503F1">
              <w:rPr>
                <w:noProof/>
                <w:sz w:val="20"/>
                <w:szCs w:val="20"/>
                <w:lang w:val="sr-Cyrl-CS"/>
              </w:rPr>
              <w:t xml:space="preserve"> </w:t>
            </w:r>
            <w:r w:rsidR="008527EF" w:rsidRPr="00F503F1">
              <w:rPr>
                <w:noProof/>
                <w:sz w:val="20"/>
                <w:szCs w:val="20"/>
                <w:lang w:val="sr-Cyrl-CS"/>
              </w:rPr>
              <w:t xml:space="preserve">14,48% </w:t>
            </w:r>
            <w:r w:rsidR="00F503F1" w:rsidRPr="00F503F1">
              <w:rPr>
                <w:noProof/>
                <w:sz w:val="20"/>
                <w:szCs w:val="20"/>
                <w:lang w:val="sr-Cyrl-CS"/>
              </w:rPr>
              <w:t xml:space="preserve">је </w:t>
            </w:r>
            <w:r w:rsidR="008527EF" w:rsidRPr="00F503F1">
              <w:rPr>
                <w:noProof/>
                <w:sz w:val="20"/>
                <w:szCs w:val="20"/>
                <w:lang w:val="sr-Cyrl-CS"/>
              </w:rPr>
              <w:t>виш</w:t>
            </w:r>
            <w:r w:rsidR="00F503F1" w:rsidRPr="00F503F1">
              <w:rPr>
                <w:noProof/>
                <w:sz w:val="20"/>
                <w:szCs w:val="20"/>
                <w:lang w:val="sr-Cyrl-CS"/>
              </w:rPr>
              <w:t>а</w:t>
            </w:r>
            <w:r w:rsidRPr="00F503F1">
              <w:rPr>
                <w:noProof/>
                <w:sz w:val="20"/>
                <w:szCs w:val="20"/>
                <w:lang w:val="sr-Cyrl-CS"/>
              </w:rPr>
              <w:t xml:space="preserve"> у односу на исти период претходне године.</w:t>
            </w:r>
          </w:p>
        </w:tc>
        <w:tc>
          <w:tcPr>
            <w:tcW w:w="243" w:type="dxa"/>
          </w:tcPr>
          <w:p w:rsidR="00584DB1" w:rsidRPr="00F503F1" w:rsidRDefault="00584DB1" w:rsidP="00AB0F8D">
            <w:pPr>
              <w:pStyle w:val="NoSpacing"/>
              <w:jc w:val="both"/>
              <w:rPr>
                <w:noProof/>
                <w:sz w:val="20"/>
                <w:szCs w:val="20"/>
                <w:lang w:val="sr-Cyrl-CS"/>
              </w:rPr>
            </w:pPr>
          </w:p>
        </w:tc>
        <w:tc>
          <w:tcPr>
            <w:tcW w:w="2875" w:type="dxa"/>
          </w:tcPr>
          <w:p w:rsidR="00584DB1" w:rsidRPr="00A06882" w:rsidRDefault="00C031DE" w:rsidP="00E00FE9">
            <w:pPr>
              <w:pStyle w:val="NoSpacing"/>
              <w:rPr>
                <w:rFonts w:ascii="Palatino Linotype" w:hAnsi="Palatino Linotype" w:cs="Times New Roman"/>
                <w:b/>
                <w:noProof/>
                <w:color w:val="632423" w:themeColor="accent2" w:themeShade="80"/>
                <w:sz w:val="20"/>
                <w:szCs w:val="20"/>
                <w:lang w:val="sr-Cyrl-CS"/>
              </w:rPr>
            </w:pPr>
            <w:r w:rsidRPr="00A06882">
              <w:rPr>
                <w:rFonts w:ascii="Palatino Linotype" w:hAnsi="Palatino Linotype" w:cs="Times New Roman"/>
                <w:b/>
                <w:noProof/>
                <w:color w:val="632423" w:themeColor="accent2" w:themeShade="80"/>
                <w:sz w:val="20"/>
                <w:szCs w:val="20"/>
                <w:lang w:val="sr-Cyrl-CS"/>
              </w:rPr>
              <w:t xml:space="preserve">Бруто премија </w:t>
            </w:r>
            <w:r w:rsidR="00F503F1" w:rsidRPr="00A06882">
              <w:rPr>
                <w:rFonts w:ascii="Palatino Linotype" w:hAnsi="Palatino Linotype" w:cs="Times New Roman"/>
                <w:b/>
                <w:noProof/>
                <w:color w:val="632423" w:themeColor="accent2" w:themeShade="80"/>
                <w:sz w:val="20"/>
                <w:szCs w:val="20"/>
                <w:lang w:val="sr-Cyrl-CS"/>
              </w:rPr>
              <w:t xml:space="preserve">2,661,526хиљ </w:t>
            </w:r>
            <w:r w:rsidR="00E00FE9" w:rsidRPr="00A06882">
              <w:rPr>
                <w:rFonts w:ascii="Palatino Linotype" w:hAnsi="Palatino Linotype" w:cs="Times New Roman"/>
                <w:b/>
                <w:noProof/>
                <w:color w:val="632423" w:themeColor="accent2" w:themeShade="80"/>
                <w:sz w:val="20"/>
                <w:szCs w:val="20"/>
                <w:lang w:val="sr-Cyrl-CS"/>
              </w:rPr>
              <w:t>.</w:t>
            </w:r>
            <w:r w:rsidRPr="00A06882">
              <w:rPr>
                <w:rFonts w:ascii="Palatino Linotype" w:hAnsi="Palatino Linotype" w:cs="Times New Roman"/>
                <w:b/>
                <w:noProof/>
                <w:color w:val="632423" w:themeColor="accent2" w:themeShade="80"/>
                <w:sz w:val="20"/>
                <w:szCs w:val="20"/>
                <w:lang w:val="sr-Cyrl-CS"/>
              </w:rPr>
              <w:t xml:space="preserve"> дин</w:t>
            </w:r>
            <w:r w:rsidR="00E00FE9" w:rsidRPr="00A06882">
              <w:rPr>
                <w:rFonts w:ascii="Palatino Linotype" w:hAnsi="Palatino Linotype" w:cs="Times New Roman"/>
                <w:b/>
                <w:noProof/>
                <w:color w:val="632423" w:themeColor="accent2" w:themeShade="80"/>
                <w:sz w:val="20"/>
                <w:szCs w:val="20"/>
                <w:lang w:val="sr-Cyrl-CS"/>
              </w:rPr>
              <w:t>.</w:t>
            </w:r>
            <w:r w:rsidRPr="00A06882">
              <w:rPr>
                <w:rFonts w:ascii="Palatino Linotype" w:hAnsi="Palatino Linotype" w:cs="Times New Roman"/>
                <w:b/>
                <w:noProof/>
                <w:color w:val="632423" w:themeColor="accent2" w:themeShade="80"/>
                <w:sz w:val="20"/>
                <w:szCs w:val="20"/>
                <w:lang w:val="sr-Cyrl-CS"/>
              </w:rPr>
              <w:t xml:space="preserve"> и за </w:t>
            </w:r>
            <w:r w:rsidR="00F503F1" w:rsidRPr="00A06882">
              <w:rPr>
                <w:rFonts w:ascii="Palatino Linotype" w:hAnsi="Palatino Linotype" w:cs="Times New Roman"/>
                <w:b/>
                <w:noProof/>
                <w:color w:val="632423" w:themeColor="accent2" w:themeShade="80"/>
                <w:sz w:val="20"/>
                <w:szCs w:val="20"/>
                <w:lang w:val="sr-Cyrl-CS"/>
              </w:rPr>
              <w:t>14,48% је виша</w:t>
            </w:r>
            <w:r w:rsidRPr="00A06882">
              <w:rPr>
                <w:rFonts w:ascii="Palatino Linotype" w:hAnsi="Palatino Linotype" w:cs="Times New Roman"/>
                <w:b/>
                <w:noProof/>
                <w:color w:val="632423" w:themeColor="accent2" w:themeShade="80"/>
                <w:sz w:val="20"/>
                <w:szCs w:val="20"/>
                <w:lang w:val="sr-Cyrl-CS"/>
              </w:rPr>
              <w:t xml:space="preserve">  у односу на </w:t>
            </w:r>
            <w:r w:rsidR="00E00FE9" w:rsidRPr="00A06882">
              <w:rPr>
                <w:rFonts w:ascii="Palatino Linotype" w:hAnsi="Palatino Linotype" w:cs="Times New Roman"/>
                <w:b/>
                <w:noProof/>
                <w:color w:val="632423" w:themeColor="accent2" w:themeShade="80"/>
                <w:sz w:val="20"/>
                <w:szCs w:val="20"/>
                <w:lang w:val="sr-Cyrl-CS"/>
              </w:rPr>
              <w:t>201</w:t>
            </w:r>
            <w:r w:rsidR="00F503F1" w:rsidRPr="00A06882">
              <w:rPr>
                <w:rFonts w:ascii="Palatino Linotype" w:hAnsi="Palatino Linotype" w:cs="Times New Roman"/>
                <w:b/>
                <w:noProof/>
                <w:color w:val="632423" w:themeColor="accent2" w:themeShade="80"/>
                <w:sz w:val="20"/>
                <w:szCs w:val="20"/>
                <w:lang w:val="sr-Cyrl-CS"/>
              </w:rPr>
              <w:t>4</w:t>
            </w:r>
            <w:r w:rsidR="00E00FE9" w:rsidRPr="00A06882">
              <w:rPr>
                <w:rFonts w:ascii="Palatino Linotype" w:hAnsi="Palatino Linotype" w:cs="Times New Roman"/>
                <w:b/>
                <w:noProof/>
                <w:color w:val="632423" w:themeColor="accent2" w:themeShade="80"/>
                <w:sz w:val="20"/>
                <w:szCs w:val="20"/>
                <w:lang w:val="sr-Cyrl-CS"/>
              </w:rPr>
              <w:t>. год</w:t>
            </w:r>
            <w:r w:rsidRPr="00A06882">
              <w:rPr>
                <w:rFonts w:ascii="Palatino Linotype" w:hAnsi="Palatino Linotype" w:cs="Times New Roman"/>
                <w:b/>
                <w:noProof/>
                <w:color w:val="632423" w:themeColor="accent2" w:themeShade="80"/>
                <w:sz w:val="20"/>
                <w:szCs w:val="20"/>
                <w:lang w:val="sr-Cyrl-CS"/>
              </w:rPr>
              <w:t>.</w:t>
            </w:r>
          </w:p>
          <w:p w:rsidR="00E00FE9" w:rsidRPr="00A06882" w:rsidRDefault="00E00FE9" w:rsidP="00E00FE9">
            <w:pPr>
              <w:pStyle w:val="NoSpacing"/>
              <w:rPr>
                <w:b/>
                <w:noProof/>
                <w:sz w:val="20"/>
                <w:szCs w:val="20"/>
                <w:lang w:val="sr-Cyrl-CS"/>
              </w:rPr>
            </w:pPr>
          </w:p>
        </w:tc>
      </w:tr>
      <w:tr w:rsidR="00584DB1" w:rsidRPr="00BF3CDE" w:rsidTr="00E00FE9">
        <w:trPr>
          <w:trHeight w:val="567"/>
        </w:trPr>
        <w:tc>
          <w:tcPr>
            <w:tcW w:w="7196" w:type="dxa"/>
            <w:vAlign w:val="center"/>
          </w:tcPr>
          <w:p w:rsidR="00584DB1" w:rsidRPr="00BF6376" w:rsidRDefault="00584DB1" w:rsidP="008D4D3A">
            <w:pPr>
              <w:pStyle w:val="NoSpacing"/>
              <w:ind w:left="567"/>
              <w:jc w:val="both"/>
              <w:rPr>
                <w:b/>
                <w:noProof/>
                <w:sz w:val="20"/>
                <w:szCs w:val="20"/>
                <w:highlight w:val="yellow"/>
                <w:lang w:val="sr-Cyrl-CS"/>
              </w:rPr>
            </w:pPr>
          </w:p>
        </w:tc>
        <w:tc>
          <w:tcPr>
            <w:tcW w:w="243" w:type="dxa"/>
          </w:tcPr>
          <w:p w:rsidR="00584DB1" w:rsidRPr="00BF6376" w:rsidRDefault="00584DB1" w:rsidP="00AB0F8D">
            <w:pPr>
              <w:pStyle w:val="NoSpacing"/>
              <w:jc w:val="both"/>
              <w:rPr>
                <w:noProof/>
                <w:sz w:val="20"/>
                <w:szCs w:val="20"/>
                <w:highlight w:val="yellow"/>
                <w:lang w:val="sr-Cyrl-CS"/>
              </w:rPr>
            </w:pPr>
          </w:p>
        </w:tc>
        <w:tc>
          <w:tcPr>
            <w:tcW w:w="2875" w:type="dxa"/>
          </w:tcPr>
          <w:p w:rsidR="00C031DE" w:rsidRPr="00A06882" w:rsidRDefault="00C031DE" w:rsidP="00D85D41">
            <w:pPr>
              <w:pStyle w:val="NoSpacing"/>
              <w:rPr>
                <w:rFonts w:ascii="Palatino Linotype" w:hAnsi="Palatino Linotype" w:cs="Times New Roman"/>
                <w:b/>
                <w:noProof/>
                <w:color w:val="632423" w:themeColor="accent2" w:themeShade="80"/>
                <w:sz w:val="20"/>
                <w:szCs w:val="20"/>
                <w:highlight w:val="yellow"/>
                <w:lang w:val="sr-Cyrl-CS"/>
              </w:rPr>
            </w:pPr>
          </w:p>
        </w:tc>
      </w:tr>
      <w:tr w:rsidR="00584DB1" w:rsidRPr="00BF6376" w:rsidTr="00E00FE9">
        <w:trPr>
          <w:trHeight w:val="454"/>
        </w:trPr>
        <w:tc>
          <w:tcPr>
            <w:tcW w:w="7196" w:type="dxa"/>
            <w:vAlign w:val="center"/>
          </w:tcPr>
          <w:p w:rsidR="00584DB1" w:rsidRPr="00F503F1" w:rsidRDefault="00C031DE" w:rsidP="00F503F1">
            <w:pPr>
              <w:pStyle w:val="NoSpacing"/>
              <w:ind w:left="426"/>
              <w:jc w:val="both"/>
              <w:rPr>
                <w:b/>
                <w:noProof/>
                <w:sz w:val="20"/>
                <w:szCs w:val="20"/>
                <w:lang w:val="sr-Cyrl-CS"/>
              </w:rPr>
            </w:pPr>
            <w:r w:rsidRPr="00F503F1">
              <w:rPr>
                <w:noProof/>
                <w:sz w:val="20"/>
                <w:szCs w:val="20"/>
                <w:lang w:val="sr-Cyrl-CS"/>
              </w:rPr>
              <w:t>У периоду  I-XII  201</w:t>
            </w:r>
            <w:r w:rsidR="00F503F1" w:rsidRPr="00F503F1">
              <w:rPr>
                <w:noProof/>
                <w:sz w:val="20"/>
                <w:szCs w:val="20"/>
                <w:lang w:val="sr-Cyrl-CS"/>
              </w:rPr>
              <w:t>5</w:t>
            </w:r>
            <w:r w:rsidRPr="00F503F1">
              <w:rPr>
                <w:noProof/>
                <w:sz w:val="20"/>
                <w:szCs w:val="20"/>
                <w:lang w:val="sr-Cyrl-CS"/>
              </w:rPr>
              <w:t xml:space="preserve">. године ликвидиране су штете у укупном износу од  </w:t>
            </w:r>
            <w:r w:rsidR="00F503F1" w:rsidRPr="00F503F1">
              <w:rPr>
                <w:noProof/>
                <w:sz w:val="20"/>
                <w:szCs w:val="20"/>
                <w:lang w:val="sr-Cyrl-CS"/>
              </w:rPr>
              <w:t>2,662,768</w:t>
            </w:r>
            <w:r w:rsidRPr="00F503F1">
              <w:rPr>
                <w:noProof/>
                <w:sz w:val="20"/>
                <w:szCs w:val="20"/>
                <w:lang w:val="sr-Cyrl-CS"/>
              </w:rPr>
              <w:t xml:space="preserve">хиљ. динара, што представља </w:t>
            </w:r>
            <w:r w:rsidR="00F503F1" w:rsidRPr="00F503F1">
              <w:rPr>
                <w:noProof/>
                <w:sz w:val="20"/>
                <w:szCs w:val="20"/>
                <w:lang w:val="sr-Cyrl-CS"/>
              </w:rPr>
              <w:t xml:space="preserve">раст </w:t>
            </w:r>
            <w:r w:rsidRPr="00F503F1">
              <w:rPr>
                <w:noProof/>
                <w:sz w:val="20"/>
                <w:szCs w:val="20"/>
                <w:lang w:val="sr-Cyrl-CS"/>
              </w:rPr>
              <w:t xml:space="preserve">од </w:t>
            </w:r>
            <w:r w:rsidR="00F503F1" w:rsidRPr="00F503F1">
              <w:rPr>
                <w:noProof/>
                <w:sz w:val="20"/>
                <w:szCs w:val="20"/>
                <w:lang w:val="sr-Cyrl-CS"/>
              </w:rPr>
              <w:t xml:space="preserve">245,67% </w:t>
            </w:r>
            <w:r w:rsidRPr="00F503F1">
              <w:rPr>
                <w:noProof/>
                <w:sz w:val="20"/>
                <w:szCs w:val="20"/>
                <w:lang w:val="sr-Cyrl-CS"/>
              </w:rPr>
              <w:t>у односу на исти период претходне године.</w:t>
            </w:r>
          </w:p>
        </w:tc>
        <w:tc>
          <w:tcPr>
            <w:tcW w:w="243" w:type="dxa"/>
          </w:tcPr>
          <w:p w:rsidR="00584DB1" w:rsidRPr="00F503F1" w:rsidRDefault="00584DB1" w:rsidP="00AB0F8D">
            <w:pPr>
              <w:pStyle w:val="NoSpacing"/>
              <w:jc w:val="both"/>
              <w:rPr>
                <w:noProof/>
                <w:sz w:val="20"/>
                <w:szCs w:val="20"/>
                <w:lang w:val="sr-Cyrl-CS"/>
              </w:rPr>
            </w:pPr>
          </w:p>
        </w:tc>
        <w:tc>
          <w:tcPr>
            <w:tcW w:w="2875" w:type="dxa"/>
          </w:tcPr>
          <w:p w:rsidR="00E00FE9" w:rsidRPr="00A06882" w:rsidRDefault="00E00FE9" w:rsidP="00E00FE9">
            <w:pPr>
              <w:pStyle w:val="NoSpacing"/>
              <w:jc w:val="both"/>
              <w:rPr>
                <w:rFonts w:ascii="Palatino Linotype" w:hAnsi="Palatino Linotype" w:cs="Times New Roman"/>
                <w:b/>
                <w:noProof/>
                <w:color w:val="632423" w:themeColor="accent2" w:themeShade="80"/>
                <w:sz w:val="20"/>
                <w:szCs w:val="20"/>
                <w:highlight w:val="yellow"/>
                <w:lang w:val="sr-Cyrl-CS"/>
              </w:rPr>
            </w:pPr>
          </w:p>
          <w:p w:rsidR="00584DB1" w:rsidRPr="00A06882" w:rsidRDefault="00C031DE" w:rsidP="00E00FE9">
            <w:pPr>
              <w:pStyle w:val="NoSpacing"/>
              <w:jc w:val="both"/>
              <w:rPr>
                <w:rFonts w:ascii="Palatino Linotype" w:hAnsi="Palatino Linotype" w:cs="Times New Roman"/>
                <w:b/>
                <w:noProof/>
                <w:color w:val="632423" w:themeColor="accent2" w:themeShade="80"/>
                <w:sz w:val="20"/>
                <w:szCs w:val="20"/>
                <w:lang w:val="sr-Cyrl-CS"/>
              </w:rPr>
            </w:pPr>
            <w:r w:rsidRPr="00A06882">
              <w:rPr>
                <w:rFonts w:ascii="Palatino Linotype" w:hAnsi="Palatino Linotype" w:cs="Times New Roman"/>
                <w:b/>
                <w:noProof/>
                <w:color w:val="632423" w:themeColor="accent2" w:themeShade="80"/>
                <w:sz w:val="20"/>
                <w:szCs w:val="20"/>
                <w:lang w:val="sr-Cyrl-CS"/>
              </w:rPr>
              <w:t xml:space="preserve">Ликвидиране штете  </w:t>
            </w:r>
            <w:r w:rsidR="00F503F1" w:rsidRPr="00A06882">
              <w:rPr>
                <w:rFonts w:ascii="Palatino Linotype" w:hAnsi="Palatino Linotype" w:cs="Times New Roman"/>
                <w:b/>
                <w:noProof/>
                <w:color w:val="632423" w:themeColor="accent2" w:themeShade="80"/>
                <w:sz w:val="20"/>
                <w:szCs w:val="20"/>
                <w:lang w:val="sr-Cyrl-CS"/>
              </w:rPr>
              <w:t xml:space="preserve">2,662,768 хиљ </w:t>
            </w:r>
            <w:r w:rsidR="00E00FE9" w:rsidRPr="00A06882">
              <w:rPr>
                <w:rFonts w:ascii="Palatino Linotype" w:hAnsi="Palatino Linotype" w:cs="Times New Roman"/>
                <w:b/>
                <w:noProof/>
                <w:color w:val="632423" w:themeColor="accent2" w:themeShade="80"/>
                <w:sz w:val="20"/>
                <w:szCs w:val="20"/>
                <w:lang w:val="sr-Cyrl-CS"/>
              </w:rPr>
              <w:t>.</w:t>
            </w:r>
            <w:r w:rsidRPr="00A06882">
              <w:rPr>
                <w:rFonts w:ascii="Palatino Linotype" w:hAnsi="Palatino Linotype" w:cs="Times New Roman"/>
                <w:b/>
                <w:noProof/>
                <w:color w:val="632423" w:themeColor="accent2" w:themeShade="80"/>
                <w:sz w:val="20"/>
                <w:szCs w:val="20"/>
                <w:lang w:val="sr-Cyrl-CS"/>
              </w:rPr>
              <w:t xml:space="preserve"> дин</w:t>
            </w:r>
            <w:r w:rsidR="00E00FE9" w:rsidRPr="00A06882">
              <w:rPr>
                <w:rFonts w:ascii="Palatino Linotype" w:hAnsi="Palatino Linotype" w:cs="Times New Roman"/>
                <w:b/>
                <w:noProof/>
                <w:color w:val="632423" w:themeColor="accent2" w:themeShade="80"/>
                <w:sz w:val="20"/>
                <w:szCs w:val="20"/>
                <w:lang w:val="sr-Cyrl-CS"/>
              </w:rPr>
              <w:t>.</w:t>
            </w:r>
            <w:r w:rsidRPr="00A06882">
              <w:rPr>
                <w:rFonts w:ascii="Palatino Linotype" w:hAnsi="Palatino Linotype" w:cs="Times New Roman"/>
                <w:b/>
                <w:noProof/>
                <w:color w:val="632423" w:themeColor="accent2" w:themeShade="80"/>
                <w:sz w:val="20"/>
                <w:szCs w:val="20"/>
                <w:lang w:val="sr-Cyrl-CS"/>
              </w:rPr>
              <w:t xml:space="preserve">, </w:t>
            </w:r>
            <w:r w:rsidR="00F503F1" w:rsidRPr="00A06882">
              <w:rPr>
                <w:rFonts w:ascii="Palatino Linotype" w:hAnsi="Palatino Linotype" w:cs="Times New Roman"/>
                <w:b/>
                <w:noProof/>
                <w:color w:val="632423" w:themeColor="accent2" w:themeShade="80"/>
                <w:sz w:val="20"/>
                <w:szCs w:val="20"/>
                <w:lang w:val="sr-Cyrl-CS"/>
              </w:rPr>
              <w:t>245,67</w:t>
            </w:r>
            <w:r w:rsidRPr="00A06882">
              <w:rPr>
                <w:rFonts w:ascii="Palatino Linotype" w:hAnsi="Palatino Linotype" w:cs="Times New Roman"/>
                <w:b/>
                <w:noProof/>
                <w:color w:val="632423" w:themeColor="accent2" w:themeShade="80"/>
                <w:sz w:val="20"/>
                <w:szCs w:val="20"/>
                <w:lang w:val="sr-Cyrl-CS"/>
              </w:rPr>
              <w:t xml:space="preserve">% </w:t>
            </w:r>
            <w:r w:rsidR="00F503F1" w:rsidRPr="00A06882">
              <w:rPr>
                <w:rFonts w:ascii="Palatino Linotype" w:hAnsi="Palatino Linotype" w:cs="Times New Roman"/>
                <w:b/>
                <w:noProof/>
                <w:color w:val="632423" w:themeColor="accent2" w:themeShade="80"/>
                <w:sz w:val="20"/>
                <w:szCs w:val="20"/>
                <w:lang w:val="sr-Cyrl-CS"/>
              </w:rPr>
              <w:t>су веће</w:t>
            </w:r>
            <w:r w:rsidRPr="00A06882">
              <w:rPr>
                <w:rFonts w:ascii="Palatino Linotype" w:hAnsi="Palatino Linotype" w:cs="Times New Roman"/>
                <w:b/>
                <w:noProof/>
                <w:color w:val="632423" w:themeColor="accent2" w:themeShade="80"/>
                <w:sz w:val="20"/>
                <w:szCs w:val="20"/>
                <w:lang w:val="sr-Cyrl-CS"/>
              </w:rPr>
              <w:t xml:space="preserve">  у односу на претходну годину.</w:t>
            </w:r>
          </w:p>
          <w:p w:rsidR="00E00FE9" w:rsidRPr="00A06882" w:rsidRDefault="00E00FE9" w:rsidP="00E00FE9">
            <w:pPr>
              <w:pStyle w:val="NoSpacing"/>
              <w:jc w:val="both"/>
              <w:rPr>
                <w:b/>
                <w:noProof/>
                <w:color w:val="000000" w:themeColor="text1"/>
                <w:sz w:val="20"/>
                <w:szCs w:val="20"/>
                <w:highlight w:val="yellow"/>
                <w:lang w:val="sr-Cyrl-CS"/>
              </w:rPr>
            </w:pPr>
          </w:p>
        </w:tc>
      </w:tr>
    </w:tbl>
    <w:tbl>
      <w:tblPr>
        <w:tblW w:w="9080" w:type="dxa"/>
        <w:tblInd w:w="93" w:type="dxa"/>
        <w:tblLook w:val="04A0" w:firstRow="1" w:lastRow="0" w:firstColumn="1" w:lastColumn="0" w:noHBand="0" w:noVBand="1"/>
      </w:tblPr>
      <w:tblGrid>
        <w:gridCol w:w="5160"/>
        <w:gridCol w:w="1400"/>
        <w:gridCol w:w="1400"/>
        <w:gridCol w:w="1120"/>
      </w:tblGrid>
      <w:tr w:rsidR="009F3AB7" w:rsidRPr="009F3AB7" w:rsidTr="009F3AB7">
        <w:trPr>
          <w:trHeight w:val="345"/>
        </w:trPr>
        <w:tc>
          <w:tcPr>
            <w:tcW w:w="5160" w:type="dxa"/>
            <w:vMerge w:val="restart"/>
            <w:tcBorders>
              <w:top w:val="double" w:sz="6" w:space="0" w:color="auto"/>
              <w:left w:val="nil"/>
              <w:bottom w:val="double" w:sz="6" w:space="0" w:color="000000"/>
              <w:right w:val="nil"/>
            </w:tcBorders>
            <w:shd w:val="clear" w:color="auto" w:fill="F2F2F2" w:themeFill="background1" w:themeFillShade="F2"/>
            <w:vAlign w:val="center"/>
            <w:hideMark/>
          </w:tcPr>
          <w:bookmarkStart w:id="6" w:name="RANGE!A39"/>
          <w:p w:rsidR="009F3AB7" w:rsidRPr="009F3AB7" w:rsidRDefault="009F3AB7" w:rsidP="009F3AB7">
            <w:pPr>
              <w:spacing w:after="0" w:line="240" w:lineRule="auto"/>
              <w:rPr>
                <w:rFonts w:ascii="Arial Narrow" w:eastAsia="Times New Roman" w:hAnsi="Arial Narrow" w:cs="Times New Roman"/>
                <w:color w:val="0000FF"/>
                <w:u w:val="single"/>
                <w:lang w:val="sr-Latn-RS" w:eastAsia="sr-Latn-RS"/>
              </w:rPr>
            </w:pPr>
            <w:r w:rsidRPr="009F3AB7">
              <w:rPr>
                <w:rFonts w:ascii="Arial Narrow" w:eastAsia="Times New Roman" w:hAnsi="Arial Narrow" w:cs="Times New Roman"/>
                <w:color w:val="0000FF"/>
                <w:u w:val="single"/>
                <w:lang w:val="sr-Latn-RS" w:eastAsia="sr-Latn-RS"/>
              </w:rPr>
              <w:fldChar w:fldCharType="begin"/>
            </w:r>
            <w:r w:rsidRPr="009F3AB7">
              <w:rPr>
                <w:rFonts w:ascii="Arial Narrow" w:eastAsia="Times New Roman" w:hAnsi="Arial Narrow" w:cs="Times New Roman"/>
                <w:color w:val="0000FF"/>
                <w:u w:val="single"/>
                <w:lang w:val="sr-Latn-RS" w:eastAsia="sr-Latn-RS"/>
              </w:rPr>
              <w:instrText xml:space="preserve"> HYPERLINK "file:///C:\\Users\\l.kostic\\Desktop\\Zavrsni%20(napomene)%202016%20Vesna\\Carmel%20analiza%2031%2012%202015..xlsx" \l "RANGE!#REF!" </w:instrText>
            </w:r>
            <w:r w:rsidRPr="009F3AB7">
              <w:rPr>
                <w:rFonts w:ascii="Arial Narrow" w:eastAsia="Times New Roman" w:hAnsi="Arial Narrow" w:cs="Times New Roman"/>
                <w:color w:val="0000FF"/>
                <w:u w:val="single"/>
                <w:lang w:val="sr-Latn-RS" w:eastAsia="sr-Latn-RS"/>
              </w:rPr>
              <w:fldChar w:fldCharType="separate"/>
            </w:r>
            <w:r w:rsidRPr="009F3AB7">
              <w:rPr>
                <w:rFonts w:ascii="Arial Narrow" w:eastAsia="Times New Roman" w:hAnsi="Arial Narrow" w:cs="Times New Roman"/>
                <w:color w:val="0000FF"/>
                <w:u w:val="single"/>
                <w:lang w:val="sr-Latn-RS" w:eastAsia="sr-Latn-RS"/>
              </w:rPr>
              <w:t>CARMEL*</w:t>
            </w:r>
            <w:r w:rsidRPr="009F3AB7">
              <w:rPr>
                <w:rFonts w:ascii="Arial Narrow" w:eastAsia="Times New Roman" w:hAnsi="Arial Narrow" w:cs="Times New Roman"/>
                <w:color w:val="0000FF"/>
                <w:u w:val="single"/>
                <w:lang w:val="sr-Latn-RS" w:eastAsia="sr-Latn-RS"/>
              </w:rPr>
              <w:fldChar w:fldCharType="end"/>
            </w:r>
            <w:bookmarkEnd w:id="6"/>
          </w:p>
        </w:tc>
        <w:tc>
          <w:tcPr>
            <w:tcW w:w="1400" w:type="dxa"/>
            <w:tcBorders>
              <w:top w:val="double" w:sz="6" w:space="0" w:color="auto"/>
              <w:left w:val="nil"/>
              <w:bottom w:val="nil"/>
              <w:right w:val="nil"/>
            </w:tcBorders>
            <w:shd w:val="clear" w:color="auto" w:fill="F2F2F2" w:themeFill="background1" w:themeFillShade="F2"/>
            <w:vAlign w:val="center"/>
            <w:hideMark/>
          </w:tcPr>
          <w:p w:rsidR="009F3AB7" w:rsidRPr="009F3AB7" w:rsidRDefault="009F3AB7" w:rsidP="009F3AB7">
            <w:pPr>
              <w:spacing w:after="0" w:line="240" w:lineRule="auto"/>
              <w:jc w:val="center"/>
              <w:rPr>
                <w:rFonts w:ascii="Arial Narrow" w:eastAsia="Times New Roman" w:hAnsi="Arial Narrow" w:cs="Times New Roman"/>
                <w:b/>
                <w:bCs/>
                <w:i/>
                <w:iCs/>
                <w:color w:val="000000"/>
                <w:sz w:val="20"/>
                <w:szCs w:val="20"/>
                <w:lang w:val="sr-Latn-RS" w:eastAsia="sr-Latn-RS"/>
              </w:rPr>
            </w:pPr>
            <w:r w:rsidRPr="009F3AB7">
              <w:rPr>
                <w:rFonts w:ascii="Arial Narrow" w:eastAsia="Times New Roman" w:hAnsi="Arial Narrow" w:cs="Times New Roman"/>
                <w:b/>
                <w:bCs/>
                <w:i/>
                <w:iCs/>
                <w:color w:val="000000"/>
                <w:sz w:val="20"/>
                <w:szCs w:val="20"/>
                <w:lang w:val="sr-Latn-RS" w:eastAsia="sr-Latn-RS"/>
              </w:rPr>
              <w:t>Претходна</w:t>
            </w:r>
          </w:p>
        </w:tc>
        <w:tc>
          <w:tcPr>
            <w:tcW w:w="1400" w:type="dxa"/>
            <w:tcBorders>
              <w:top w:val="double" w:sz="6" w:space="0" w:color="auto"/>
              <w:left w:val="nil"/>
              <w:bottom w:val="nil"/>
              <w:right w:val="nil"/>
            </w:tcBorders>
            <w:shd w:val="clear" w:color="auto" w:fill="F2F2F2" w:themeFill="background1" w:themeFillShade="F2"/>
            <w:vAlign w:val="center"/>
            <w:hideMark/>
          </w:tcPr>
          <w:p w:rsidR="009F3AB7" w:rsidRPr="009F3AB7" w:rsidRDefault="009F3AB7" w:rsidP="009F3AB7">
            <w:pPr>
              <w:spacing w:after="0" w:line="240" w:lineRule="auto"/>
              <w:jc w:val="center"/>
              <w:rPr>
                <w:rFonts w:ascii="Arial Narrow" w:eastAsia="Times New Roman" w:hAnsi="Arial Narrow" w:cs="Times New Roman"/>
                <w:b/>
                <w:bCs/>
                <w:i/>
                <w:iCs/>
                <w:color w:val="000000"/>
                <w:sz w:val="20"/>
                <w:szCs w:val="20"/>
                <w:lang w:val="sr-Latn-RS" w:eastAsia="sr-Latn-RS"/>
              </w:rPr>
            </w:pPr>
            <w:r w:rsidRPr="009F3AB7">
              <w:rPr>
                <w:rFonts w:ascii="Arial Narrow" w:eastAsia="Times New Roman" w:hAnsi="Arial Narrow" w:cs="Times New Roman"/>
                <w:b/>
                <w:bCs/>
                <w:i/>
                <w:iCs/>
                <w:color w:val="000000"/>
                <w:sz w:val="20"/>
                <w:szCs w:val="20"/>
                <w:lang w:val="sr-Latn-RS" w:eastAsia="sr-Latn-RS"/>
              </w:rPr>
              <w:t>Текућа</w:t>
            </w:r>
          </w:p>
        </w:tc>
        <w:tc>
          <w:tcPr>
            <w:tcW w:w="1120" w:type="dxa"/>
            <w:vMerge w:val="restart"/>
            <w:tcBorders>
              <w:top w:val="double" w:sz="6" w:space="0" w:color="auto"/>
              <w:left w:val="nil"/>
              <w:bottom w:val="double" w:sz="6" w:space="0" w:color="000000"/>
              <w:right w:val="nil"/>
            </w:tcBorders>
            <w:shd w:val="clear" w:color="auto" w:fill="F2F2F2" w:themeFill="background1" w:themeFillShade="F2"/>
            <w:vAlign w:val="center"/>
            <w:hideMark/>
          </w:tcPr>
          <w:p w:rsidR="009F3AB7" w:rsidRPr="009F3AB7" w:rsidRDefault="009F3AB7" w:rsidP="009F3AB7">
            <w:pPr>
              <w:spacing w:after="0" w:line="240" w:lineRule="auto"/>
              <w:jc w:val="center"/>
              <w:rPr>
                <w:rFonts w:ascii="Arial Narrow" w:eastAsia="Times New Roman" w:hAnsi="Arial Narrow" w:cs="Times New Roman"/>
                <w:b/>
                <w:bCs/>
                <w:i/>
                <w:iCs/>
                <w:color w:val="000000"/>
                <w:sz w:val="20"/>
                <w:szCs w:val="20"/>
                <w:lang w:val="sr-Latn-RS" w:eastAsia="sr-Latn-RS"/>
              </w:rPr>
            </w:pPr>
            <w:r w:rsidRPr="009F3AB7">
              <w:rPr>
                <w:rFonts w:ascii="Arial Narrow" w:eastAsia="Times New Roman" w:hAnsi="Arial Narrow" w:cs="Times New Roman"/>
                <w:b/>
                <w:bCs/>
                <w:i/>
                <w:iCs/>
                <w:color w:val="000000"/>
                <w:sz w:val="20"/>
                <w:szCs w:val="20"/>
                <w:lang w:val="sr-Latn-RS" w:eastAsia="sr-Latn-RS"/>
              </w:rPr>
              <w:t>ТРЕНД</w:t>
            </w:r>
          </w:p>
        </w:tc>
      </w:tr>
      <w:tr w:rsidR="009F3AB7" w:rsidRPr="009F3AB7" w:rsidTr="009F3AB7">
        <w:trPr>
          <w:trHeight w:val="345"/>
        </w:trPr>
        <w:tc>
          <w:tcPr>
            <w:tcW w:w="5160" w:type="dxa"/>
            <w:vMerge/>
            <w:tcBorders>
              <w:top w:val="double" w:sz="6" w:space="0" w:color="auto"/>
              <w:left w:val="nil"/>
              <w:bottom w:val="double" w:sz="6" w:space="0" w:color="000000"/>
              <w:right w:val="nil"/>
            </w:tcBorders>
            <w:vAlign w:val="center"/>
            <w:hideMark/>
          </w:tcPr>
          <w:p w:rsidR="009F3AB7" w:rsidRPr="009F3AB7" w:rsidRDefault="009F3AB7" w:rsidP="009F3AB7">
            <w:pPr>
              <w:spacing w:after="0" w:line="240" w:lineRule="auto"/>
              <w:rPr>
                <w:rFonts w:ascii="Arial Narrow" w:eastAsia="Times New Roman" w:hAnsi="Arial Narrow" w:cs="Times New Roman"/>
                <w:color w:val="0000FF"/>
                <w:u w:val="single"/>
                <w:lang w:val="sr-Latn-RS" w:eastAsia="sr-Latn-RS"/>
              </w:rPr>
            </w:pPr>
          </w:p>
        </w:tc>
        <w:tc>
          <w:tcPr>
            <w:tcW w:w="1400" w:type="dxa"/>
            <w:tcBorders>
              <w:top w:val="nil"/>
              <w:left w:val="nil"/>
              <w:bottom w:val="double" w:sz="6" w:space="0" w:color="auto"/>
              <w:right w:val="nil"/>
            </w:tcBorders>
            <w:shd w:val="clear" w:color="auto" w:fill="F2F2F2" w:themeFill="background1" w:themeFillShade="F2"/>
            <w:vAlign w:val="center"/>
            <w:hideMark/>
          </w:tcPr>
          <w:p w:rsidR="009F3AB7" w:rsidRPr="009F3AB7" w:rsidRDefault="009F3AB7" w:rsidP="009F3AB7">
            <w:pPr>
              <w:spacing w:after="0" w:line="240" w:lineRule="auto"/>
              <w:jc w:val="center"/>
              <w:rPr>
                <w:rFonts w:ascii="Arial Narrow" w:eastAsia="Times New Roman" w:hAnsi="Arial Narrow" w:cs="Times New Roman"/>
                <w:b/>
                <w:bCs/>
                <w:i/>
                <w:iCs/>
                <w:color w:val="000000"/>
                <w:sz w:val="20"/>
                <w:szCs w:val="20"/>
                <w:lang w:val="sr-Latn-RS" w:eastAsia="sr-Latn-RS"/>
              </w:rPr>
            </w:pPr>
            <w:r w:rsidRPr="009F3AB7">
              <w:rPr>
                <w:rFonts w:ascii="Arial Narrow" w:eastAsia="Times New Roman" w:hAnsi="Arial Narrow" w:cs="Times New Roman"/>
                <w:b/>
                <w:bCs/>
                <w:i/>
                <w:iCs/>
                <w:color w:val="000000"/>
                <w:sz w:val="20"/>
                <w:szCs w:val="20"/>
                <w:lang w:val="sr-Latn-RS" w:eastAsia="sr-Latn-RS"/>
              </w:rPr>
              <w:t>година</w:t>
            </w:r>
          </w:p>
        </w:tc>
        <w:tc>
          <w:tcPr>
            <w:tcW w:w="1400" w:type="dxa"/>
            <w:tcBorders>
              <w:top w:val="nil"/>
              <w:left w:val="nil"/>
              <w:bottom w:val="double" w:sz="6" w:space="0" w:color="auto"/>
              <w:right w:val="nil"/>
            </w:tcBorders>
            <w:shd w:val="clear" w:color="auto" w:fill="F2F2F2" w:themeFill="background1" w:themeFillShade="F2"/>
            <w:vAlign w:val="center"/>
            <w:hideMark/>
          </w:tcPr>
          <w:p w:rsidR="009F3AB7" w:rsidRPr="009F3AB7" w:rsidRDefault="009F3AB7" w:rsidP="009F3AB7">
            <w:pPr>
              <w:spacing w:after="0" w:line="240" w:lineRule="auto"/>
              <w:jc w:val="center"/>
              <w:rPr>
                <w:rFonts w:ascii="Arial Narrow" w:eastAsia="Times New Roman" w:hAnsi="Arial Narrow" w:cs="Times New Roman"/>
                <w:b/>
                <w:bCs/>
                <w:i/>
                <w:iCs/>
                <w:color w:val="000000"/>
                <w:sz w:val="20"/>
                <w:szCs w:val="20"/>
                <w:lang w:val="sr-Latn-RS" w:eastAsia="sr-Latn-RS"/>
              </w:rPr>
            </w:pPr>
            <w:r w:rsidRPr="009F3AB7">
              <w:rPr>
                <w:rFonts w:ascii="Arial Narrow" w:eastAsia="Times New Roman" w:hAnsi="Arial Narrow" w:cs="Times New Roman"/>
                <w:b/>
                <w:bCs/>
                <w:i/>
                <w:iCs/>
                <w:color w:val="000000"/>
                <w:sz w:val="20"/>
                <w:szCs w:val="20"/>
                <w:lang w:val="sr-Latn-RS" w:eastAsia="sr-Latn-RS"/>
              </w:rPr>
              <w:t>година</w:t>
            </w:r>
          </w:p>
        </w:tc>
        <w:tc>
          <w:tcPr>
            <w:tcW w:w="1120" w:type="dxa"/>
            <w:vMerge/>
            <w:tcBorders>
              <w:top w:val="double" w:sz="6" w:space="0" w:color="auto"/>
              <w:left w:val="nil"/>
              <w:bottom w:val="double" w:sz="6" w:space="0" w:color="000000"/>
              <w:right w:val="nil"/>
            </w:tcBorders>
            <w:shd w:val="clear" w:color="auto" w:fill="F2F2F2" w:themeFill="background1" w:themeFillShade="F2"/>
            <w:vAlign w:val="center"/>
            <w:hideMark/>
          </w:tcPr>
          <w:p w:rsidR="009F3AB7" w:rsidRPr="009F3AB7" w:rsidRDefault="009F3AB7" w:rsidP="009F3AB7">
            <w:pPr>
              <w:spacing w:after="0" w:line="240" w:lineRule="auto"/>
              <w:rPr>
                <w:rFonts w:ascii="Arial Narrow" w:eastAsia="Times New Roman" w:hAnsi="Arial Narrow" w:cs="Times New Roman"/>
                <w:b/>
                <w:bCs/>
                <w:i/>
                <w:iCs/>
                <w:color w:val="000000"/>
                <w:sz w:val="20"/>
                <w:szCs w:val="20"/>
                <w:lang w:val="sr-Latn-RS" w:eastAsia="sr-Latn-RS"/>
              </w:rPr>
            </w:pPr>
          </w:p>
        </w:tc>
      </w:tr>
      <w:tr w:rsidR="009F3AB7" w:rsidRPr="009F3AB7" w:rsidTr="009F3AB7">
        <w:trPr>
          <w:trHeight w:val="345"/>
        </w:trPr>
        <w:tc>
          <w:tcPr>
            <w:tcW w:w="9080" w:type="dxa"/>
            <w:gridSpan w:val="4"/>
            <w:tcBorders>
              <w:top w:val="double" w:sz="6" w:space="0" w:color="auto"/>
              <w:left w:val="nil"/>
              <w:bottom w:val="single" w:sz="4" w:space="0" w:color="auto"/>
              <w:right w:val="nil"/>
            </w:tcBorders>
            <w:shd w:val="clear" w:color="auto" w:fill="DBE5F1" w:themeFill="accent1" w:themeFillTint="33"/>
            <w:vAlign w:val="center"/>
            <w:hideMark/>
          </w:tcPr>
          <w:p w:rsidR="009F3AB7" w:rsidRPr="009F3AB7" w:rsidRDefault="009F3AB7" w:rsidP="009F3AB7">
            <w:pPr>
              <w:spacing w:after="0" w:line="240" w:lineRule="auto"/>
              <w:rPr>
                <w:rFonts w:ascii="Arial Narrow" w:eastAsia="Times New Roman" w:hAnsi="Arial Narrow" w:cs="Times New Roman"/>
                <w:b/>
                <w:bCs/>
                <w:color w:val="000000"/>
                <w:sz w:val="20"/>
                <w:szCs w:val="20"/>
                <w:lang w:val="sr-Latn-RS" w:eastAsia="sr-Latn-RS"/>
              </w:rPr>
            </w:pPr>
            <w:r w:rsidRPr="009F3AB7">
              <w:rPr>
                <w:rFonts w:ascii="Arial Narrow" w:eastAsia="Times New Roman" w:hAnsi="Arial Narrow" w:cs="Times New Roman"/>
                <w:b/>
                <w:bCs/>
                <w:color w:val="000000"/>
                <w:sz w:val="20"/>
                <w:szCs w:val="20"/>
                <w:lang w:val="sr-Latn-RS" w:eastAsia="sr-Latn-RS"/>
              </w:rPr>
              <w:t>АДЕКВАТНОСТ КАПИТАЛА  -  С</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C1: "Премија у самопр / Ук. капитал"</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0,48</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0,55</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114,80</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C2: "Укупни капитал / Укупна актива "</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0,18</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0,16</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D932EB">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8</w:t>
            </w:r>
            <w:r w:rsidR="00D932EB">
              <w:rPr>
                <w:rFonts w:ascii="Arial Narrow" w:eastAsia="Times New Roman" w:hAnsi="Arial Narrow" w:cs="Times New Roman"/>
                <w:color w:val="000000"/>
                <w:sz w:val="20"/>
                <w:szCs w:val="20"/>
                <w:lang w:val="sr-Latn-RS" w:eastAsia="sr-Latn-RS"/>
              </w:rPr>
              <w:t>4,34</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C3: "Укупни капитал / Техничке резерве"</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0,35</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1,97</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555,41</w:t>
            </w:r>
          </w:p>
        </w:tc>
      </w:tr>
      <w:tr w:rsidR="009F3AB7" w:rsidRPr="009F3AB7" w:rsidTr="009F3AB7">
        <w:trPr>
          <w:trHeight w:val="330"/>
        </w:trPr>
        <w:tc>
          <w:tcPr>
            <w:tcW w:w="9080" w:type="dxa"/>
            <w:gridSpan w:val="4"/>
            <w:tcBorders>
              <w:top w:val="single" w:sz="4" w:space="0" w:color="auto"/>
              <w:left w:val="nil"/>
              <w:bottom w:val="single" w:sz="4" w:space="0" w:color="auto"/>
              <w:right w:val="nil"/>
            </w:tcBorders>
            <w:shd w:val="clear" w:color="auto" w:fill="DBE5F1" w:themeFill="accent1" w:themeFillTint="33"/>
            <w:vAlign w:val="center"/>
            <w:hideMark/>
          </w:tcPr>
          <w:p w:rsidR="009F3AB7" w:rsidRPr="009F3AB7" w:rsidRDefault="009F3AB7" w:rsidP="009F3AB7">
            <w:pPr>
              <w:spacing w:after="0" w:line="240" w:lineRule="auto"/>
              <w:rPr>
                <w:rFonts w:ascii="Arial Narrow" w:eastAsia="Times New Roman" w:hAnsi="Arial Narrow" w:cs="Times New Roman"/>
                <w:b/>
                <w:bCs/>
                <w:color w:val="000000"/>
                <w:sz w:val="20"/>
                <w:szCs w:val="20"/>
                <w:lang w:val="sr-Latn-RS" w:eastAsia="sr-Latn-RS"/>
              </w:rPr>
            </w:pPr>
            <w:r w:rsidRPr="009F3AB7">
              <w:rPr>
                <w:rFonts w:ascii="Arial Narrow" w:eastAsia="Times New Roman" w:hAnsi="Arial Narrow" w:cs="Times New Roman"/>
                <w:b/>
                <w:bCs/>
                <w:color w:val="000000"/>
                <w:sz w:val="20"/>
                <w:szCs w:val="20"/>
                <w:lang w:val="sr-Latn-RS" w:eastAsia="sr-Latn-RS"/>
              </w:rPr>
              <w:t>КВАЛИТЕТ АКТИВЕ  -  А</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A1: "Имовина у функцији учинка осигурања / Укупна актива"</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0,17</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0,18</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105,58</w:t>
            </w:r>
          </w:p>
        </w:tc>
      </w:tr>
      <w:tr w:rsidR="009F3AB7" w:rsidRPr="009F3AB7" w:rsidTr="009F3AB7">
        <w:trPr>
          <w:trHeight w:val="51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A4: "Укупно инвестирана средства (укључ. каматоносну готовину)  / Укупна актива"</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0,51</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0,43</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85,16</w:t>
            </w:r>
          </w:p>
        </w:tc>
      </w:tr>
      <w:tr w:rsidR="009F3AB7" w:rsidRPr="009F3AB7" w:rsidTr="009F3AB7">
        <w:trPr>
          <w:trHeight w:val="330"/>
        </w:trPr>
        <w:tc>
          <w:tcPr>
            <w:tcW w:w="9080" w:type="dxa"/>
            <w:gridSpan w:val="4"/>
            <w:tcBorders>
              <w:top w:val="single" w:sz="4" w:space="0" w:color="auto"/>
              <w:left w:val="nil"/>
              <w:bottom w:val="single" w:sz="4" w:space="0" w:color="auto"/>
              <w:right w:val="nil"/>
            </w:tcBorders>
            <w:shd w:val="clear" w:color="auto" w:fill="DBE5F1" w:themeFill="accent1" w:themeFillTint="33"/>
            <w:vAlign w:val="center"/>
            <w:hideMark/>
          </w:tcPr>
          <w:p w:rsidR="009F3AB7" w:rsidRPr="009F3AB7" w:rsidRDefault="009F3AB7" w:rsidP="009F3AB7">
            <w:pPr>
              <w:spacing w:after="0" w:line="240" w:lineRule="auto"/>
              <w:rPr>
                <w:rFonts w:ascii="Arial Narrow" w:eastAsia="Times New Roman" w:hAnsi="Arial Narrow" w:cs="Times New Roman"/>
                <w:b/>
                <w:bCs/>
                <w:color w:val="000000"/>
                <w:sz w:val="20"/>
                <w:szCs w:val="20"/>
                <w:lang w:val="sr-Latn-RS" w:eastAsia="sr-Latn-RS"/>
              </w:rPr>
            </w:pPr>
            <w:r w:rsidRPr="009F3AB7">
              <w:rPr>
                <w:rFonts w:ascii="Arial Narrow" w:eastAsia="Times New Roman" w:hAnsi="Arial Narrow" w:cs="Times New Roman"/>
                <w:b/>
                <w:bCs/>
                <w:color w:val="000000"/>
                <w:sz w:val="20"/>
                <w:szCs w:val="20"/>
                <w:lang w:val="sr-Latn-RS" w:eastAsia="sr-Latn-RS"/>
              </w:rPr>
              <w:t>РЕОСИГУРАЊЕ И АКТУАРСКЕ ПОЗИЦИЈЕ  -  R</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R1: "Меродавна премија у самопр. / Мерод. укупна премија"</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0,17</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0,16</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95,62</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R2: "Техничке резерве у самопр. / Решене штете у самопр."</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2,54</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1,20</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47,22</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R3: "Техничке резерве у самопр / Премија у самопридржају "</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3,14</w:t>
            </w:r>
          </w:p>
        </w:tc>
        <w:tc>
          <w:tcPr>
            <w:tcW w:w="140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0,93</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29,64</w:t>
            </w:r>
          </w:p>
        </w:tc>
      </w:tr>
      <w:tr w:rsidR="009F3AB7" w:rsidRPr="009F3AB7" w:rsidTr="009F3AB7">
        <w:trPr>
          <w:trHeight w:val="330"/>
        </w:trPr>
        <w:tc>
          <w:tcPr>
            <w:tcW w:w="9080" w:type="dxa"/>
            <w:gridSpan w:val="4"/>
            <w:tcBorders>
              <w:top w:val="single" w:sz="4" w:space="0" w:color="auto"/>
              <w:left w:val="nil"/>
              <w:bottom w:val="single" w:sz="4" w:space="0" w:color="auto"/>
              <w:right w:val="nil"/>
            </w:tcBorders>
            <w:shd w:val="clear" w:color="000000" w:fill="F2F2F2"/>
            <w:vAlign w:val="center"/>
            <w:hideMark/>
          </w:tcPr>
          <w:p w:rsidR="009F3AB7" w:rsidRPr="009F3AB7" w:rsidRDefault="009F3AB7" w:rsidP="009F3AB7">
            <w:pPr>
              <w:spacing w:after="0" w:line="240" w:lineRule="auto"/>
              <w:rPr>
                <w:rFonts w:ascii="Arial Narrow" w:eastAsia="Times New Roman" w:hAnsi="Arial Narrow" w:cs="Times New Roman"/>
                <w:b/>
                <w:bCs/>
                <w:color w:val="000000"/>
                <w:sz w:val="20"/>
                <w:szCs w:val="20"/>
                <w:lang w:val="sr-Latn-RS" w:eastAsia="sr-Latn-RS"/>
              </w:rPr>
            </w:pPr>
            <w:r w:rsidRPr="009F3AB7">
              <w:rPr>
                <w:rFonts w:ascii="Arial Narrow" w:eastAsia="Times New Roman" w:hAnsi="Arial Narrow" w:cs="Times New Roman"/>
                <w:b/>
                <w:bCs/>
                <w:color w:val="000000"/>
                <w:sz w:val="20"/>
                <w:szCs w:val="20"/>
                <w:lang w:val="sr-Latn-RS" w:eastAsia="sr-Latn-RS"/>
              </w:rPr>
              <w:t>ПРОДУКТИВНОСТ – УПРАВА  -  М</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M1: "Бруто премија / Број запослених"</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72.652,81</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80.652,30</w:t>
            </w:r>
          </w:p>
        </w:tc>
        <w:tc>
          <w:tcPr>
            <w:tcW w:w="1120" w:type="dxa"/>
            <w:tcBorders>
              <w:top w:val="nil"/>
              <w:left w:val="nil"/>
              <w:bottom w:val="single" w:sz="4" w:space="0" w:color="auto"/>
              <w:right w:val="nil"/>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111,01</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M2: "Укупна актива / Број запослених"</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131.206,19</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144.784,91</w:t>
            </w:r>
          </w:p>
        </w:tc>
        <w:tc>
          <w:tcPr>
            <w:tcW w:w="1120" w:type="dxa"/>
            <w:tcBorders>
              <w:top w:val="nil"/>
              <w:left w:val="nil"/>
              <w:bottom w:val="single" w:sz="4" w:space="0" w:color="auto"/>
              <w:right w:val="nil"/>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110,35</w:t>
            </w:r>
          </w:p>
        </w:tc>
      </w:tr>
      <w:tr w:rsidR="009F3AB7" w:rsidRPr="009F3AB7" w:rsidTr="009F3AB7">
        <w:trPr>
          <w:trHeight w:val="330"/>
        </w:trPr>
        <w:tc>
          <w:tcPr>
            <w:tcW w:w="9080" w:type="dxa"/>
            <w:gridSpan w:val="4"/>
            <w:tcBorders>
              <w:top w:val="single" w:sz="4" w:space="0" w:color="auto"/>
              <w:left w:val="nil"/>
              <w:bottom w:val="single" w:sz="4" w:space="0" w:color="auto"/>
              <w:right w:val="nil"/>
            </w:tcBorders>
            <w:shd w:val="clear" w:color="auto" w:fill="DBE5F1" w:themeFill="accent1" w:themeFillTint="33"/>
            <w:vAlign w:val="center"/>
            <w:hideMark/>
          </w:tcPr>
          <w:p w:rsidR="009F3AB7" w:rsidRPr="009F3AB7" w:rsidRDefault="009F3AB7" w:rsidP="009F3AB7">
            <w:pPr>
              <w:spacing w:after="0" w:line="240" w:lineRule="auto"/>
              <w:rPr>
                <w:rFonts w:ascii="Arial Narrow" w:eastAsia="Times New Roman" w:hAnsi="Arial Narrow" w:cs="Times New Roman"/>
                <w:b/>
                <w:bCs/>
                <w:color w:val="000000"/>
                <w:sz w:val="20"/>
                <w:szCs w:val="20"/>
                <w:lang w:val="sr-Latn-RS" w:eastAsia="sr-Latn-RS"/>
              </w:rPr>
            </w:pPr>
            <w:r w:rsidRPr="009F3AB7">
              <w:rPr>
                <w:rFonts w:ascii="Arial Narrow" w:eastAsia="Times New Roman" w:hAnsi="Arial Narrow" w:cs="Times New Roman"/>
                <w:b/>
                <w:bCs/>
                <w:color w:val="000000"/>
                <w:sz w:val="20"/>
                <w:szCs w:val="20"/>
                <w:lang w:val="sr-Latn-RS" w:eastAsia="sr-Latn-RS"/>
              </w:rPr>
              <w:t>ПРОФИТАБИЛНОСТ  -  Е</w:t>
            </w:r>
          </w:p>
        </w:tc>
      </w:tr>
      <w:tr w:rsidR="009F3AB7" w:rsidRPr="009F3AB7" w:rsidTr="009F3AB7">
        <w:trPr>
          <w:trHeight w:val="51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E1: РАЦИО ШТЕТА: "Мерод. штете у самопр.  / Мерод. премија у самопридрж."</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1,49</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0,45</w:t>
            </w:r>
          </w:p>
        </w:tc>
        <w:tc>
          <w:tcPr>
            <w:tcW w:w="1120" w:type="dxa"/>
            <w:tcBorders>
              <w:top w:val="nil"/>
              <w:left w:val="nil"/>
              <w:bottom w:val="single" w:sz="4" w:space="0" w:color="auto"/>
              <w:right w:val="nil"/>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30,42</w:t>
            </w:r>
          </w:p>
        </w:tc>
      </w:tr>
      <w:tr w:rsidR="009F3AB7" w:rsidRPr="009F3AB7" w:rsidTr="009F3AB7">
        <w:trPr>
          <w:trHeight w:val="51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E2: РАЦИО ТРОШКОВА: "ТСО /  Меродавна премија у самопридржају"</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0,49</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0,24</w:t>
            </w:r>
          </w:p>
        </w:tc>
        <w:tc>
          <w:tcPr>
            <w:tcW w:w="1120" w:type="dxa"/>
            <w:tcBorders>
              <w:top w:val="nil"/>
              <w:left w:val="nil"/>
              <w:bottom w:val="single" w:sz="4" w:space="0" w:color="auto"/>
              <w:right w:val="nil"/>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49,20</w:t>
            </w:r>
          </w:p>
        </w:tc>
      </w:tr>
      <w:tr w:rsidR="009F3AB7" w:rsidRPr="009F3AB7" w:rsidTr="009F3AB7">
        <w:trPr>
          <w:trHeight w:val="51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E3(A): РАЦИО ИНВЕСТИЦ. ПРИНОСА (пок 1): "Инвестициона добит Меродавна премија у самопридржају"</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0,61</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0,11</w:t>
            </w:r>
          </w:p>
        </w:tc>
        <w:tc>
          <w:tcPr>
            <w:tcW w:w="1120" w:type="dxa"/>
            <w:tcBorders>
              <w:top w:val="nil"/>
              <w:left w:val="nil"/>
              <w:bottom w:val="single" w:sz="4" w:space="0" w:color="auto"/>
              <w:right w:val="nil"/>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18,02</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E4: Комбин. рацио –осн. показатељ  (пок.1)  E4=  [E1 + E2]</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1,98</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0,69</w:t>
            </w:r>
          </w:p>
        </w:tc>
        <w:tc>
          <w:tcPr>
            <w:tcW w:w="1120" w:type="dxa"/>
            <w:tcBorders>
              <w:top w:val="nil"/>
              <w:left w:val="nil"/>
              <w:bottom w:val="single" w:sz="4" w:space="0" w:color="auto"/>
              <w:right w:val="nil"/>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35,06</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E5: Комбин. рацио (пок. 2)  E5=  [E1 + E2 - E3A]</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1,37</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0,58</w:t>
            </w:r>
          </w:p>
        </w:tc>
        <w:tc>
          <w:tcPr>
            <w:tcW w:w="1120" w:type="dxa"/>
            <w:tcBorders>
              <w:top w:val="nil"/>
              <w:left w:val="nil"/>
              <w:bottom w:val="single" w:sz="4" w:space="0" w:color="auto"/>
              <w:right w:val="nil"/>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42,57</w:t>
            </w:r>
          </w:p>
        </w:tc>
      </w:tr>
      <w:tr w:rsidR="009F3AB7" w:rsidRPr="009F3AB7" w:rsidTr="009F3AB7">
        <w:trPr>
          <w:trHeight w:val="330"/>
        </w:trPr>
        <w:tc>
          <w:tcPr>
            <w:tcW w:w="9080" w:type="dxa"/>
            <w:gridSpan w:val="4"/>
            <w:tcBorders>
              <w:top w:val="single" w:sz="4" w:space="0" w:color="auto"/>
              <w:left w:val="nil"/>
              <w:bottom w:val="single" w:sz="4" w:space="0" w:color="auto"/>
              <w:right w:val="nil"/>
            </w:tcBorders>
            <w:shd w:val="clear" w:color="auto" w:fill="DBE5F1" w:themeFill="accent1" w:themeFillTint="33"/>
            <w:vAlign w:val="center"/>
            <w:hideMark/>
          </w:tcPr>
          <w:p w:rsidR="009F3AB7" w:rsidRPr="009F3AB7" w:rsidRDefault="009F3AB7" w:rsidP="009F3AB7">
            <w:pPr>
              <w:spacing w:after="0" w:line="240" w:lineRule="auto"/>
              <w:rPr>
                <w:rFonts w:ascii="Arial Narrow" w:eastAsia="Times New Roman" w:hAnsi="Arial Narrow" w:cs="Times New Roman"/>
                <w:b/>
                <w:bCs/>
                <w:color w:val="000000"/>
                <w:sz w:val="20"/>
                <w:szCs w:val="20"/>
                <w:lang w:val="sr-Latn-RS" w:eastAsia="sr-Latn-RS"/>
              </w:rPr>
            </w:pPr>
            <w:r w:rsidRPr="009F3AB7">
              <w:rPr>
                <w:rFonts w:ascii="Arial Narrow" w:eastAsia="Times New Roman" w:hAnsi="Arial Narrow" w:cs="Times New Roman"/>
                <w:b/>
                <w:bCs/>
                <w:color w:val="000000"/>
                <w:sz w:val="20"/>
                <w:szCs w:val="20"/>
                <w:lang w:val="sr-Latn-RS" w:eastAsia="sr-Latn-RS"/>
              </w:rPr>
              <w:t>ЛИКВИДНОСТ  -  L</w:t>
            </w:r>
          </w:p>
        </w:tc>
      </w:tr>
      <w:tr w:rsidR="009F3AB7" w:rsidRPr="009F3AB7" w:rsidTr="009F3AB7">
        <w:trPr>
          <w:trHeight w:val="330"/>
        </w:trPr>
        <w:tc>
          <w:tcPr>
            <w:tcW w:w="516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L1: "Ликвидна средства / Кратк. обавезе"</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2,30</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2,07</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90,00</w:t>
            </w:r>
          </w:p>
        </w:tc>
      </w:tr>
      <w:tr w:rsidR="009F3AB7" w:rsidRPr="009F3AB7" w:rsidTr="009F3AB7">
        <w:trPr>
          <w:trHeight w:val="765"/>
        </w:trPr>
        <w:tc>
          <w:tcPr>
            <w:tcW w:w="5160" w:type="dxa"/>
            <w:tcBorders>
              <w:top w:val="nil"/>
              <w:left w:val="nil"/>
              <w:bottom w:val="single" w:sz="4" w:space="0" w:color="auto"/>
              <w:right w:val="single" w:sz="4" w:space="0" w:color="auto"/>
            </w:tcBorders>
            <w:shd w:val="clear" w:color="000000" w:fill="FFFFFF"/>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L2: Рацио ликвидности I степена (рацио новчане ликвидности (или ригорозни рацио) ):  [ликвидна средства] / [кратк. обавезе + део ПВР (остала ПВР + резер. штете]</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1,28</w:t>
            </w:r>
          </w:p>
        </w:tc>
        <w:tc>
          <w:tcPr>
            <w:tcW w:w="1400" w:type="dxa"/>
            <w:tcBorders>
              <w:top w:val="nil"/>
              <w:left w:val="nil"/>
              <w:bottom w:val="single" w:sz="4"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1,28</w:t>
            </w:r>
          </w:p>
        </w:tc>
        <w:tc>
          <w:tcPr>
            <w:tcW w:w="1120" w:type="dxa"/>
            <w:tcBorders>
              <w:top w:val="nil"/>
              <w:left w:val="nil"/>
              <w:bottom w:val="single" w:sz="4"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100,00</w:t>
            </w:r>
          </w:p>
        </w:tc>
      </w:tr>
      <w:tr w:rsidR="009F3AB7" w:rsidRPr="009F3AB7" w:rsidTr="009F3AB7">
        <w:trPr>
          <w:trHeight w:val="780"/>
        </w:trPr>
        <w:tc>
          <w:tcPr>
            <w:tcW w:w="5160" w:type="dxa"/>
            <w:tcBorders>
              <w:top w:val="nil"/>
              <w:left w:val="nil"/>
              <w:bottom w:val="double" w:sz="6" w:space="0" w:color="auto"/>
              <w:right w:val="single" w:sz="4" w:space="0" w:color="auto"/>
            </w:tcBorders>
            <w:shd w:val="clear" w:color="000000" w:fill="FFFFFF"/>
            <w:vAlign w:val="center"/>
            <w:hideMark/>
          </w:tcPr>
          <w:p w:rsidR="009F3AB7" w:rsidRPr="009F3AB7" w:rsidRDefault="009F3AB7" w:rsidP="009F3AB7">
            <w:pPr>
              <w:spacing w:after="0" w:line="240" w:lineRule="auto"/>
              <w:rPr>
                <w:rFonts w:ascii="Arial Narrow" w:eastAsia="Times New Roman" w:hAnsi="Arial Narrow" w:cs="Times New Roman"/>
                <w:i/>
                <w:iCs/>
                <w:color w:val="000000"/>
                <w:sz w:val="20"/>
                <w:szCs w:val="20"/>
                <w:lang w:val="sr-Latn-RS" w:eastAsia="sr-Latn-RS"/>
              </w:rPr>
            </w:pPr>
            <w:r w:rsidRPr="009F3AB7">
              <w:rPr>
                <w:rFonts w:ascii="Arial Narrow" w:eastAsia="Times New Roman" w:hAnsi="Arial Narrow" w:cs="Times New Roman"/>
                <w:i/>
                <w:iCs/>
                <w:color w:val="000000"/>
                <w:sz w:val="20"/>
                <w:szCs w:val="20"/>
                <w:lang w:val="sr-Latn-RS" w:eastAsia="sr-Latn-RS"/>
              </w:rPr>
              <w:t>L2(A): Рацио ликвидности I степена (рацио новчане ликвидности (или ригорозни рацио) ):  [ликвидна средства] / [кратк. обавезе + ук.ПВР]</w:t>
            </w:r>
          </w:p>
        </w:tc>
        <w:tc>
          <w:tcPr>
            <w:tcW w:w="1400" w:type="dxa"/>
            <w:tcBorders>
              <w:top w:val="nil"/>
              <w:left w:val="nil"/>
              <w:bottom w:val="double" w:sz="6"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3,01</w:t>
            </w:r>
          </w:p>
        </w:tc>
        <w:tc>
          <w:tcPr>
            <w:tcW w:w="1400" w:type="dxa"/>
            <w:tcBorders>
              <w:top w:val="nil"/>
              <w:left w:val="nil"/>
              <w:bottom w:val="double" w:sz="6" w:space="0" w:color="auto"/>
              <w:right w:val="single" w:sz="4" w:space="0" w:color="auto"/>
            </w:tcBorders>
            <w:shd w:val="clear" w:color="auto" w:fill="auto"/>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4,23</w:t>
            </w:r>
          </w:p>
        </w:tc>
        <w:tc>
          <w:tcPr>
            <w:tcW w:w="1120" w:type="dxa"/>
            <w:tcBorders>
              <w:top w:val="nil"/>
              <w:left w:val="nil"/>
              <w:bottom w:val="double" w:sz="6" w:space="0" w:color="auto"/>
              <w:right w:val="nil"/>
            </w:tcBorders>
            <w:shd w:val="clear" w:color="000000" w:fill="FFFFFF"/>
            <w:vAlign w:val="center"/>
            <w:hideMark/>
          </w:tcPr>
          <w:p w:rsidR="009F3AB7" w:rsidRPr="009F3AB7" w:rsidRDefault="009F3AB7" w:rsidP="009F3AB7">
            <w:pPr>
              <w:spacing w:after="0" w:line="240" w:lineRule="auto"/>
              <w:jc w:val="center"/>
              <w:rPr>
                <w:rFonts w:ascii="Arial Narrow" w:eastAsia="Times New Roman" w:hAnsi="Arial Narrow" w:cs="Times New Roman"/>
                <w:color w:val="000000"/>
                <w:sz w:val="20"/>
                <w:szCs w:val="20"/>
                <w:lang w:val="sr-Latn-RS" w:eastAsia="sr-Latn-RS"/>
              </w:rPr>
            </w:pPr>
            <w:r w:rsidRPr="009F3AB7">
              <w:rPr>
                <w:rFonts w:ascii="Arial Narrow" w:eastAsia="Times New Roman" w:hAnsi="Arial Narrow" w:cs="Times New Roman"/>
                <w:color w:val="000000"/>
                <w:sz w:val="20"/>
                <w:szCs w:val="20"/>
                <w:lang w:val="sr-Latn-RS" w:eastAsia="sr-Latn-RS"/>
              </w:rPr>
              <w:t>140,53</w:t>
            </w:r>
          </w:p>
        </w:tc>
      </w:tr>
    </w:tbl>
    <w:p w:rsidR="00DF78D2" w:rsidRPr="00BF3CDE" w:rsidRDefault="00DF78D2" w:rsidP="00DF78D2">
      <w:pPr>
        <w:spacing w:after="100"/>
        <w:jc w:val="both"/>
        <w:rPr>
          <w:rFonts w:ascii="Tahoma" w:hAnsi="Tahoma" w:cs="Tahoma"/>
          <w:noProof/>
          <w:sz w:val="18"/>
          <w:szCs w:val="18"/>
          <w:highlight w:val="yellow"/>
          <w:lang w:val="sr-Cyrl-CS"/>
        </w:rPr>
      </w:pPr>
    </w:p>
    <w:p w:rsidR="005C373F" w:rsidRDefault="0062689C" w:rsidP="005C373F">
      <w:pPr>
        <w:spacing w:after="100"/>
        <w:jc w:val="both"/>
        <w:rPr>
          <w:b/>
          <w:noProof/>
          <w:sz w:val="20"/>
          <w:lang w:val="sr-Latn-RS"/>
        </w:rPr>
      </w:pPr>
      <w:r w:rsidRPr="005C373F">
        <w:rPr>
          <w:b/>
          <w:i/>
          <w:noProof/>
          <w:sz w:val="20"/>
          <w:lang w:val="sr-Cyrl-CS"/>
        </w:rPr>
        <w:t>Кармел анализа</w:t>
      </w:r>
      <w:r w:rsidRPr="005C373F">
        <w:rPr>
          <w:b/>
          <w:noProof/>
          <w:sz w:val="20"/>
          <w:lang w:val="sr-Cyrl-CS"/>
        </w:rPr>
        <w:t xml:space="preserve"> показује да Друштво </w:t>
      </w:r>
      <w:r w:rsidR="00F503F1" w:rsidRPr="005C373F">
        <w:rPr>
          <w:b/>
          <w:noProof/>
          <w:sz w:val="20"/>
          <w:lang w:val="sr-Cyrl-CS"/>
        </w:rPr>
        <w:t xml:space="preserve"> располаже техничким резервама и капиталом који гарантују трajну стaбилнoст и сoлвeнтнoст у пoслoвaњу </w:t>
      </w:r>
      <w:r w:rsidR="005C373F" w:rsidRPr="005C373F">
        <w:rPr>
          <w:b/>
          <w:noProof/>
          <w:sz w:val="20"/>
          <w:lang w:val="sr-Cyrl-CS"/>
        </w:rPr>
        <w:t>. Такође су се у</w:t>
      </w:r>
      <w:r w:rsidRPr="005C373F">
        <w:rPr>
          <w:b/>
          <w:noProof/>
          <w:sz w:val="20"/>
          <w:lang w:val="sr-Cyrl-CS"/>
        </w:rPr>
        <w:t xml:space="preserve"> посматраном периоду </w:t>
      </w:r>
      <w:r w:rsidR="008527EF" w:rsidRPr="005C373F">
        <w:rPr>
          <w:b/>
          <w:noProof/>
          <w:sz w:val="20"/>
          <w:lang w:val="sr-Cyrl-CS"/>
        </w:rPr>
        <w:t xml:space="preserve"> у односу не претходну годину значајно </w:t>
      </w:r>
      <w:r w:rsidR="005C373F" w:rsidRPr="005C373F">
        <w:rPr>
          <w:b/>
          <w:noProof/>
          <w:sz w:val="20"/>
          <w:lang w:val="sr-Cyrl-CS"/>
        </w:rPr>
        <w:t xml:space="preserve">поправили </w:t>
      </w:r>
      <w:r w:rsidR="008527EF" w:rsidRPr="005C373F">
        <w:rPr>
          <w:b/>
          <w:noProof/>
          <w:sz w:val="20"/>
          <w:lang w:val="sr-Cyrl-CS"/>
        </w:rPr>
        <w:t>показатељ</w:t>
      </w:r>
      <w:r w:rsidR="005C373F" w:rsidRPr="005C373F">
        <w:rPr>
          <w:b/>
          <w:noProof/>
          <w:sz w:val="20"/>
          <w:lang w:val="sr-Cyrl-CS"/>
        </w:rPr>
        <w:t>и</w:t>
      </w:r>
      <w:r w:rsidR="008527EF" w:rsidRPr="005C373F">
        <w:rPr>
          <w:b/>
          <w:noProof/>
          <w:sz w:val="20"/>
          <w:lang w:val="sr-Cyrl-CS"/>
        </w:rPr>
        <w:t xml:space="preserve"> профитабилности</w:t>
      </w:r>
      <w:r w:rsidR="005C373F" w:rsidRPr="005C373F">
        <w:rPr>
          <w:b/>
          <w:noProof/>
          <w:sz w:val="20"/>
          <w:lang w:val="sr-Cyrl-CS"/>
        </w:rPr>
        <w:t>.</w:t>
      </w:r>
    </w:p>
    <w:p w:rsidR="00A03C95" w:rsidRPr="00A03C95" w:rsidRDefault="00A03C95" w:rsidP="005C373F">
      <w:pPr>
        <w:spacing w:after="100"/>
        <w:jc w:val="both"/>
        <w:rPr>
          <w:b/>
          <w:noProof/>
          <w:sz w:val="20"/>
          <w:lang w:val="sr-Latn-RS"/>
        </w:rPr>
      </w:pPr>
    </w:p>
    <w:p w:rsidR="00A03C95" w:rsidRPr="00197947" w:rsidRDefault="008E0AE8" w:rsidP="00860C32">
      <w:pPr>
        <w:pStyle w:val="Heading1"/>
        <w:numPr>
          <w:ilvl w:val="0"/>
          <w:numId w:val="28"/>
        </w:numPr>
      </w:pPr>
      <w:bookmarkStart w:id="7" w:name="_Toc445975014"/>
      <w:r w:rsidRPr="00A03C95">
        <w:t>ИЗВЕШТАЈ О ПОЛИТИЦИ СПРОВОЂЕЊА САОСИГУРАЊА И РЕОСИГУРАЊА ЗА</w:t>
      </w:r>
      <w:r w:rsidR="00FA1BCB" w:rsidRPr="00A03C95">
        <w:t xml:space="preserve"> ПЕРИОД ОД 01.01</w:t>
      </w:r>
      <w:r w:rsidRPr="00A03C95">
        <w:t xml:space="preserve"> 201</w:t>
      </w:r>
      <w:r w:rsidR="00AE5972" w:rsidRPr="00A03C95">
        <w:t>5</w:t>
      </w:r>
      <w:r w:rsidRPr="00A03C95">
        <w:t xml:space="preserve">. </w:t>
      </w:r>
      <w:r w:rsidR="00FA1BCB" w:rsidRPr="00A03C95">
        <w:t xml:space="preserve">-31.12.2015. </w:t>
      </w:r>
      <w:r w:rsidRPr="00A03C95">
        <w:t>ГОДИН</w:t>
      </w:r>
      <w:r w:rsidR="00FA1BCB" w:rsidRPr="00A03C95">
        <w:t>Е</w:t>
      </w:r>
      <w:bookmarkEnd w:id="7"/>
    </w:p>
    <w:p w:rsidR="00A03C95" w:rsidRPr="00212D39" w:rsidRDefault="00A03C95" w:rsidP="00A03C95">
      <w:pPr>
        <w:suppressAutoHyphens/>
        <w:autoSpaceDE w:val="0"/>
        <w:autoSpaceDN w:val="0"/>
        <w:adjustRightInd w:val="0"/>
        <w:spacing w:before="120" w:after="120" w:line="240" w:lineRule="auto"/>
        <w:ind w:left="426"/>
        <w:jc w:val="both"/>
        <w:rPr>
          <w:rFonts w:ascii="Verdana" w:eastAsia="Times New Roman" w:hAnsi="Verdana" w:cs="Tahoma"/>
          <w:noProof/>
          <w:sz w:val="20"/>
          <w:szCs w:val="20"/>
          <w:lang w:eastAsia="ar-SA"/>
        </w:rPr>
      </w:pPr>
    </w:p>
    <w:p w:rsidR="00A03C95" w:rsidRPr="00197947" w:rsidRDefault="00A03C95" w:rsidP="00197947">
      <w:pPr>
        <w:pStyle w:val="ListParagraph"/>
        <w:keepNext/>
        <w:numPr>
          <w:ilvl w:val="1"/>
          <w:numId w:val="43"/>
        </w:numPr>
        <w:suppressAutoHyphens/>
        <w:spacing w:before="240" w:after="240" w:line="240" w:lineRule="auto"/>
        <w:ind w:left="1701" w:hanging="850"/>
        <w:jc w:val="both"/>
        <w:outlineLvl w:val="0"/>
        <w:rPr>
          <w:rFonts w:ascii="Verdana" w:eastAsia="Times New Roman" w:hAnsi="Verdana" w:cs="Tahoma"/>
          <w:b/>
          <w:bCs/>
          <w:noProof/>
          <w:sz w:val="20"/>
          <w:szCs w:val="20"/>
          <w:lang w:eastAsia="ar-SA"/>
        </w:rPr>
      </w:pPr>
      <w:bookmarkStart w:id="8" w:name="_Toc445975015"/>
      <w:r w:rsidRPr="00197947">
        <w:rPr>
          <w:rFonts w:ascii="Verdana" w:eastAsia="Times New Roman" w:hAnsi="Verdana" w:cs="Tahoma"/>
          <w:b/>
          <w:bCs/>
          <w:noProof/>
          <w:sz w:val="20"/>
          <w:szCs w:val="20"/>
          <w:lang w:eastAsia="ar-SA"/>
        </w:rPr>
        <w:t>Премија реосигурања у периоду 01.01.2015. – 31.12.2015. године</w:t>
      </w:r>
      <w:bookmarkEnd w:id="8"/>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B07054">
        <w:rPr>
          <w:rFonts w:ascii="Verdana" w:eastAsia="Times New Roman" w:hAnsi="Verdana" w:cs="Tahoma"/>
          <w:noProof/>
          <w:sz w:val="20"/>
          <w:szCs w:val="20"/>
          <w:lang w:eastAsia="ar-SA"/>
        </w:rPr>
        <w:t xml:space="preserve">Активна премија реосигурања остварена у периоду 01.01.2015. – 31.12.2015. године </w:t>
      </w:r>
      <w:r w:rsidRPr="00AD6279">
        <w:rPr>
          <w:rFonts w:ascii="Verdana" w:eastAsia="Times New Roman" w:hAnsi="Verdana" w:cs="Tahoma"/>
          <w:noProof/>
          <w:sz w:val="20"/>
          <w:szCs w:val="20"/>
          <w:lang w:eastAsia="ar-SA"/>
        </w:rPr>
        <w:t xml:space="preserve">износи </w:t>
      </w:r>
      <w:r>
        <w:rPr>
          <w:rFonts w:ascii="Verdana" w:eastAsia="Times New Roman" w:hAnsi="Verdana" w:cs="Tahoma"/>
          <w:noProof/>
          <w:sz w:val="20"/>
          <w:szCs w:val="20"/>
          <w:lang w:eastAsia="ar-SA"/>
        </w:rPr>
        <w:t>2.661.</w:t>
      </w:r>
      <w:r w:rsidRPr="00DB2877">
        <w:rPr>
          <w:rFonts w:ascii="Verdana" w:eastAsia="Times New Roman" w:hAnsi="Verdana" w:cs="Tahoma"/>
          <w:noProof/>
          <w:sz w:val="20"/>
          <w:szCs w:val="20"/>
          <w:lang w:eastAsia="ar-SA"/>
        </w:rPr>
        <w:t>526 хиљада</w:t>
      </w:r>
      <w:r w:rsidRPr="00AD6279">
        <w:rPr>
          <w:rFonts w:ascii="Verdana" w:eastAsia="Times New Roman" w:hAnsi="Verdana" w:cs="Tahoma"/>
          <w:noProof/>
          <w:sz w:val="20"/>
          <w:szCs w:val="20"/>
          <w:lang w:eastAsia="ar-SA"/>
        </w:rPr>
        <w:t xml:space="preserve"> </w:t>
      </w:r>
      <w:r w:rsidRPr="0068638B">
        <w:rPr>
          <w:rFonts w:ascii="Verdana" w:eastAsia="Times New Roman" w:hAnsi="Verdana" w:cs="Tahoma"/>
          <w:noProof/>
          <w:sz w:val="20"/>
          <w:szCs w:val="20"/>
          <w:lang w:eastAsia="ar-SA"/>
        </w:rPr>
        <w:t>динара, што је за 14,48% вишe у односу на исти период претходне године, док је у односу на планирану вредност већа за 3,61%.</w:t>
      </w:r>
    </w:p>
    <w:p w:rsidR="00A03C95" w:rsidRPr="0068638B"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68638B">
        <w:rPr>
          <w:rFonts w:ascii="Verdana" w:eastAsia="Times New Roman" w:hAnsi="Verdana" w:cs="Tahoma"/>
          <w:noProof/>
          <w:sz w:val="20"/>
          <w:szCs w:val="20"/>
          <w:lang w:eastAsia="ar-SA"/>
        </w:rPr>
        <w:t>Пасивна премија у периоду 01.01.2015. – 31.12.2015. године износи 2.239.909 хиљада динара и већа је за 14,42% у односу на исти период претходне године, док је у односу на планиране вредности</w:t>
      </w:r>
      <w:r w:rsidRPr="0068638B">
        <w:t xml:space="preserve"> </w:t>
      </w:r>
      <w:r w:rsidRPr="0068638B">
        <w:rPr>
          <w:rFonts w:ascii="Verdana" w:eastAsia="Times New Roman" w:hAnsi="Verdana" w:cs="Tahoma"/>
          <w:noProof/>
          <w:sz w:val="20"/>
          <w:szCs w:val="20"/>
          <w:lang w:eastAsia="ar-SA"/>
        </w:rPr>
        <w:t>већа за 3,84%.</w:t>
      </w:r>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68638B">
        <w:rPr>
          <w:rFonts w:ascii="Verdana" w:eastAsia="Times New Roman" w:hAnsi="Verdana" w:cs="Tahoma"/>
          <w:noProof/>
          <w:sz w:val="20"/>
          <w:szCs w:val="20"/>
          <w:lang w:eastAsia="ar-SA"/>
        </w:rPr>
        <w:t>Премија реосигурања у самопридржају Друштва у периоду 01.01.2015. – 31.12.2015. године износи 421.617 хиљада динара и већа је за 14,80% у односу на исти период претходне године, док је у односу на планиране вредности већа за 2,40%.</w:t>
      </w:r>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p>
    <w:p w:rsidR="00A03C95" w:rsidRDefault="00A03C95" w:rsidP="007367D8">
      <w:pPr>
        <w:spacing w:before="120" w:after="120" w:line="240" w:lineRule="auto"/>
        <w:jc w:val="center"/>
        <w:rPr>
          <w:rFonts w:ascii="Verdana" w:eastAsia="Times New Roman" w:hAnsi="Verdana" w:cs="Tahoma"/>
          <w:noProof/>
          <w:sz w:val="20"/>
          <w:szCs w:val="20"/>
          <w:lang w:val="sr-Cyrl-RS" w:eastAsia="ar-SA"/>
        </w:rPr>
      </w:pPr>
      <w:r>
        <w:rPr>
          <w:noProof/>
          <w:lang w:val="sr-Latn-RS" w:eastAsia="sr-Latn-RS"/>
        </w:rPr>
        <w:drawing>
          <wp:inline distT="0" distB="0" distL="0" distR="0" wp14:anchorId="4026F09C" wp14:editId="30E95C93">
            <wp:extent cx="5430741" cy="2671638"/>
            <wp:effectExtent l="0" t="0" r="17780" b="14605"/>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A03C95" w:rsidRDefault="00A03C95" w:rsidP="00A03C95">
      <w:pPr>
        <w:spacing w:before="120" w:after="120" w:line="240" w:lineRule="auto"/>
        <w:jc w:val="both"/>
        <w:rPr>
          <w:rFonts w:ascii="Verdana" w:eastAsia="Times New Roman" w:hAnsi="Verdana" w:cs="Tahoma"/>
          <w:noProof/>
          <w:sz w:val="20"/>
          <w:szCs w:val="20"/>
          <w:lang w:val="sr-Latn-RS" w:eastAsia="ar-SA"/>
        </w:rPr>
      </w:pPr>
    </w:p>
    <w:p w:rsidR="00A03C95" w:rsidRPr="00A943F9" w:rsidRDefault="00A03C95" w:rsidP="00A03C95">
      <w:pPr>
        <w:spacing w:before="120" w:after="120" w:line="240" w:lineRule="auto"/>
        <w:jc w:val="both"/>
        <w:rPr>
          <w:rFonts w:ascii="Verdana" w:eastAsia="Times New Roman" w:hAnsi="Verdana" w:cs="Tahoma"/>
          <w:noProof/>
          <w:sz w:val="20"/>
          <w:szCs w:val="20"/>
          <w:lang w:eastAsia="ar-SA"/>
        </w:rPr>
      </w:pPr>
    </w:p>
    <w:p w:rsidR="00A03C95" w:rsidRPr="00A03C95" w:rsidRDefault="00A03C95" w:rsidP="00197947">
      <w:pPr>
        <w:pStyle w:val="ListParagraph"/>
        <w:keepNext/>
        <w:numPr>
          <w:ilvl w:val="2"/>
          <w:numId w:val="43"/>
        </w:numPr>
        <w:suppressAutoHyphens/>
        <w:spacing w:before="240" w:after="240" w:line="240" w:lineRule="auto"/>
        <w:ind w:hanging="807"/>
        <w:jc w:val="both"/>
        <w:outlineLvl w:val="0"/>
        <w:rPr>
          <w:rFonts w:ascii="Verdana" w:eastAsia="Times New Roman" w:hAnsi="Verdana" w:cs="Tahoma"/>
          <w:b/>
          <w:bCs/>
          <w:i/>
          <w:noProof/>
          <w:sz w:val="20"/>
          <w:szCs w:val="20"/>
          <w:lang w:eastAsia="ar-SA"/>
        </w:rPr>
      </w:pPr>
      <w:bookmarkStart w:id="9" w:name="_Toc445975016"/>
      <w:r w:rsidRPr="00A03C95">
        <w:rPr>
          <w:rFonts w:ascii="Verdana" w:eastAsia="Times New Roman" w:hAnsi="Verdana" w:cs="Tahoma"/>
          <w:b/>
          <w:bCs/>
          <w:i/>
          <w:noProof/>
          <w:sz w:val="20"/>
          <w:szCs w:val="20"/>
          <w:lang w:eastAsia="ar-SA"/>
        </w:rPr>
        <w:t>Премија реосигурања у периоду 01.01.2015. – 31.12.2015. године по врстама реосигурања</w:t>
      </w:r>
      <w:bookmarkEnd w:id="9"/>
    </w:p>
    <w:p w:rsidR="00A03C95" w:rsidRPr="00EC5FB6" w:rsidRDefault="00A03C95" w:rsidP="00A03C95">
      <w:pPr>
        <w:pStyle w:val="ListParagraph"/>
        <w:keepNext/>
        <w:suppressAutoHyphens/>
        <w:spacing w:before="240" w:after="240" w:line="240" w:lineRule="auto"/>
        <w:ind w:left="1418"/>
        <w:jc w:val="both"/>
        <w:outlineLvl w:val="0"/>
        <w:rPr>
          <w:rFonts w:ascii="Verdana" w:eastAsia="Times New Roman" w:hAnsi="Verdana" w:cs="Tahoma"/>
          <w:b/>
          <w:bCs/>
          <w:i/>
          <w:noProof/>
          <w:sz w:val="20"/>
          <w:szCs w:val="20"/>
          <w:lang w:eastAsia="ar-SA"/>
        </w:rPr>
      </w:pPr>
    </w:p>
    <w:p w:rsidR="00A03C95" w:rsidRPr="00F56B10"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F56B10">
        <w:rPr>
          <w:rFonts w:ascii="Verdana" w:eastAsia="Times New Roman" w:hAnsi="Verdana" w:cs="Tahoma"/>
          <w:noProof/>
          <w:sz w:val="20"/>
          <w:szCs w:val="20"/>
          <w:lang w:val="sr-Cyrl-CS" w:eastAsia="ar-SA"/>
        </w:rPr>
        <w:t>Друштво је у току 2015. године остварило укупну премију по активним пословима реосигурања у износу од 2.661.526 хиљада динара и то у неживотним осигурањима 2.538.786 хиљада динара и животним осигурањима 122.740 хиљада динара.</w:t>
      </w:r>
    </w:p>
    <w:p w:rsidR="00A03C95" w:rsidRPr="00F56B10"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F56B10">
        <w:rPr>
          <w:rFonts w:ascii="Verdana" w:eastAsia="Times New Roman" w:hAnsi="Verdana" w:cs="Tahoma"/>
          <w:noProof/>
          <w:sz w:val="20"/>
          <w:szCs w:val="20"/>
          <w:lang w:val="sr-Cyrl-CS" w:eastAsia="ar-SA"/>
        </w:rPr>
        <w:t xml:space="preserve">Највеће учешће у премији има осигурање имовине од пожара и других опасности, које уз остала осигурања имовине чини 58,76% укупне премије. Поред наведених врста осигурања учешће у премији по активном послу изнад 5% имају и осигурање од опште одговорности, осигурање аутоодговорности и осигурање моторних возила. </w:t>
      </w:r>
    </w:p>
    <w:p w:rsidR="00A03C95" w:rsidRPr="00F56B10"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F56B10">
        <w:rPr>
          <w:rFonts w:ascii="Verdana" w:eastAsia="Times New Roman" w:hAnsi="Verdana" w:cs="Tahoma"/>
          <w:noProof/>
          <w:sz w:val="20"/>
          <w:szCs w:val="20"/>
          <w:lang w:val="sr-Cyrl-CS" w:eastAsia="ar-SA"/>
        </w:rPr>
        <w:t xml:space="preserve">Животна осигурања су мање заступљена и њихово учешће износи 4,61%. </w:t>
      </w:r>
    </w:p>
    <w:p w:rsidR="00A03C95" w:rsidRPr="009936C6"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r w:rsidRPr="00F56B10">
        <w:rPr>
          <w:rFonts w:ascii="Verdana" w:eastAsia="Times New Roman" w:hAnsi="Verdana" w:cs="Tahoma"/>
          <w:noProof/>
          <w:sz w:val="20"/>
          <w:szCs w:val="20"/>
          <w:lang w:eastAsia="ar-SA"/>
        </w:rPr>
        <w:t xml:space="preserve">Најзначајније промене у развоју премије реосигурања остварене у </w:t>
      </w:r>
      <w:r w:rsidRPr="00F56B10">
        <w:rPr>
          <w:rFonts w:ascii="Verdana" w:eastAsia="Times New Roman" w:hAnsi="Verdana" w:cs="Tahoma"/>
          <w:noProof/>
          <w:sz w:val="20"/>
          <w:szCs w:val="20"/>
          <w:lang w:val="sr-Cyrl-CS" w:eastAsia="ar-SA"/>
        </w:rPr>
        <w:t>току 2015. године з</w:t>
      </w:r>
      <w:r w:rsidRPr="00F56B10">
        <w:rPr>
          <w:rFonts w:ascii="Verdana" w:eastAsia="Times New Roman" w:hAnsi="Verdana" w:cs="Tahoma"/>
          <w:noProof/>
          <w:sz w:val="20"/>
          <w:szCs w:val="20"/>
          <w:lang w:eastAsia="ar-SA"/>
        </w:rPr>
        <w:t xml:space="preserve">абележене </w:t>
      </w:r>
      <w:r w:rsidRPr="00F56B10">
        <w:rPr>
          <w:rFonts w:ascii="Verdana" w:eastAsia="Times New Roman" w:hAnsi="Verdana" w:cs="Tahoma"/>
          <w:noProof/>
          <w:sz w:val="20"/>
          <w:szCs w:val="20"/>
          <w:lang w:val="sr-Cyrl-CS" w:eastAsia="ar-SA"/>
        </w:rPr>
        <w:t xml:space="preserve">су </w:t>
      </w:r>
      <w:r w:rsidRPr="00F56B10">
        <w:rPr>
          <w:rFonts w:ascii="Verdana" w:eastAsia="Times New Roman" w:hAnsi="Verdana" w:cs="Tahoma"/>
          <w:noProof/>
          <w:sz w:val="20"/>
          <w:szCs w:val="20"/>
          <w:lang w:eastAsia="ar-SA"/>
        </w:rPr>
        <w:t>у следећим врстама реосигурања:</w:t>
      </w:r>
    </w:p>
    <w:p w:rsidR="00A03C95" w:rsidRPr="00F56B10" w:rsidRDefault="00A03C95" w:rsidP="00A03C95">
      <w:pPr>
        <w:pStyle w:val="ListParagraph"/>
        <w:numPr>
          <w:ilvl w:val="0"/>
          <w:numId w:val="16"/>
        </w:numPr>
        <w:spacing w:before="120" w:after="120" w:line="240" w:lineRule="auto"/>
        <w:ind w:left="0" w:firstLine="709"/>
        <w:contextualSpacing w:val="0"/>
        <w:jc w:val="both"/>
        <w:rPr>
          <w:rFonts w:ascii="Verdana" w:eastAsia="Verdana" w:hAnsi="Verdana" w:cs="Times New Roman"/>
          <w:sz w:val="20"/>
          <w:szCs w:val="20"/>
          <w:lang w:val="sr-Cyrl-RS"/>
        </w:rPr>
      </w:pPr>
      <w:r w:rsidRPr="00F56B10">
        <w:rPr>
          <w:rFonts w:ascii="Verdana" w:eastAsia="Verdana" w:hAnsi="Verdana" w:cs="Times New Roman"/>
          <w:b/>
          <w:sz w:val="20"/>
          <w:szCs w:val="20"/>
        </w:rPr>
        <w:t xml:space="preserve">врста 03 </w:t>
      </w:r>
      <w:r w:rsidRPr="00F56B10">
        <w:rPr>
          <w:rFonts w:ascii="Verdana" w:eastAsia="Verdana" w:hAnsi="Verdana" w:cs="Times New Roman"/>
          <w:sz w:val="20"/>
          <w:szCs w:val="20"/>
        </w:rPr>
        <w:t xml:space="preserve">– осигурање моторних возила, пораст активне премије </w:t>
      </w:r>
      <w:r w:rsidRPr="00F56B10">
        <w:rPr>
          <w:rFonts w:ascii="Verdana" w:eastAsia="Verdana" w:hAnsi="Verdana" w:cs="Times New Roman"/>
          <w:sz w:val="20"/>
          <w:szCs w:val="20"/>
          <w:lang w:val="sr-Cyrl-RS"/>
        </w:rPr>
        <w:t xml:space="preserve">остварене у периоду 01.01.2015 – 31.12.2015. у односу на исти период претходне године износи 42.577 хиљада динара, односно 41,18%. </w:t>
      </w:r>
    </w:p>
    <w:p w:rsidR="00A03C95" w:rsidRDefault="00A03C95" w:rsidP="00A03C95">
      <w:pPr>
        <w:spacing w:before="120" w:after="120" w:line="240" w:lineRule="auto"/>
        <w:ind w:firstLine="720"/>
        <w:jc w:val="both"/>
        <w:rPr>
          <w:rFonts w:ascii="Verdana" w:eastAsia="Verdana" w:hAnsi="Verdana" w:cs="Times New Roman"/>
          <w:sz w:val="20"/>
          <w:szCs w:val="20"/>
          <w:lang w:val="sr-Cyrl-RS"/>
        </w:rPr>
      </w:pPr>
      <w:r w:rsidRPr="00F56B10">
        <w:rPr>
          <w:rFonts w:ascii="Verdana" w:eastAsia="Verdana" w:hAnsi="Verdana" w:cs="Times New Roman"/>
          <w:sz w:val="20"/>
          <w:szCs w:val="20"/>
          <w:lang w:val="sr-Cyrl-RS"/>
        </w:rPr>
        <w:t>Р</w:t>
      </w:r>
      <w:r w:rsidRPr="00F56B10">
        <w:rPr>
          <w:rFonts w:ascii="Verdana" w:eastAsia="Verdana" w:hAnsi="Verdana" w:cs="Times New Roman"/>
          <w:sz w:val="20"/>
          <w:szCs w:val="20"/>
        </w:rPr>
        <w:t xml:space="preserve">аст </w:t>
      </w:r>
      <w:r w:rsidRPr="00F56B10">
        <w:rPr>
          <w:rFonts w:ascii="Verdana" w:eastAsia="Verdana" w:hAnsi="Verdana" w:cs="Times New Roman"/>
          <w:sz w:val="20"/>
          <w:szCs w:val="20"/>
          <w:lang w:val="sr-Cyrl-RS"/>
        </w:rPr>
        <w:t xml:space="preserve">активне </w:t>
      </w:r>
      <w:r w:rsidRPr="00F56B10">
        <w:rPr>
          <w:rFonts w:ascii="Verdana" w:eastAsia="Verdana" w:hAnsi="Verdana" w:cs="Times New Roman"/>
          <w:sz w:val="20"/>
          <w:szCs w:val="20"/>
        </w:rPr>
        <w:t xml:space="preserve">премије је </w:t>
      </w:r>
      <w:r w:rsidRPr="00F56B10">
        <w:rPr>
          <w:rFonts w:ascii="Verdana" w:eastAsia="Verdana" w:hAnsi="Verdana" w:cs="Times New Roman"/>
          <w:sz w:val="20"/>
          <w:szCs w:val="20"/>
          <w:lang w:val="sr-Cyrl-RS"/>
        </w:rPr>
        <w:t xml:space="preserve">условљен Уговором о реосигурању вишка штета за природне опасности </w:t>
      </w:r>
      <w:r w:rsidRPr="00F56B10">
        <w:rPr>
          <w:rFonts w:ascii="Verdana" w:eastAsia="Verdana" w:hAnsi="Verdana" w:cs="Times New Roman"/>
          <w:sz w:val="20"/>
          <w:szCs w:val="20"/>
        </w:rPr>
        <w:t>(CAT XL)</w:t>
      </w:r>
      <w:r>
        <w:rPr>
          <w:rFonts w:ascii="Verdana" w:eastAsia="Verdana" w:hAnsi="Verdana" w:cs="Times New Roman"/>
          <w:sz w:val="20"/>
          <w:szCs w:val="20"/>
          <w:lang w:val="sr-Cyrl-RS"/>
        </w:rPr>
        <w:t xml:space="preserve"> закључен са Компанијом </w:t>
      </w:r>
      <w:r w:rsidRPr="00F56B10">
        <w:rPr>
          <w:rFonts w:ascii="Verdana" w:eastAsia="Verdana" w:hAnsi="Verdana" w:cs="Times New Roman"/>
          <w:sz w:val="20"/>
          <w:szCs w:val="20"/>
          <w:lang w:val="sr-Cyrl-RS"/>
        </w:rPr>
        <w:t xml:space="preserve">Дунав осигурање, који је у односу на претходну годину </w:t>
      </w:r>
      <w:r w:rsidRPr="00F56B10">
        <w:rPr>
          <w:rFonts w:ascii="Verdana" w:eastAsia="Verdana" w:hAnsi="Verdana" w:cs="Times New Roman"/>
          <w:sz w:val="20"/>
          <w:szCs w:val="20"/>
        </w:rPr>
        <w:t>реализован за измењеном структуром</w:t>
      </w:r>
      <w:r w:rsidRPr="00F56B10">
        <w:rPr>
          <w:rFonts w:ascii="Verdana" w:eastAsia="Verdana" w:hAnsi="Verdana" w:cs="Times New Roman"/>
          <w:sz w:val="20"/>
          <w:szCs w:val="20"/>
          <w:lang w:val="sr-Cyrl-RS"/>
        </w:rPr>
        <w:t xml:space="preserve"> </w:t>
      </w:r>
      <w:r w:rsidRPr="00F56B10">
        <w:rPr>
          <w:rFonts w:ascii="Verdana" w:eastAsia="Verdana" w:hAnsi="Verdana" w:cs="Times New Roman"/>
          <w:sz w:val="20"/>
          <w:szCs w:val="20"/>
        </w:rPr>
        <w:t xml:space="preserve">(приоритет је са 3.500.000 ЕУР смањен на 1.000.000 ЕУР). </w:t>
      </w:r>
    </w:p>
    <w:p w:rsidR="00A03C95" w:rsidRPr="00F56B10" w:rsidRDefault="00A03C95" w:rsidP="00A03C95">
      <w:pPr>
        <w:pStyle w:val="ListParagraph"/>
        <w:numPr>
          <w:ilvl w:val="0"/>
          <w:numId w:val="16"/>
        </w:numPr>
        <w:spacing w:before="120" w:after="120" w:line="240" w:lineRule="auto"/>
        <w:ind w:left="0" w:firstLine="720"/>
        <w:jc w:val="both"/>
        <w:rPr>
          <w:rFonts w:ascii="Verdana" w:eastAsia="Verdana" w:hAnsi="Verdana" w:cs="Times New Roman"/>
          <w:b/>
          <w:sz w:val="20"/>
          <w:szCs w:val="20"/>
        </w:rPr>
      </w:pPr>
      <w:r w:rsidRPr="00F56B10">
        <w:rPr>
          <w:rFonts w:ascii="Verdana" w:eastAsia="Verdana" w:hAnsi="Verdana" w:cs="Times New Roman"/>
          <w:b/>
          <w:sz w:val="20"/>
          <w:szCs w:val="20"/>
        </w:rPr>
        <w:t xml:space="preserve">врста 05 </w:t>
      </w:r>
      <w:r w:rsidRPr="00F56B10">
        <w:rPr>
          <w:rFonts w:ascii="Verdana" w:eastAsia="Verdana" w:hAnsi="Verdana" w:cs="Times New Roman"/>
          <w:sz w:val="20"/>
          <w:szCs w:val="20"/>
        </w:rPr>
        <w:t>– осигурање ваздухоплова, где пораст активне премије остварене у периоду 01.01.2015 – 31.12.2015. у односу на исти период претходне године износи  29.252 хиљада динара, односно 51,45%.</w:t>
      </w:r>
    </w:p>
    <w:p w:rsidR="00A03C95" w:rsidRPr="003471C2"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r w:rsidRPr="00EC28C0">
        <w:rPr>
          <w:rFonts w:ascii="Verdana" w:eastAsia="Times New Roman" w:hAnsi="Verdana" w:cs="Tahoma"/>
          <w:noProof/>
          <w:sz w:val="20"/>
          <w:szCs w:val="20"/>
          <w:lang w:val="sr-Cyrl-RS" w:eastAsia="ar-SA"/>
        </w:rPr>
        <w:t>На п</w:t>
      </w:r>
      <w:r w:rsidRPr="00EC28C0">
        <w:rPr>
          <w:rFonts w:ascii="Verdana" w:eastAsia="Times New Roman" w:hAnsi="Verdana" w:cs="Tahoma"/>
          <w:noProof/>
          <w:sz w:val="20"/>
          <w:szCs w:val="20"/>
          <w:lang w:eastAsia="ar-SA"/>
        </w:rPr>
        <w:t xml:space="preserve">ораст </w:t>
      </w:r>
      <w:r w:rsidRPr="00EC28C0">
        <w:rPr>
          <w:rFonts w:ascii="Verdana" w:eastAsia="Times New Roman" w:hAnsi="Verdana" w:cs="Tahoma"/>
          <w:noProof/>
          <w:sz w:val="20"/>
          <w:szCs w:val="20"/>
          <w:lang w:val="sr-Cyrl-RS" w:eastAsia="ar-SA"/>
        </w:rPr>
        <w:t xml:space="preserve">активне </w:t>
      </w:r>
      <w:r w:rsidRPr="00EC28C0">
        <w:rPr>
          <w:rFonts w:ascii="Verdana" w:eastAsia="Times New Roman" w:hAnsi="Verdana" w:cs="Tahoma"/>
          <w:noProof/>
          <w:sz w:val="20"/>
          <w:szCs w:val="20"/>
          <w:lang w:eastAsia="ar-SA"/>
        </w:rPr>
        <w:t xml:space="preserve">премије </w:t>
      </w:r>
      <w:r w:rsidRPr="00EC28C0">
        <w:rPr>
          <w:rFonts w:ascii="Verdana" w:eastAsia="Times New Roman" w:hAnsi="Verdana" w:cs="Tahoma"/>
          <w:noProof/>
          <w:sz w:val="20"/>
          <w:szCs w:val="20"/>
          <w:lang w:val="sr-Cyrl-RS" w:eastAsia="ar-SA"/>
        </w:rPr>
        <w:t xml:space="preserve">утицало је </w:t>
      </w:r>
      <w:r w:rsidR="00726CBE">
        <w:rPr>
          <w:rFonts w:ascii="Verdana" w:eastAsia="Times New Roman" w:hAnsi="Verdana" w:cs="Tahoma"/>
          <w:noProof/>
          <w:sz w:val="20"/>
          <w:szCs w:val="20"/>
          <w:lang w:val="sr-Cyrl-RS" w:eastAsia="ar-SA"/>
        </w:rPr>
        <w:t xml:space="preserve">спровођење </w:t>
      </w:r>
      <w:r w:rsidRPr="00EC28C0">
        <w:rPr>
          <w:rFonts w:ascii="Verdana" w:eastAsia="Times New Roman" w:hAnsi="Verdana" w:cs="Tahoma"/>
          <w:noProof/>
          <w:sz w:val="20"/>
          <w:szCs w:val="20"/>
          <w:lang w:val="sr-Cyrl-RS" w:eastAsia="ar-SA"/>
        </w:rPr>
        <w:t>реосигуравајуће</w:t>
      </w:r>
      <w:r w:rsidR="00726CBE">
        <w:rPr>
          <w:rFonts w:ascii="Verdana" w:eastAsia="Times New Roman" w:hAnsi="Verdana" w:cs="Tahoma"/>
          <w:noProof/>
          <w:sz w:val="20"/>
          <w:szCs w:val="20"/>
          <w:lang w:val="sr-Cyrl-RS" w:eastAsia="ar-SA"/>
        </w:rPr>
        <w:t>г покрића</w:t>
      </w:r>
      <w:r w:rsidRPr="00EC28C0">
        <w:rPr>
          <w:rFonts w:ascii="Verdana" w:eastAsia="Times New Roman" w:hAnsi="Verdana" w:cs="Tahoma"/>
          <w:noProof/>
          <w:sz w:val="20"/>
          <w:szCs w:val="20"/>
          <w:lang w:val="sr-Cyrl-RS" w:eastAsia="ar-SA"/>
        </w:rPr>
        <w:t xml:space="preserve"> са цедентом Компанија Дунав осигурање по Уговору о реосигурању авио флоте за осигураника AIR SERBIA.</w:t>
      </w:r>
      <w:r w:rsidRPr="003471C2">
        <w:rPr>
          <w:rFonts w:ascii="Verdana" w:eastAsia="Times New Roman" w:hAnsi="Verdana" w:cs="Tahoma"/>
          <w:noProof/>
          <w:sz w:val="20"/>
          <w:szCs w:val="20"/>
          <w:lang w:val="sr-Cyrl-RS" w:eastAsia="ar-SA"/>
        </w:rPr>
        <w:t xml:space="preserve"> </w:t>
      </w:r>
    </w:p>
    <w:p w:rsidR="00A03C95" w:rsidRPr="003471C2" w:rsidRDefault="00A03C95" w:rsidP="00A03C95">
      <w:pPr>
        <w:pStyle w:val="ListParagraph"/>
        <w:numPr>
          <w:ilvl w:val="0"/>
          <w:numId w:val="16"/>
        </w:numPr>
        <w:spacing w:before="120" w:after="120" w:line="240" w:lineRule="auto"/>
        <w:ind w:left="0" w:firstLine="720"/>
        <w:jc w:val="both"/>
        <w:rPr>
          <w:rFonts w:ascii="Verdana" w:eastAsia="Verdana" w:hAnsi="Verdana" w:cs="Times New Roman"/>
          <w:sz w:val="20"/>
          <w:szCs w:val="20"/>
        </w:rPr>
      </w:pPr>
      <w:r w:rsidRPr="003471C2">
        <w:rPr>
          <w:rFonts w:ascii="Verdana" w:eastAsia="Verdana" w:hAnsi="Verdana" w:cs="Times New Roman"/>
          <w:b/>
          <w:sz w:val="20"/>
          <w:szCs w:val="20"/>
        </w:rPr>
        <w:t>врста 07</w:t>
      </w:r>
      <w:r w:rsidRPr="003471C2">
        <w:rPr>
          <w:rFonts w:ascii="Verdana" w:eastAsia="Verdana" w:hAnsi="Verdana" w:cs="Times New Roman"/>
          <w:sz w:val="20"/>
          <w:szCs w:val="20"/>
        </w:rPr>
        <w:t xml:space="preserve"> – осигурање робе у превозу</w:t>
      </w:r>
      <w:r w:rsidRPr="003471C2">
        <w:rPr>
          <w:rFonts w:ascii="Verdana" w:eastAsia="Verdana" w:hAnsi="Verdana" w:cs="Times New Roman"/>
          <w:sz w:val="20"/>
          <w:szCs w:val="20"/>
          <w:lang w:val="sr-Cyrl-RS"/>
        </w:rPr>
        <w:t>, г</w:t>
      </w:r>
      <w:r w:rsidRPr="003471C2">
        <w:rPr>
          <w:rFonts w:ascii="Verdana" w:eastAsia="Verdana" w:hAnsi="Verdana" w:cs="Times New Roman"/>
          <w:sz w:val="20"/>
          <w:szCs w:val="20"/>
        </w:rPr>
        <w:t>де пораст активне премије остварене у периоду 01.01.2015 – 31.12.2015. у односу на исти период претходне године износи 14.089 хиљада динара, односно 19,00%.</w:t>
      </w:r>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3471C2">
        <w:rPr>
          <w:rFonts w:ascii="Verdana" w:eastAsia="Times New Roman" w:hAnsi="Verdana" w:cs="Tahoma"/>
          <w:noProof/>
          <w:sz w:val="20"/>
          <w:szCs w:val="20"/>
          <w:lang w:val="sr-Cyrl-RS" w:eastAsia="ar-SA"/>
        </w:rPr>
        <w:t xml:space="preserve">На повећање активне </w:t>
      </w:r>
      <w:r w:rsidRPr="003471C2">
        <w:rPr>
          <w:rFonts w:ascii="Verdana" w:eastAsia="Times New Roman" w:hAnsi="Verdana" w:cs="Tahoma"/>
          <w:noProof/>
          <w:sz w:val="20"/>
          <w:szCs w:val="20"/>
          <w:lang w:eastAsia="ar-SA"/>
        </w:rPr>
        <w:t xml:space="preserve">премије </w:t>
      </w:r>
      <w:r w:rsidRPr="003471C2">
        <w:rPr>
          <w:rFonts w:ascii="Verdana" w:eastAsia="Times New Roman" w:hAnsi="Verdana" w:cs="Tahoma"/>
          <w:noProof/>
          <w:sz w:val="20"/>
          <w:szCs w:val="20"/>
          <w:lang w:val="sr-Cyrl-RS" w:eastAsia="ar-SA"/>
        </w:rPr>
        <w:t>у овој врсти утицало је ново реосигуравајуће покриће по Уговору о реосигурању међународног и домаћег карга закљученог са Миленијум осигурање</w:t>
      </w:r>
      <w:r>
        <w:rPr>
          <w:rFonts w:ascii="Verdana" w:eastAsia="Times New Roman" w:hAnsi="Verdana" w:cs="Tahoma"/>
          <w:noProof/>
          <w:sz w:val="20"/>
          <w:szCs w:val="20"/>
          <w:lang w:val="sr-Cyrl-RS" w:eastAsia="ar-SA"/>
        </w:rPr>
        <w:t xml:space="preserve">м за 2015-ту годину, као и раст премије реосигурања </w:t>
      </w:r>
      <w:r w:rsidRPr="003471C2">
        <w:rPr>
          <w:rFonts w:ascii="Verdana" w:eastAsia="Times New Roman" w:hAnsi="Verdana" w:cs="Tahoma"/>
          <w:noProof/>
          <w:sz w:val="20"/>
          <w:szCs w:val="20"/>
          <w:lang w:val="sr-Cyrl-RS" w:eastAsia="ar-SA"/>
        </w:rPr>
        <w:t>по основу Уговора о реосигурању вишка штета за међународни и домаћи карго закључен</w:t>
      </w:r>
      <w:r>
        <w:rPr>
          <w:rFonts w:ascii="Verdana" w:eastAsia="Times New Roman" w:hAnsi="Verdana" w:cs="Tahoma"/>
          <w:noProof/>
          <w:sz w:val="20"/>
          <w:szCs w:val="20"/>
          <w:lang w:val="sr-Cyrl-RS" w:eastAsia="ar-SA"/>
        </w:rPr>
        <w:t>им</w:t>
      </w:r>
      <w:r w:rsidRPr="003471C2">
        <w:rPr>
          <w:rFonts w:ascii="Verdana" w:eastAsia="Times New Roman" w:hAnsi="Verdana" w:cs="Tahoma"/>
          <w:noProof/>
          <w:sz w:val="20"/>
          <w:szCs w:val="20"/>
          <w:lang w:val="sr-Cyrl-RS" w:eastAsia="ar-SA"/>
        </w:rPr>
        <w:t xml:space="preserve"> са </w:t>
      </w:r>
      <w:r>
        <w:rPr>
          <w:rFonts w:ascii="Verdana" w:eastAsia="Times New Roman" w:hAnsi="Verdana" w:cs="Tahoma"/>
          <w:noProof/>
          <w:sz w:val="20"/>
          <w:szCs w:val="20"/>
          <w:lang w:val="sr-Cyrl-RS" w:eastAsia="ar-SA"/>
        </w:rPr>
        <w:t xml:space="preserve">Компанијом </w:t>
      </w:r>
      <w:r w:rsidRPr="003471C2">
        <w:rPr>
          <w:rFonts w:ascii="Verdana" w:eastAsia="Times New Roman" w:hAnsi="Verdana" w:cs="Tahoma"/>
          <w:noProof/>
          <w:sz w:val="20"/>
          <w:szCs w:val="20"/>
          <w:lang w:val="sr-Cyrl-RS" w:eastAsia="ar-SA"/>
        </w:rPr>
        <w:t>Дунав ос</w:t>
      </w:r>
      <w:r>
        <w:rPr>
          <w:rFonts w:ascii="Verdana" w:eastAsia="Times New Roman" w:hAnsi="Verdana" w:cs="Tahoma"/>
          <w:noProof/>
          <w:sz w:val="20"/>
          <w:szCs w:val="20"/>
          <w:lang w:val="sr-Cyrl-RS" w:eastAsia="ar-SA"/>
        </w:rPr>
        <w:t xml:space="preserve">игурањем </w:t>
      </w:r>
      <w:r w:rsidRPr="003471C2">
        <w:rPr>
          <w:rFonts w:ascii="Verdana" w:eastAsia="Times New Roman" w:hAnsi="Verdana" w:cs="Tahoma"/>
          <w:noProof/>
          <w:sz w:val="20"/>
          <w:szCs w:val="20"/>
          <w:lang w:val="sr-Cyrl-RS" w:eastAsia="ar-SA"/>
        </w:rPr>
        <w:t>у односу на претходну годину</w:t>
      </w:r>
      <w:r>
        <w:rPr>
          <w:rFonts w:ascii="Verdana" w:eastAsia="Times New Roman" w:hAnsi="Verdana" w:cs="Tahoma"/>
          <w:noProof/>
          <w:sz w:val="20"/>
          <w:szCs w:val="20"/>
          <w:lang w:val="sr-Cyrl-RS" w:eastAsia="ar-SA"/>
        </w:rPr>
        <w:t>.</w:t>
      </w:r>
    </w:p>
    <w:p w:rsidR="00A03C95" w:rsidRPr="003471C2" w:rsidRDefault="00A03C95" w:rsidP="00A03C95">
      <w:pPr>
        <w:pStyle w:val="ListParagraph"/>
        <w:numPr>
          <w:ilvl w:val="0"/>
          <w:numId w:val="16"/>
        </w:numPr>
        <w:spacing w:before="120" w:after="120" w:line="240" w:lineRule="auto"/>
        <w:ind w:left="0" w:firstLine="720"/>
        <w:jc w:val="both"/>
        <w:rPr>
          <w:rFonts w:ascii="Verdana" w:eastAsia="Verdana" w:hAnsi="Verdana" w:cs="Times New Roman"/>
          <w:sz w:val="20"/>
          <w:szCs w:val="20"/>
        </w:rPr>
      </w:pPr>
      <w:r w:rsidRPr="00EC5FB6">
        <w:rPr>
          <w:rFonts w:ascii="Verdana" w:eastAsia="Verdana" w:hAnsi="Verdana" w:cs="Times New Roman"/>
          <w:b/>
          <w:sz w:val="20"/>
          <w:szCs w:val="20"/>
        </w:rPr>
        <w:t>врста 08</w:t>
      </w:r>
      <w:r w:rsidRPr="00EC5FB6">
        <w:rPr>
          <w:rFonts w:ascii="Verdana" w:eastAsia="Verdana" w:hAnsi="Verdana" w:cs="Times New Roman"/>
          <w:sz w:val="20"/>
          <w:szCs w:val="20"/>
        </w:rPr>
        <w:t xml:space="preserve"> – осигурање имовине од пожара и других опасности, где пораст активне премије остварене у периоду 01.01.2015 – 31.12.2015. у односу на исти период претходне године </w:t>
      </w:r>
      <w:r w:rsidRPr="00212D39">
        <w:rPr>
          <w:rFonts w:ascii="Verdana" w:eastAsia="Verdana" w:hAnsi="Verdana" w:cs="Times New Roman"/>
          <w:sz w:val="20"/>
          <w:szCs w:val="20"/>
        </w:rPr>
        <w:t>износи 223.042 хиљадe динара, односно 38,09%</w:t>
      </w:r>
      <w:r>
        <w:rPr>
          <w:rFonts w:ascii="Verdana" w:eastAsia="Verdana" w:hAnsi="Verdana" w:cs="Times New Roman"/>
          <w:sz w:val="20"/>
          <w:szCs w:val="20"/>
        </w:rPr>
        <w:t>.</w:t>
      </w:r>
    </w:p>
    <w:p w:rsidR="00A03C95" w:rsidRPr="00212D39"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212D39">
        <w:rPr>
          <w:rFonts w:ascii="Verdana" w:eastAsia="Times New Roman" w:hAnsi="Verdana" w:cs="Tahoma"/>
          <w:noProof/>
          <w:sz w:val="20"/>
          <w:szCs w:val="20"/>
          <w:lang w:eastAsia="ar-SA"/>
        </w:rPr>
        <w:t>У врсти 08 увећање премије проузроковано је првенствено Уговором о</w:t>
      </w:r>
      <w:r>
        <w:rPr>
          <w:rFonts w:ascii="Verdana" w:eastAsia="Times New Roman" w:hAnsi="Verdana" w:cs="Tahoma"/>
          <w:noProof/>
          <w:sz w:val="20"/>
          <w:szCs w:val="20"/>
          <w:lang w:eastAsia="ar-SA"/>
        </w:rPr>
        <w:t xml:space="preserve"> реосигурању имовинских ризика </w:t>
      </w:r>
      <w:r>
        <w:rPr>
          <w:rFonts w:ascii="Verdana" w:eastAsia="Times New Roman" w:hAnsi="Verdana" w:cs="Tahoma"/>
          <w:noProof/>
          <w:sz w:val="20"/>
          <w:szCs w:val="20"/>
          <w:lang w:val="sr-Cyrl-RS" w:eastAsia="ar-SA"/>
        </w:rPr>
        <w:t xml:space="preserve">по основу </w:t>
      </w:r>
      <w:r>
        <w:rPr>
          <w:rFonts w:ascii="Verdana" w:eastAsia="Times New Roman" w:hAnsi="Verdana" w:cs="Tahoma"/>
          <w:noProof/>
          <w:sz w:val="20"/>
          <w:szCs w:val="20"/>
          <w:lang w:eastAsia="ar-SA"/>
        </w:rPr>
        <w:t>секциј</w:t>
      </w:r>
      <w:r>
        <w:rPr>
          <w:rFonts w:ascii="Verdana" w:eastAsia="Times New Roman" w:hAnsi="Verdana" w:cs="Tahoma"/>
          <w:noProof/>
          <w:sz w:val="20"/>
          <w:szCs w:val="20"/>
          <w:lang w:val="sr-Cyrl-RS" w:eastAsia="ar-SA"/>
        </w:rPr>
        <w:t>е</w:t>
      </w:r>
      <w:r w:rsidRPr="00212D39">
        <w:rPr>
          <w:rFonts w:ascii="Verdana" w:eastAsia="Times New Roman" w:hAnsi="Verdana" w:cs="Tahoma"/>
          <w:noProof/>
          <w:sz w:val="20"/>
          <w:szCs w:val="20"/>
          <w:lang w:eastAsia="ar-SA"/>
        </w:rPr>
        <w:t xml:space="preserve"> Б – квотно р</w:t>
      </w:r>
      <w:r>
        <w:rPr>
          <w:rFonts w:ascii="Verdana" w:eastAsia="Times New Roman" w:hAnsi="Verdana" w:cs="Tahoma"/>
          <w:noProof/>
          <w:sz w:val="20"/>
          <w:szCs w:val="20"/>
          <w:lang w:eastAsia="ar-SA"/>
        </w:rPr>
        <w:t>еосигурање ризика земљотреса</w:t>
      </w:r>
      <w:r w:rsidRPr="00212D39">
        <w:rPr>
          <w:rFonts w:ascii="Verdana" w:eastAsia="Times New Roman" w:hAnsi="Verdana" w:cs="Tahoma"/>
          <w:noProof/>
          <w:sz w:val="20"/>
          <w:szCs w:val="20"/>
          <w:lang w:eastAsia="ar-SA"/>
        </w:rPr>
        <w:t xml:space="preserve"> у портфељу Компаније Дунав осигурање.</w:t>
      </w:r>
    </w:p>
    <w:p w:rsidR="00A03C95" w:rsidRPr="00F3563D"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r>
        <w:rPr>
          <w:rFonts w:ascii="Verdana" w:eastAsia="Times New Roman" w:hAnsi="Verdana" w:cs="Tahoma"/>
          <w:noProof/>
          <w:sz w:val="20"/>
          <w:szCs w:val="20"/>
          <w:lang w:val="sr-Cyrl-RS" w:eastAsia="ar-SA"/>
        </w:rPr>
        <w:t>П</w:t>
      </w:r>
      <w:r w:rsidRPr="00212D39">
        <w:rPr>
          <w:rFonts w:ascii="Verdana" w:eastAsia="Times New Roman" w:hAnsi="Verdana" w:cs="Tahoma"/>
          <w:noProof/>
          <w:sz w:val="20"/>
          <w:szCs w:val="20"/>
          <w:lang w:eastAsia="ar-SA"/>
        </w:rPr>
        <w:t xml:space="preserve">ораст премије у врсти 08 условило је и успостављање реосигуравајућег покрића за заштиту имовинских ризика у самопридржају Компаније Дунав осигурање за 2015. </w:t>
      </w:r>
      <w:r>
        <w:rPr>
          <w:rFonts w:ascii="Verdana" w:eastAsia="Times New Roman" w:hAnsi="Verdana" w:cs="Tahoma"/>
          <w:noProof/>
          <w:sz w:val="20"/>
          <w:szCs w:val="20"/>
          <w:lang w:val="sr-Cyrl-RS" w:eastAsia="ar-SA"/>
        </w:rPr>
        <w:t>г</w:t>
      </w:r>
      <w:r w:rsidRPr="00212D39">
        <w:rPr>
          <w:rFonts w:ascii="Verdana" w:eastAsia="Times New Roman" w:hAnsi="Verdana" w:cs="Tahoma"/>
          <w:noProof/>
          <w:sz w:val="20"/>
          <w:szCs w:val="20"/>
          <w:lang w:eastAsia="ar-SA"/>
        </w:rPr>
        <w:t>одину</w:t>
      </w:r>
      <w:r>
        <w:rPr>
          <w:rFonts w:ascii="Verdana" w:eastAsia="Times New Roman" w:hAnsi="Verdana" w:cs="Tahoma"/>
          <w:noProof/>
          <w:sz w:val="20"/>
          <w:szCs w:val="20"/>
          <w:lang w:val="sr-Cyrl-RS" w:eastAsia="ar-SA"/>
        </w:rPr>
        <w:t xml:space="preserve"> </w:t>
      </w:r>
      <w:r w:rsidRPr="00212D39">
        <w:rPr>
          <w:rFonts w:ascii="Verdana" w:eastAsia="Times New Roman" w:hAnsi="Verdana" w:cs="Tahoma"/>
          <w:noProof/>
          <w:sz w:val="20"/>
          <w:szCs w:val="20"/>
          <w:lang w:eastAsia="ar-SA"/>
        </w:rPr>
        <w:t>(RISK XL</w:t>
      </w:r>
      <w:r>
        <w:rPr>
          <w:rFonts w:ascii="Verdana" w:eastAsia="Times New Roman" w:hAnsi="Verdana" w:cs="Tahoma"/>
          <w:noProof/>
          <w:sz w:val="20"/>
          <w:szCs w:val="20"/>
          <w:lang w:val="sr-Cyrl-RS" w:eastAsia="ar-SA"/>
        </w:rPr>
        <w:t>)</w:t>
      </w:r>
      <w:r w:rsidRPr="00212D39">
        <w:rPr>
          <w:rFonts w:ascii="Verdana" w:eastAsia="Times New Roman" w:hAnsi="Verdana" w:cs="Tahoma"/>
          <w:noProof/>
          <w:sz w:val="20"/>
          <w:szCs w:val="20"/>
          <w:lang w:eastAsia="ar-SA"/>
        </w:rPr>
        <w:t>, које</w:t>
      </w:r>
      <w:r>
        <w:rPr>
          <w:rFonts w:ascii="Verdana" w:eastAsia="Times New Roman" w:hAnsi="Verdana" w:cs="Tahoma"/>
          <w:noProof/>
          <w:sz w:val="20"/>
          <w:szCs w:val="20"/>
          <w:lang w:eastAsia="ar-SA"/>
        </w:rPr>
        <w:t xml:space="preserve"> у 2014. години није реализован</w:t>
      </w:r>
      <w:r>
        <w:rPr>
          <w:rFonts w:ascii="Verdana" w:eastAsia="Times New Roman" w:hAnsi="Verdana" w:cs="Tahoma"/>
          <w:noProof/>
          <w:sz w:val="20"/>
          <w:szCs w:val="20"/>
          <w:lang w:val="sr-Cyrl-RS" w:eastAsia="ar-SA"/>
        </w:rPr>
        <w:t>о.</w:t>
      </w:r>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212D39">
        <w:rPr>
          <w:rFonts w:ascii="Verdana" w:eastAsia="Times New Roman" w:hAnsi="Verdana" w:cs="Tahoma"/>
          <w:noProof/>
          <w:sz w:val="20"/>
          <w:szCs w:val="20"/>
          <w:lang w:eastAsia="ar-SA"/>
        </w:rPr>
        <w:t>Такође, покриће катастрофалних ризика (CAT XL)</w:t>
      </w:r>
      <w:r>
        <w:rPr>
          <w:rFonts w:ascii="Verdana" w:eastAsia="Times New Roman" w:hAnsi="Verdana" w:cs="Tahoma"/>
          <w:noProof/>
          <w:sz w:val="20"/>
          <w:szCs w:val="20"/>
          <w:lang w:val="sr-Cyrl-RS" w:eastAsia="ar-SA"/>
        </w:rPr>
        <w:t xml:space="preserve"> за цедента Дунав осигурање</w:t>
      </w:r>
      <w:r w:rsidRPr="00212D39">
        <w:rPr>
          <w:rFonts w:ascii="Verdana" w:eastAsia="Times New Roman" w:hAnsi="Verdana" w:cs="Tahoma"/>
          <w:noProof/>
          <w:sz w:val="20"/>
          <w:szCs w:val="20"/>
          <w:lang w:eastAsia="ar-SA"/>
        </w:rPr>
        <w:t xml:space="preserve"> је реализовано за измењеном структуром у односу на претходну годину (приоритет је са 3.500.000 ЕУР смањен на 1.000.000 ЕУР), што је условило пораст активне премије у </w:t>
      </w:r>
      <w:r w:rsidRPr="00304290">
        <w:rPr>
          <w:rFonts w:ascii="Verdana" w:eastAsia="Times New Roman" w:hAnsi="Verdana" w:cs="Tahoma"/>
          <w:noProof/>
          <w:sz w:val="20"/>
          <w:szCs w:val="20"/>
          <w:lang w:eastAsia="ar-SA"/>
        </w:rPr>
        <w:t xml:space="preserve">врстама 03 и 08. </w:t>
      </w:r>
    </w:p>
    <w:p w:rsidR="00A03C95" w:rsidRPr="009C6329" w:rsidRDefault="00A03C95" w:rsidP="00A03C95">
      <w:pPr>
        <w:pStyle w:val="ListParagraph"/>
        <w:numPr>
          <w:ilvl w:val="0"/>
          <w:numId w:val="16"/>
        </w:numPr>
        <w:spacing w:before="120" w:after="120" w:line="240" w:lineRule="auto"/>
        <w:ind w:left="0" w:firstLine="720"/>
        <w:jc w:val="both"/>
        <w:rPr>
          <w:rFonts w:ascii="Verdana" w:eastAsia="Verdana" w:hAnsi="Verdana" w:cs="Times New Roman"/>
          <w:sz w:val="20"/>
          <w:szCs w:val="20"/>
        </w:rPr>
      </w:pPr>
      <w:r w:rsidRPr="009C6329">
        <w:rPr>
          <w:rFonts w:ascii="Verdana" w:eastAsia="Verdana" w:hAnsi="Verdana" w:cs="Times New Roman"/>
          <w:b/>
          <w:sz w:val="20"/>
          <w:szCs w:val="20"/>
        </w:rPr>
        <w:t>врста 09</w:t>
      </w:r>
      <w:r w:rsidRPr="009C6329">
        <w:rPr>
          <w:rFonts w:ascii="Verdana" w:eastAsia="Verdana" w:hAnsi="Verdana" w:cs="Times New Roman"/>
          <w:sz w:val="20"/>
          <w:szCs w:val="20"/>
        </w:rPr>
        <w:t xml:space="preserve"> – остала осигурања имовине, где пад активне премије остварене у периоду 01.01.2015. – 31.12.2015. у односу на исти период претходна године износи 78.481 хиљада динара, односно 9,41%</w:t>
      </w:r>
      <w:r w:rsidRPr="009C6329">
        <w:rPr>
          <w:rFonts w:ascii="Verdana" w:eastAsia="Verdana" w:hAnsi="Verdana" w:cs="Times New Roman"/>
          <w:sz w:val="20"/>
          <w:szCs w:val="20"/>
          <w:lang w:val="sr-Cyrl-RS"/>
        </w:rPr>
        <w:t xml:space="preserve">. </w:t>
      </w:r>
    </w:p>
    <w:p w:rsidR="00A03C95" w:rsidRPr="009C6329"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9C6329">
        <w:rPr>
          <w:rFonts w:ascii="Verdana" w:eastAsia="Times New Roman" w:hAnsi="Verdana" w:cs="Tahoma"/>
          <w:noProof/>
          <w:sz w:val="20"/>
          <w:szCs w:val="20"/>
          <w:lang w:eastAsia="ar-SA"/>
        </w:rPr>
        <w:t xml:space="preserve">У врсти 09 пад премије је проузрокован тиме што су у истом периоду претходне године реализована велика факултативна покрића: </w:t>
      </w:r>
    </w:p>
    <w:p w:rsidR="00A03C95" w:rsidRPr="00471490" w:rsidRDefault="00A03C95" w:rsidP="00A03C95">
      <w:pPr>
        <w:pStyle w:val="ListParagraph"/>
        <w:numPr>
          <w:ilvl w:val="0"/>
          <w:numId w:val="17"/>
        </w:numPr>
        <w:spacing w:before="120" w:after="120" w:line="240" w:lineRule="auto"/>
        <w:ind w:left="1077" w:hanging="357"/>
        <w:contextualSpacing w:val="0"/>
        <w:jc w:val="both"/>
        <w:rPr>
          <w:rFonts w:ascii="Verdana" w:eastAsia="Times New Roman" w:hAnsi="Verdana" w:cs="Tahoma"/>
          <w:noProof/>
          <w:sz w:val="20"/>
          <w:szCs w:val="20"/>
          <w:lang w:eastAsia="ar-SA"/>
        </w:rPr>
      </w:pPr>
      <w:r w:rsidRPr="009C6329">
        <w:rPr>
          <w:rFonts w:ascii="Verdana" w:eastAsia="Times New Roman" w:hAnsi="Verdana" w:cs="Tahoma"/>
          <w:noProof/>
          <w:sz w:val="20"/>
          <w:szCs w:val="20"/>
          <w:lang w:eastAsia="ar-SA"/>
        </w:rPr>
        <w:t xml:space="preserve">реосигурање изградње за осигураника РЖД </w:t>
      </w:r>
      <w:r>
        <w:rPr>
          <w:rFonts w:ascii="Verdana" w:eastAsia="Times New Roman" w:hAnsi="Verdana" w:cs="Tahoma"/>
          <w:noProof/>
          <w:sz w:val="20"/>
          <w:szCs w:val="20"/>
          <w:lang w:val="sr-Cyrl-RS" w:eastAsia="ar-SA"/>
        </w:rPr>
        <w:t xml:space="preserve">и </w:t>
      </w:r>
      <w:r w:rsidRPr="009C6329">
        <w:rPr>
          <w:rFonts w:ascii="Verdana" w:eastAsia="Times New Roman" w:hAnsi="Verdana" w:cs="Tahoma"/>
          <w:noProof/>
          <w:sz w:val="20"/>
          <w:szCs w:val="20"/>
          <w:lang w:eastAsia="ar-SA"/>
        </w:rPr>
        <w:t xml:space="preserve">цедента Согаз осигурање Нови Сад; за ово покриће фактурисана активна премија у износу </w:t>
      </w:r>
      <w:r w:rsidRPr="009C6329">
        <w:rPr>
          <w:rFonts w:ascii="Verdana" w:eastAsia="Times New Roman" w:hAnsi="Verdana" w:cs="Tahoma"/>
          <w:noProof/>
          <w:sz w:val="20"/>
          <w:szCs w:val="20"/>
          <w:lang w:val="sr-Cyrl-RS" w:eastAsia="ar-SA"/>
        </w:rPr>
        <w:t xml:space="preserve">од </w:t>
      </w:r>
      <w:r w:rsidRPr="009C6329">
        <w:rPr>
          <w:rFonts w:ascii="Verdana" w:eastAsia="Times New Roman" w:hAnsi="Verdana" w:cs="Tahoma"/>
          <w:noProof/>
          <w:sz w:val="20"/>
          <w:szCs w:val="20"/>
          <w:lang w:eastAsia="ar-SA"/>
        </w:rPr>
        <w:t>2.061 хиљада долара са годишњом динамиком наплате</w:t>
      </w:r>
      <w:r>
        <w:rPr>
          <w:rFonts w:ascii="Verdana" w:eastAsia="Times New Roman" w:hAnsi="Verdana" w:cs="Tahoma"/>
          <w:noProof/>
          <w:sz w:val="20"/>
          <w:szCs w:val="20"/>
          <w:lang w:val="sr-Cyrl-RS" w:eastAsia="ar-SA"/>
        </w:rPr>
        <w:t xml:space="preserve"> и </w:t>
      </w:r>
    </w:p>
    <w:p w:rsidR="00471490" w:rsidRDefault="00471490" w:rsidP="00471490">
      <w:pPr>
        <w:spacing w:before="120" w:after="120" w:line="240" w:lineRule="auto"/>
        <w:jc w:val="both"/>
        <w:rPr>
          <w:rFonts w:ascii="Verdana" w:eastAsia="Times New Roman" w:hAnsi="Verdana" w:cs="Tahoma"/>
          <w:noProof/>
          <w:sz w:val="20"/>
          <w:szCs w:val="20"/>
          <w:lang w:eastAsia="ar-SA"/>
        </w:rPr>
      </w:pPr>
    </w:p>
    <w:p w:rsidR="00471490" w:rsidRDefault="00471490" w:rsidP="00471490">
      <w:pPr>
        <w:spacing w:before="120" w:after="120" w:line="240" w:lineRule="auto"/>
        <w:jc w:val="both"/>
        <w:rPr>
          <w:rFonts w:ascii="Verdana" w:eastAsia="Times New Roman" w:hAnsi="Verdana" w:cs="Tahoma"/>
          <w:noProof/>
          <w:sz w:val="20"/>
          <w:szCs w:val="20"/>
          <w:lang w:eastAsia="ar-SA"/>
        </w:rPr>
      </w:pPr>
    </w:p>
    <w:p w:rsidR="00471490" w:rsidRPr="00471490" w:rsidRDefault="00471490" w:rsidP="00471490">
      <w:pPr>
        <w:spacing w:before="120" w:after="120" w:line="240" w:lineRule="auto"/>
        <w:jc w:val="both"/>
        <w:rPr>
          <w:rFonts w:ascii="Verdana" w:eastAsia="Times New Roman" w:hAnsi="Verdana" w:cs="Tahoma"/>
          <w:noProof/>
          <w:sz w:val="20"/>
          <w:szCs w:val="20"/>
          <w:lang w:eastAsia="ar-SA"/>
        </w:rPr>
      </w:pPr>
    </w:p>
    <w:p w:rsidR="00A03C95" w:rsidRPr="009C6329" w:rsidRDefault="00A03C95" w:rsidP="00A03C95">
      <w:pPr>
        <w:pStyle w:val="ListParagraph"/>
        <w:numPr>
          <w:ilvl w:val="0"/>
          <w:numId w:val="17"/>
        </w:numPr>
        <w:spacing w:before="120" w:after="120" w:line="240" w:lineRule="auto"/>
        <w:ind w:left="1077" w:hanging="357"/>
        <w:contextualSpacing w:val="0"/>
        <w:jc w:val="both"/>
        <w:rPr>
          <w:rFonts w:ascii="Verdana" w:eastAsia="Times New Roman" w:hAnsi="Verdana" w:cs="Tahoma"/>
          <w:noProof/>
          <w:sz w:val="20"/>
          <w:szCs w:val="20"/>
          <w:lang w:eastAsia="ar-SA"/>
        </w:rPr>
      </w:pPr>
      <w:r w:rsidRPr="009C6329">
        <w:rPr>
          <w:rFonts w:ascii="Verdana" w:eastAsia="Times New Roman" w:hAnsi="Verdana" w:cs="Tahoma"/>
          <w:noProof/>
          <w:sz w:val="20"/>
          <w:szCs w:val="20"/>
          <w:lang w:eastAsia="ar-SA"/>
        </w:rPr>
        <w:t xml:space="preserve">реосигурање </w:t>
      </w:r>
      <w:r w:rsidRPr="009C6329">
        <w:rPr>
          <w:rFonts w:ascii="Verdana" w:eastAsia="Times New Roman" w:hAnsi="Verdana" w:cs="Tahoma"/>
          <w:noProof/>
          <w:sz w:val="20"/>
          <w:szCs w:val="20"/>
          <w:lang w:val="sr-Cyrl-RS" w:eastAsia="ar-SA"/>
        </w:rPr>
        <w:t xml:space="preserve">од рата, тероризма и политичких ризика за </w:t>
      </w:r>
      <w:r w:rsidRPr="009C6329">
        <w:rPr>
          <w:rFonts w:ascii="Verdana" w:eastAsia="Times New Roman" w:hAnsi="Verdana" w:cs="Tahoma"/>
          <w:noProof/>
          <w:sz w:val="20"/>
          <w:szCs w:val="20"/>
          <w:lang w:eastAsia="ar-SA"/>
        </w:rPr>
        <w:t xml:space="preserve">осигураника РЖД </w:t>
      </w:r>
      <w:r>
        <w:rPr>
          <w:rFonts w:ascii="Verdana" w:eastAsia="Times New Roman" w:hAnsi="Verdana" w:cs="Tahoma"/>
          <w:noProof/>
          <w:sz w:val="20"/>
          <w:szCs w:val="20"/>
          <w:lang w:val="sr-Cyrl-RS" w:eastAsia="ar-SA"/>
        </w:rPr>
        <w:t xml:space="preserve">и </w:t>
      </w:r>
      <w:r w:rsidRPr="009C6329">
        <w:rPr>
          <w:rFonts w:ascii="Verdana" w:eastAsia="Times New Roman" w:hAnsi="Verdana" w:cs="Tahoma"/>
          <w:noProof/>
          <w:sz w:val="20"/>
          <w:szCs w:val="20"/>
          <w:lang w:eastAsia="ar-SA"/>
        </w:rPr>
        <w:t>цедента Согаз осигурање Нови Сад; за ово покриће фактурисана активна премија у износу</w:t>
      </w:r>
      <w:r w:rsidRPr="009C6329">
        <w:rPr>
          <w:rFonts w:ascii="Verdana" w:eastAsia="Times New Roman" w:hAnsi="Verdana" w:cs="Tahoma"/>
          <w:noProof/>
          <w:sz w:val="20"/>
          <w:szCs w:val="20"/>
          <w:lang w:val="sr-Cyrl-RS" w:eastAsia="ar-SA"/>
        </w:rPr>
        <w:t xml:space="preserve"> од 587</w:t>
      </w:r>
      <w:r w:rsidRPr="009C6329">
        <w:rPr>
          <w:rFonts w:ascii="Verdana" w:eastAsia="Times New Roman" w:hAnsi="Verdana" w:cs="Tahoma"/>
          <w:noProof/>
          <w:sz w:val="20"/>
          <w:szCs w:val="20"/>
          <w:lang w:eastAsia="ar-SA"/>
        </w:rPr>
        <w:t xml:space="preserve"> хиљада долара</w:t>
      </w:r>
      <w:r>
        <w:rPr>
          <w:rFonts w:ascii="Verdana" w:eastAsia="Times New Roman" w:hAnsi="Verdana" w:cs="Tahoma"/>
          <w:noProof/>
          <w:sz w:val="20"/>
          <w:szCs w:val="20"/>
          <w:lang w:val="sr-Cyrl-RS" w:eastAsia="ar-SA"/>
        </w:rPr>
        <w:t>.</w:t>
      </w:r>
    </w:p>
    <w:p w:rsidR="00A03C95" w:rsidRPr="003471C2" w:rsidRDefault="00A03C95" w:rsidP="00A03C95">
      <w:pPr>
        <w:pStyle w:val="ListParagraph"/>
        <w:numPr>
          <w:ilvl w:val="0"/>
          <w:numId w:val="16"/>
        </w:numPr>
        <w:spacing w:before="120" w:after="120" w:line="240" w:lineRule="auto"/>
        <w:ind w:left="0" w:firstLine="720"/>
        <w:jc w:val="both"/>
        <w:rPr>
          <w:rFonts w:ascii="Verdana" w:eastAsia="Verdana" w:hAnsi="Verdana" w:cs="Times New Roman"/>
          <w:sz w:val="20"/>
          <w:szCs w:val="20"/>
        </w:rPr>
      </w:pPr>
      <w:r w:rsidRPr="003471C2">
        <w:rPr>
          <w:rFonts w:ascii="Verdana" w:eastAsia="Verdana" w:hAnsi="Verdana" w:cs="Times New Roman"/>
          <w:b/>
          <w:sz w:val="20"/>
          <w:szCs w:val="20"/>
        </w:rPr>
        <w:t xml:space="preserve">врста 10 – </w:t>
      </w:r>
      <w:r w:rsidRPr="003471C2">
        <w:rPr>
          <w:rFonts w:ascii="Verdana" w:eastAsia="Verdana" w:hAnsi="Verdana" w:cs="Times New Roman"/>
          <w:sz w:val="20"/>
          <w:szCs w:val="20"/>
        </w:rPr>
        <w:t>осигурање од одговорности од употребе моторних возила, где пораст активне премије износи 28.039 хиљадa динара, односно 20,25%</w:t>
      </w:r>
      <w:r w:rsidRPr="003471C2">
        <w:rPr>
          <w:rFonts w:ascii="Verdana" w:eastAsia="Verdana" w:hAnsi="Verdana" w:cs="Times New Roman"/>
          <w:sz w:val="20"/>
          <w:szCs w:val="20"/>
          <w:lang w:val="sr-Cyrl-RS"/>
        </w:rPr>
        <w:t>.</w:t>
      </w:r>
    </w:p>
    <w:p w:rsidR="00A03C95" w:rsidRPr="003471C2"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3471C2">
        <w:rPr>
          <w:rFonts w:ascii="Verdana" w:eastAsia="Times New Roman" w:hAnsi="Verdana" w:cs="Tahoma"/>
          <w:noProof/>
          <w:sz w:val="20"/>
          <w:szCs w:val="20"/>
          <w:lang w:val="sr-Cyrl-RS" w:eastAsia="ar-SA"/>
        </w:rPr>
        <w:t>На пораст премије у врсти 10 су, пре свега утицали, Уговори о реосигурању аутоодговорности на бази вишка штета у портфељу Компаније Дунав осигурање и Сава осигурања.</w:t>
      </w:r>
    </w:p>
    <w:p w:rsidR="00A03C95" w:rsidRPr="003471C2"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r w:rsidRPr="003471C2">
        <w:rPr>
          <w:rFonts w:ascii="Verdana" w:eastAsia="Times New Roman" w:hAnsi="Verdana" w:cs="Tahoma"/>
          <w:noProof/>
          <w:sz w:val="20"/>
          <w:szCs w:val="20"/>
          <w:lang w:val="sr-Cyrl-RS" w:eastAsia="ar-SA"/>
        </w:rPr>
        <w:t xml:space="preserve">На </w:t>
      </w:r>
      <w:r w:rsidRPr="003471C2">
        <w:rPr>
          <w:rFonts w:ascii="Verdana" w:eastAsia="Times New Roman" w:hAnsi="Verdana" w:cs="Tahoma"/>
          <w:noProof/>
          <w:sz w:val="20"/>
          <w:szCs w:val="20"/>
          <w:lang w:eastAsia="ar-SA"/>
        </w:rPr>
        <w:t xml:space="preserve">увећање премије </w:t>
      </w:r>
      <w:r w:rsidRPr="003471C2">
        <w:rPr>
          <w:rFonts w:ascii="Verdana" w:eastAsia="Times New Roman" w:hAnsi="Verdana" w:cs="Tahoma"/>
          <w:noProof/>
          <w:sz w:val="20"/>
          <w:szCs w:val="20"/>
          <w:lang w:val="sr-Cyrl-RS" w:eastAsia="ar-SA"/>
        </w:rPr>
        <w:t xml:space="preserve">утицали су и нови реализовани аутоматски уговори </w:t>
      </w:r>
      <w:r w:rsidRPr="003471C2">
        <w:rPr>
          <w:rFonts w:ascii="Verdana" w:eastAsia="Times New Roman" w:hAnsi="Verdana" w:cs="Tahoma"/>
          <w:noProof/>
          <w:sz w:val="20"/>
          <w:szCs w:val="20"/>
          <w:lang w:eastAsia="ar-SA"/>
        </w:rPr>
        <w:t>о реосигурању аутоодговорности на бази вишка штета у портфељу АМС осигурања, Миленијум осигурања</w:t>
      </w:r>
      <w:r w:rsidRPr="003471C2">
        <w:rPr>
          <w:rFonts w:ascii="Verdana" w:eastAsia="Times New Roman" w:hAnsi="Verdana" w:cs="Tahoma"/>
          <w:noProof/>
          <w:sz w:val="20"/>
          <w:szCs w:val="20"/>
          <w:lang w:val="sr-Cyrl-RS" w:eastAsia="ar-SA"/>
        </w:rPr>
        <w:t xml:space="preserve"> и </w:t>
      </w:r>
      <w:r w:rsidRPr="003471C2">
        <w:rPr>
          <w:rFonts w:ascii="Verdana" w:eastAsia="Times New Roman" w:hAnsi="Verdana" w:cs="Tahoma"/>
          <w:noProof/>
          <w:sz w:val="20"/>
          <w:szCs w:val="20"/>
          <w:lang w:eastAsia="ar-SA"/>
        </w:rPr>
        <w:t>Wiener Re-a</w:t>
      </w:r>
      <w:r w:rsidRPr="003471C2">
        <w:rPr>
          <w:rFonts w:ascii="Verdana" w:eastAsia="Times New Roman" w:hAnsi="Verdana" w:cs="Tahoma"/>
          <w:noProof/>
          <w:sz w:val="20"/>
          <w:szCs w:val="20"/>
          <w:lang w:val="sr-Cyrl-RS" w:eastAsia="ar-SA"/>
        </w:rPr>
        <w:t>.</w:t>
      </w:r>
    </w:p>
    <w:p w:rsidR="00A03C95" w:rsidRPr="003471C2" w:rsidRDefault="00A03C95" w:rsidP="00A03C95">
      <w:pPr>
        <w:pStyle w:val="ListParagraph"/>
        <w:numPr>
          <w:ilvl w:val="0"/>
          <w:numId w:val="16"/>
        </w:numPr>
        <w:spacing w:before="120" w:after="120" w:line="240" w:lineRule="auto"/>
        <w:ind w:left="0" w:firstLine="720"/>
        <w:jc w:val="both"/>
        <w:rPr>
          <w:rFonts w:ascii="Verdana" w:eastAsia="Verdana" w:hAnsi="Verdana" w:cs="Times New Roman"/>
          <w:b/>
          <w:sz w:val="20"/>
          <w:szCs w:val="20"/>
        </w:rPr>
      </w:pPr>
      <w:r w:rsidRPr="003471C2">
        <w:rPr>
          <w:rFonts w:ascii="Verdana" w:eastAsia="Verdana" w:hAnsi="Verdana" w:cs="Times New Roman"/>
          <w:b/>
          <w:sz w:val="20"/>
          <w:szCs w:val="20"/>
        </w:rPr>
        <w:t xml:space="preserve">врста 11 </w:t>
      </w:r>
      <w:r w:rsidRPr="003471C2">
        <w:rPr>
          <w:rFonts w:ascii="Verdana" w:eastAsia="Verdana" w:hAnsi="Verdana" w:cs="Times New Roman"/>
          <w:sz w:val="20"/>
          <w:szCs w:val="20"/>
        </w:rPr>
        <w:t>– осигурање од одговорности због употребе ваздухоплова, где пораст активне премије остварене у периоду 01.01.2015 – 31.12.2015. у односу на исти период претходне године износи  55.438 хиљада динара, односно 73,02%</w:t>
      </w:r>
      <w:r w:rsidRPr="003471C2">
        <w:rPr>
          <w:rFonts w:ascii="Verdana" w:eastAsia="Verdana" w:hAnsi="Verdana" w:cs="Times New Roman"/>
          <w:sz w:val="20"/>
          <w:szCs w:val="20"/>
          <w:lang w:val="sr-Cyrl-RS"/>
        </w:rPr>
        <w:t>.</w:t>
      </w:r>
    </w:p>
    <w:p w:rsidR="00A03C95" w:rsidRDefault="00726CBE" w:rsidP="00726CBE">
      <w:pPr>
        <w:spacing w:before="120" w:after="120" w:line="240" w:lineRule="auto"/>
        <w:jc w:val="both"/>
        <w:rPr>
          <w:rFonts w:ascii="Verdana" w:eastAsia="Times New Roman" w:hAnsi="Verdana" w:cs="Tahoma"/>
          <w:noProof/>
          <w:sz w:val="20"/>
          <w:szCs w:val="20"/>
          <w:lang w:val="sr-Cyrl-RS" w:eastAsia="ar-SA"/>
        </w:rPr>
      </w:pPr>
      <w:r w:rsidRPr="00726CBE">
        <w:rPr>
          <w:rFonts w:ascii="Verdana" w:eastAsia="Times New Roman" w:hAnsi="Verdana" w:cs="Tahoma"/>
          <w:noProof/>
          <w:sz w:val="20"/>
          <w:szCs w:val="20"/>
          <w:lang w:val="sr-Cyrl-RS" w:eastAsia="ar-SA"/>
        </w:rPr>
        <w:t>На п</w:t>
      </w:r>
      <w:r w:rsidRPr="00726CBE">
        <w:rPr>
          <w:rFonts w:ascii="Verdana" w:eastAsia="Times New Roman" w:hAnsi="Verdana" w:cs="Tahoma"/>
          <w:noProof/>
          <w:sz w:val="20"/>
          <w:szCs w:val="20"/>
          <w:lang w:eastAsia="ar-SA"/>
        </w:rPr>
        <w:t xml:space="preserve">ораст </w:t>
      </w:r>
      <w:r w:rsidRPr="00726CBE">
        <w:rPr>
          <w:rFonts w:ascii="Verdana" w:eastAsia="Times New Roman" w:hAnsi="Verdana" w:cs="Tahoma"/>
          <w:noProof/>
          <w:sz w:val="20"/>
          <w:szCs w:val="20"/>
          <w:lang w:val="sr-Cyrl-RS" w:eastAsia="ar-SA"/>
        </w:rPr>
        <w:t xml:space="preserve">активне </w:t>
      </w:r>
      <w:r w:rsidRPr="00726CBE">
        <w:rPr>
          <w:rFonts w:ascii="Verdana" w:eastAsia="Times New Roman" w:hAnsi="Verdana" w:cs="Tahoma"/>
          <w:noProof/>
          <w:sz w:val="20"/>
          <w:szCs w:val="20"/>
          <w:lang w:eastAsia="ar-SA"/>
        </w:rPr>
        <w:t xml:space="preserve">премије </w:t>
      </w:r>
      <w:r w:rsidRPr="00726CBE">
        <w:rPr>
          <w:rFonts w:ascii="Verdana" w:eastAsia="Times New Roman" w:hAnsi="Verdana" w:cs="Tahoma"/>
          <w:noProof/>
          <w:sz w:val="20"/>
          <w:szCs w:val="20"/>
          <w:lang w:val="sr-Cyrl-RS" w:eastAsia="ar-SA"/>
        </w:rPr>
        <w:t xml:space="preserve">утицало је спровођење реосигуравајућег покрића са цедентом Компанија Дунав осигурање по Уговору о реосигурању авио флоте за осигураника AIR SERBIA. </w:t>
      </w:r>
    </w:p>
    <w:p w:rsidR="00A03C95" w:rsidRPr="003471C2" w:rsidRDefault="00A03C95" w:rsidP="00A03C95">
      <w:pPr>
        <w:pStyle w:val="ListParagraph"/>
        <w:numPr>
          <w:ilvl w:val="0"/>
          <w:numId w:val="16"/>
        </w:numPr>
        <w:spacing w:before="120" w:after="120" w:line="240" w:lineRule="auto"/>
        <w:ind w:left="0" w:firstLine="720"/>
        <w:jc w:val="both"/>
        <w:rPr>
          <w:rFonts w:ascii="Verdana" w:eastAsia="Verdana" w:hAnsi="Verdana" w:cs="Times New Roman"/>
          <w:b/>
          <w:sz w:val="20"/>
          <w:szCs w:val="20"/>
        </w:rPr>
      </w:pPr>
      <w:r w:rsidRPr="003471C2">
        <w:rPr>
          <w:rFonts w:ascii="Verdana" w:eastAsia="Verdana" w:hAnsi="Verdana" w:cs="Times New Roman"/>
          <w:b/>
          <w:sz w:val="20"/>
          <w:szCs w:val="20"/>
        </w:rPr>
        <w:t xml:space="preserve">врста 13 </w:t>
      </w:r>
      <w:r w:rsidRPr="003471C2">
        <w:rPr>
          <w:rFonts w:ascii="Verdana" w:eastAsia="Verdana" w:hAnsi="Verdana" w:cs="Times New Roman"/>
          <w:sz w:val="20"/>
          <w:szCs w:val="20"/>
        </w:rPr>
        <w:t>– осигурање од одговорности због употребе ваздухоплова, где пораст активне премије остварене у периоду 01.01.2015 – 31.12.2015. у односу на исти период претходне године износи</w:t>
      </w:r>
      <w:r w:rsidRPr="003471C2">
        <w:rPr>
          <w:rFonts w:ascii="Verdana" w:eastAsia="Verdana" w:hAnsi="Verdana" w:cs="Times New Roman"/>
          <w:sz w:val="20"/>
          <w:szCs w:val="20"/>
          <w:lang w:val="sr-Cyrl-RS"/>
        </w:rPr>
        <w:t xml:space="preserve"> 17.727</w:t>
      </w:r>
      <w:r w:rsidRPr="003471C2">
        <w:rPr>
          <w:rFonts w:ascii="Verdana" w:eastAsia="Verdana" w:hAnsi="Verdana" w:cs="Times New Roman"/>
          <w:sz w:val="20"/>
          <w:szCs w:val="20"/>
        </w:rPr>
        <w:t xml:space="preserve"> хиљада динара, односно 7,0</w:t>
      </w:r>
      <w:r w:rsidRPr="003471C2">
        <w:rPr>
          <w:rFonts w:ascii="Verdana" w:eastAsia="Verdana" w:hAnsi="Verdana" w:cs="Times New Roman"/>
          <w:sz w:val="20"/>
          <w:szCs w:val="20"/>
          <w:lang w:val="sr-Cyrl-RS"/>
        </w:rPr>
        <w:t>9</w:t>
      </w:r>
      <w:r w:rsidRPr="003471C2">
        <w:rPr>
          <w:rFonts w:ascii="Verdana" w:eastAsia="Verdana" w:hAnsi="Verdana" w:cs="Times New Roman"/>
          <w:sz w:val="20"/>
          <w:szCs w:val="20"/>
        </w:rPr>
        <w:t>%</w:t>
      </w:r>
      <w:r w:rsidRPr="003471C2">
        <w:rPr>
          <w:rFonts w:ascii="Verdana" w:eastAsia="Verdana" w:hAnsi="Verdana" w:cs="Times New Roman"/>
          <w:sz w:val="20"/>
          <w:szCs w:val="20"/>
          <w:lang w:val="sr-Cyrl-RS"/>
        </w:rPr>
        <w:t>.</w:t>
      </w:r>
    </w:p>
    <w:p w:rsidR="00A03C95" w:rsidRDefault="00A03C95" w:rsidP="00A03C95">
      <w:pPr>
        <w:spacing w:before="120" w:after="120" w:line="240" w:lineRule="auto"/>
        <w:ind w:firstLine="720"/>
        <w:jc w:val="both"/>
        <w:rPr>
          <w:rFonts w:ascii="Verdana" w:hAnsi="Verdana"/>
          <w:sz w:val="20"/>
          <w:szCs w:val="20"/>
          <w:lang w:val="sr-Cyrl-RS"/>
        </w:rPr>
      </w:pPr>
      <w:r w:rsidRPr="003471C2">
        <w:rPr>
          <w:rFonts w:ascii="Verdana" w:hAnsi="Verdana"/>
          <w:sz w:val="20"/>
          <w:szCs w:val="20"/>
        </w:rPr>
        <w:t xml:space="preserve">На раст премије </w:t>
      </w:r>
      <w:r w:rsidRPr="003471C2">
        <w:rPr>
          <w:rFonts w:ascii="Verdana" w:hAnsi="Verdana"/>
          <w:sz w:val="20"/>
          <w:szCs w:val="20"/>
          <w:lang w:val="sr-Cyrl-RS"/>
        </w:rPr>
        <w:t>су</w:t>
      </w:r>
      <w:r w:rsidRPr="003471C2">
        <w:rPr>
          <w:rFonts w:ascii="Verdana" w:hAnsi="Verdana"/>
          <w:sz w:val="20"/>
          <w:szCs w:val="20"/>
        </w:rPr>
        <w:t xml:space="preserve"> </w:t>
      </w:r>
      <w:r w:rsidRPr="003471C2">
        <w:rPr>
          <w:rFonts w:ascii="Verdana" w:hAnsi="Verdana"/>
          <w:sz w:val="20"/>
          <w:szCs w:val="20"/>
          <w:lang w:val="sr-Cyrl-RS"/>
        </w:rPr>
        <w:t>највише у</w:t>
      </w:r>
      <w:r w:rsidRPr="003471C2">
        <w:rPr>
          <w:rFonts w:ascii="Verdana" w:hAnsi="Verdana"/>
          <w:sz w:val="20"/>
          <w:szCs w:val="20"/>
        </w:rPr>
        <w:t>тицал</w:t>
      </w:r>
      <w:r w:rsidRPr="003471C2">
        <w:rPr>
          <w:rFonts w:ascii="Verdana" w:hAnsi="Verdana"/>
          <w:sz w:val="20"/>
          <w:szCs w:val="20"/>
          <w:lang w:val="sr-Cyrl-RS"/>
        </w:rPr>
        <w:t>и</w:t>
      </w:r>
      <w:r w:rsidRPr="003471C2">
        <w:rPr>
          <w:rFonts w:ascii="Verdana" w:hAnsi="Verdana"/>
          <w:sz w:val="20"/>
          <w:szCs w:val="20"/>
        </w:rPr>
        <w:t xml:space="preserve"> послов</w:t>
      </w:r>
      <w:r w:rsidRPr="003471C2">
        <w:rPr>
          <w:rFonts w:ascii="Verdana" w:hAnsi="Verdana"/>
          <w:sz w:val="20"/>
          <w:szCs w:val="20"/>
          <w:lang w:val="sr-Cyrl-RS"/>
        </w:rPr>
        <w:t>и</w:t>
      </w:r>
      <w:r w:rsidRPr="003471C2">
        <w:rPr>
          <w:rFonts w:ascii="Verdana" w:hAnsi="Verdana"/>
          <w:sz w:val="20"/>
          <w:szCs w:val="20"/>
        </w:rPr>
        <w:t xml:space="preserve"> по </w:t>
      </w:r>
      <w:r w:rsidRPr="003471C2">
        <w:rPr>
          <w:rFonts w:ascii="Verdana" w:hAnsi="Verdana"/>
          <w:sz w:val="20"/>
          <w:szCs w:val="20"/>
          <w:lang w:val="sr-Cyrl-RS"/>
        </w:rPr>
        <w:t>У</w:t>
      </w:r>
      <w:r w:rsidRPr="003471C2">
        <w:rPr>
          <w:rFonts w:ascii="Verdana" w:hAnsi="Verdana"/>
          <w:sz w:val="20"/>
          <w:szCs w:val="20"/>
        </w:rPr>
        <w:t>говор</w:t>
      </w:r>
      <w:r w:rsidRPr="003471C2">
        <w:rPr>
          <w:rFonts w:ascii="Verdana" w:hAnsi="Verdana"/>
          <w:sz w:val="20"/>
          <w:szCs w:val="20"/>
          <w:lang w:val="sr-Cyrl-RS"/>
        </w:rPr>
        <w:t>у</w:t>
      </w:r>
      <w:r w:rsidRPr="003471C2">
        <w:rPr>
          <w:rFonts w:ascii="Verdana" w:hAnsi="Verdana"/>
          <w:sz w:val="20"/>
          <w:szCs w:val="20"/>
        </w:rPr>
        <w:t xml:space="preserve"> о реосигурању ризика осигураних по међународним програмима у портфе</w:t>
      </w:r>
      <w:r w:rsidRPr="003471C2">
        <w:rPr>
          <w:rFonts w:ascii="Verdana" w:hAnsi="Verdana"/>
          <w:sz w:val="20"/>
          <w:szCs w:val="20"/>
          <w:lang w:val="sr-Cyrl-RS"/>
        </w:rPr>
        <w:t>љ</w:t>
      </w:r>
      <w:r w:rsidRPr="003471C2">
        <w:rPr>
          <w:rFonts w:ascii="Verdana" w:hAnsi="Verdana"/>
          <w:sz w:val="20"/>
          <w:szCs w:val="20"/>
        </w:rPr>
        <w:t xml:space="preserve">у Комапаније </w:t>
      </w:r>
      <w:r w:rsidRPr="003471C2">
        <w:rPr>
          <w:rFonts w:ascii="Verdana" w:hAnsi="Verdana"/>
          <w:sz w:val="20"/>
          <w:szCs w:val="20"/>
          <w:lang w:val="sr-Cyrl-RS"/>
        </w:rPr>
        <w:t>Д</w:t>
      </w:r>
      <w:r w:rsidRPr="003471C2">
        <w:rPr>
          <w:rFonts w:ascii="Verdana" w:hAnsi="Verdana"/>
          <w:sz w:val="20"/>
          <w:szCs w:val="20"/>
        </w:rPr>
        <w:t>унав осигурање.</w:t>
      </w:r>
    </w:p>
    <w:p w:rsidR="00A03C95" w:rsidRDefault="00A03C95" w:rsidP="00A03C95">
      <w:pPr>
        <w:spacing w:before="120" w:after="120" w:line="240" w:lineRule="auto"/>
        <w:ind w:firstLine="720"/>
        <w:jc w:val="both"/>
        <w:rPr>
          <w:rFonts w:ascii="Verdana" w:hAnsi="Verdana"/>
          <w:sz w:val="20"/>
          <w:szCs w:val="20"/>
        </w:rPr>
      </w:pPr>
      <w:r w:rsidRPr="00BC58D7">
        <w:rPr>
          <w:rFonts w:ascii="Verdana" w:hAnsi="Verdana"/>
          <w:sz w:val="20"/>
          <w:szCs w:val="20"/>
        </w:rPr>
        <w:t>У наставку су дати табеларни прегледи остварене премије реосигурања по врстама (активно, пасивно и у самопридржају) у периоду од 01.01. до 31.12.2015. године</w:t>
      </w:r>
      <w:r>
        <w:rPr>
          <w:rFonts w:ascii="Verdana" w:hAnsi="Verdana"/>
          <w:sz w:val="20"/>
          <w:szCs w:val="20"/>
        </w:rPr>
        <w:t xml:space="preserve"> </w:t>
      </w:r>
      <w:r w:rsidRPr="00BC58D7">
        <w:rPr>
          <w:rFonts w:ascii="Verdana" w:hAnsi="Verdana"/>
          <w:sz w:val="20"/>
          <w:szCs w:val="20"/>
        </w:rPr>
        <w:t xml:space="preserve">у </w:t>
      </w:r>
      <w:r>
        <w:rPr>
          <w:rFonts w:ascii="Verdana" w:hAnsi="Verdana"/>
          <w:sz w:val="20"/>
          <w:szCs w:val="20"/>
        </w:rPr>
        <w:t>хиљадама динара</w:t>
      </w:r>
      <w:r w:rsidRPr="00BC58D7">
        <w:rPr>
          <w:rFonts w:ascii="Verdana" w:hAnsi="Verdana"/>
          <w:sz w:val="20"/>
          <w:szCs w:val="20"/>
        </w:rPr>
        <w:t>:</w:t>
      </w:r>
      <w:r>
        <w:rPr>
          <w:rFonts w:ascii="Verdana" w:hAnsi="Verdana"/>
          <w:sz w:val="20"/>
          <w:szCs w:val="20"/>
        </w:rPr>
        <w:t xml:space="preserve"> </w:t>
      </w:r>
    </w:p>
    <w:p w:rsidR="00A03C95" w:rsidRDefault="00A03C95" w:rsidP="007367D8">
      <w:pPr>
        <w:spacing w:before="120" w:after="120" w:line="240" w:lineRule="auto"/>
        <w:jc w:val="center"/>
      </w:pPr>
      <w:r w:rsidRPr="003007B8">
        <w:rPr>
          <w:noProof/>
          <w:lang w:val="sr-Latn-RS" w:eastAsia="sr-Latn-RS"/>
        </w:rPr>
        <w:drawing>
          <wp:inline distT="0" distB="0" distL="0" distR="0" wp14:anchorId="03914D52" wp14:editId="784FF510">
            <wp:extent cx="5804453" cy="4274289"/>
            <wp:effectExtent l="0" t="0" r="635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07908" cy="4276833"/>
                    </a:xfrm>
                    <a:prstGeom prst="rect">
                      <a:avLst/>
                    </a:prstGeom>
                    <a:noFill/>
                    <a:ln>
                      <a:noFill/>
                    </a:ln>
                  </pic:spPr>
                </pic:pic>
              </a:graphicData>
            </a:graphic>
          </wp:inline>
        </w:drawing>
      </w:r>
    </w:p>
    <w:p w:rsidR="00A03C95" w:rsidRDefault="00A03C95" w:rsidP="007367D8">
      <w:pPr>
        <w:spacing w:before="120" w:after="120" w:line="240" w:lineRule="auto"/>
        <w:jc w:val="center"/>
      </w:pPr>
      <w:r w:rsidRPr="003007B8">
        <w:rPr>
          <w:noProof/>
          <w:lang w:val="sr-Latn-RS" w:eastAsia="sr-Latn-RS"/>
        </w:rPr>
        <w:drawing>
          <wp:inline distT="0" distB="0" distL="0" distR="0" wp14:anchorId="2E796272" wp14:editId="01C27E2B">
            <wp:extent cx="5804453" cy="4134678"/>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809856" cy="4138527"/>
                    </a:xfrm>
                    <a:prstGeom prst="rect">
                      <a:avLst/>
                    </a:prstGeom>
                    <a:noFill/>
                    <a:ln>
                      <a:noFill/>
                    </a:ln>
                  </pic:spPr>
                </pic:pic>
              </a:graphicData>
            </a:graphic>
          </wp:inline>
        </w:drawing>
      </w:r>
    </w:p>
    <w:p w:rsidR="00A03C95" w:rsidRDefault="00A03C95" w:rsidP="007367D8">
      <w:pPr>
        <w:spacing w:before="120" w:after="120" w:line="240" w:lineRule="auto"/>
        <w:jc w:val="center"/>
        <w:rPr>
          <w:lang w:val="sr-Cyrl-RS"/>
        </w:rPr>
      </w:pPr>
      <w:r w:rsidRPr="003007B8">
        <w:rPr>
          <w:noProof/>
          <w:lang w:val="sr-Latn-RS" w:eastAsia="sr-Latn-RS"/>
        </w:rPr>
        <w:drawing>
          <wp:inline distT="0" distB="0" distL="0" distR="0" wp14:anchorId="1D6EE76E" wp14:editId="42B11618">
            <wp:extent cx="5804453" cy="3816626"/>
            <wp:effectExtent l="0" t="0" r="635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18278" cy="3825716"/>
                    </a:xfrm>
                    <a:prstGeom prst="rect">
                      <a:avLst/>
                    </a:prstGeom>
                    <a:noFill/>
                    <a:ln>
                      <a:noFill/>
                    </a:ln>
                  </pic:spPr>
                </pic:pic>
              </a:graphicData>
            </a:graphic>
          </wp:inline>
        </w:drawing>
      </w:r>
    </w:p>
    <w:p w:rsidR="00A03C95" w:rsidRPr="00280EA1" w:rsidRDefault="00A03C95" w:rsidP="00A03C95">
      <w:pPr>
        <w:spacing w:before="120" w:after="120" w:line="240" w:lineRule="auto"/>
        <w:jc w:val="both"/>
        <w:rPr>
          <w:lang w:val="sr-Cyrl-RS"/>
        </w:rPr>
      </w:pPr>
    </w:p>
    <w:p w:rsidR="00A03C95" w:rsidRPr="00A03C95" w:rsidRDefault="00A03C95" w:rsidP="00A03C95">
      <w:pPr>
        <w:pStyle w:val="ListParagraph"/>
        <w:keepNext/>
        <w:numPr>
          <w:ilvl w:val="2"/>
          <w:numId w:val="43"/>
        </w:numPr>
        <w:suppressAutoHyphens/>
        <w:spacing w:before="240" w:after="240" w:line="240" w:lineRule="auto"/>
        <w:jc w:val="both"/>
        <w:outlineLvl w:val="0"/>
        <w:rPr>
          <w:rFonts w:ascii="Verdana" w:eastAsia="Times New Roman" w:hAnsi="Verdana" w:cs="Tahoma"/>
          <w:b/>
          <w:bCs/>
          <w:i/>
          <w:noProof/>
          <w:sz w:val="20"/>
          <w:szCs w:val="20"/>
          <w:lang w:eastAsia="ar-SA"/>
        </w:rPr>
      </w:pPr>
      <w:bookmarkStart w:id="10" w:name="_Toc445975017"/>
      <w:bookmarkStart w:id="11" w:name="_Toc414610340"/>
      <w:r w:rsidRPr="00A03C95">
        <w:rPr>
          <w:rFonts w:ascii="Verdana" w:eastAsia="Times New Roman" w:hAnsi="Verdana" w:cs="Tahoma"/>
          <w:b/>
          <w:bCs/>
          <w:i/>
          <w:noProof/>
          <w:sz w:val="20"/>
          <w:szCs w:val="20"/>
          <w:lang w:eastAsia="ar-SA"/>
        </w:rPr>
        <w:t>Активна премија Друштва по изворима</w:t>
      </w:r>
      <w:bookmarkEnd w:id="10"/>
    </w:p>
    <w:p w:rsidR="00A03C95" w:rsidRPr="00A57688"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6605D5">
        <w:rPr>
          <w:rFonts w:ascii="Verdana" w:eastAsia="Times New Roman" w:hAnsi="Verdana" w:cs="Tahoma"/>
          <w:noProof/>
          <w:sz w:val="20"/>
          <w:szCs w:val="20"/>
          <w:lang w:eastAsia="ar-SA"/>
        </w:rPr>
        <w:t xml:space="preserve">Активна премија на нивоу Дунав групе (Компанија Дунав осигурање и Дунав осигурање Бања </w:t>
      </w:r>
      <w:r w:rsidRPr="00A57688">
        <w:rPr>
          <w:rFonts w:ascii="Verdana" w:eastAsia="Times New Roman" w:hAnsi="Verdana" w:cs="Tahoma"/>
          <w:noProof/>
          <w:sz w:val="20"/>
          <w:szCs w:val="20"/>
          <w:lang w:eastAsia="ar-SA"/>
        </w:rPr>
        <w:t xml:space="preserve">Лука), износи 1.542.330 хиљаде динара, односно 57,95% укупне активне премије. </w:t>
      </w:r>
      <w:r>
        <w:rPr>
          <w:rFonts w:ascii="Verdana" w:eastAsia="Times New Roman" w:hAnsi="Verdana" w:cs="Tahoma"/>
          <w:noProof/>
          <w:sz w:val="20"/>
          <w:szCs w:val="20"/>
          <w:lang w:val="sr-Cyrl-RS" w:eastAsia="ar-SA"/>
        </w:rPr>
        <w:t xml:space="preserve"> </w:t>
      </w:r>
      <w:r w:rsidRPr="00A57688">
        <w:rPr>
          <w:rFonts w:ascii="Verdana" w:eastAsia="Times New Roman" w:hAnsi="Verdana" w:cs="Tahoma"/>
          <w:noProof/>
          <w:sz w:val="20"/>
          <w:szCs w:val="20"/>
          <w:lang w:eastAsia="ar-SA"/>
        </w:rPr>
        <w:t>Oд тога Компанија Дунав осигурање носи 1.504.536 хиљада динара, односно 56,53%, а Дунав осигурање Бања Лука 37.793 хиљада динара, односно 1,42%.</w:t>
      </w:r>
    </w:p>
    <w:p w:rsidR="00A03C95" w:rsidRPr="00A57688" w:rsidRDefault="00A03C95" w:rsidP="00A03C95">
      <w:pPr>
        <w:spacing w:after="0"/>
        <w:ind w:left="1440" w:right="-142" w:firstLine="720"/>
        <w:jc w:val="both"/>
        <w:rPr>
          <w:rFonts w:ascii="Verdana" w:eastAsia="Verdana" w:hAnsi="Verdana" w:cs="Tahoma"/>
          <w:b/>
          <w:i/>
          <w:noProof/>
          <w:sz w:val="20"/>
          <w:szCs w:val="20"/>
          <w:bdr w:val="none" w:sz="0" w:space="0" w:color="auto" w:frame="1"/>
        </w:rPr>
      </w:pPr>
      <w:r w:rsidRPr="00A57688">
        <w:rPr>
          <w:rFonts w:ascii="Verdana" w:eastAsia="Verdana" w:hAnsi="Verdana" w:cs="Tahoma"/>
          <w:b/>
          <w:i/>
          <w:noProof/>
          <w:sz w:val="20"/>
          <w:szCs w:val="20"/>
          <w:bdr w:val="none" w:sz="0" w:space="0" w:color="auto" w:frame="1"/>
        </w:rPr>
        <w:t>Активна премија по изворима</w:t>
      </w:r>
      <w:r w:rsidRPr="00A57688">
        <w:rPr>
          <w:rFonts w:ascii="Verdana" w:eastAsia="Verdana" w:hAnsi="Verdana" w:cs="Tahoma"/>
          <w:noProof/>
          <w:sz w:val="20"/>
          <w:szCs w:val="20"/>
        </w:rPr>
        <w:t xml:space="preserve"> </w:t>
      </w:r>
      <w:r w:rsidRPr="00A57688">
        <w:rPr>
          <w:rFonts w:ascii="Verdana" w:eastAsia="Verdana" w:hAnsi="Verdana" w:cs="Tahoma"/>
          <w:b/>
          <w:i/>
          <w:noProof/>
          <w:sz w:val="20"/>
          <w:szCs w:val="20"/>
          <w:bdr w:val="none" w:sz="0" w:space="0" w:color="auto" w:frame="1"/>
        </w:rPr>
        <w:t>у хиљадама динара :</w:t>
      </w:r>
    </w:p>
    <w:tbl>
      <w:tblPr>
        <w:tblStyle w:val="MediumList1-Accent11"/>
        <w:tblW w:w="5840" w:type="dxa"/>
        <w:jc w:val="center"/>
        <w:tblLayout w:type="fixed"/>
        <w:tblLook w:val="0420" w:firstRow="1" w:lastRow="0" w:firstColumn="0" w:lastColumn="0" w:noHBand="0" w:noVBand="1"/>
      </w:tblPr>
      <w:tblGrid>
        <w:gridCol w:w="3157"/>
        <w:gridCol w:w="2683"/>
      </w:tblGrid>
      <w:tr w:rsidR="00A03C95" w:rsidRPr="00A57688" w:rsidTr="00F365CC">
        <w:trPr>
          <w:cnfStyle w:val="100000000000" w:firstRow="1" w:lastRow="0" w:firstColumn="0" w:lastColumn="0" w:oddVBand="0" w:evenVBand="0" w:oddHBand="0" w:evenHBand="0" w:firstRowFirstColumn="0" w:firstRowLastColumn="0" w:lastRowFirstColumn="0" w:lastRowLastColumn="0"/>
          <w:trHeight w:val="287"/>
          <w:jc w:val="center"/>
        </w:trPr>
        <w:tc>
          <w:tcPr>
            <w:tcW w:w="3157" w:type="dxa"/>
            <w:vAlign w:val="center"/>
          </w:tcPr>
          <w:p w:rsidR="00A03C95" w:rsidRPr="00A57688" w:rsidRDefault="00A03C95" w:rsidP="00F365CC">
            <w:pPr>
              <w:widowControl w:val="0"/>
              <w:jc w:val="both"/>
              <w:rPr>
                <w:rFonts w:eastAsia="Verdana"/>
                <w:color w:val="auto"/>
              </w:rPr>
            </w:pPr>
          </w:p>
        </w:tc>
        <w:tc>
          <w:tcPr>
            <w:tcW w:w="2683" w:type="dxa"/>
            <w:vAlign w:val="center"/>
          </w:tcPr>
          <w:p w:rsidR="00A03C95" w:rsidRPr="00A57688" w:rsidRDefault="00A03C95" w:rsidP="00F365CC">
            <w:pPr>
              <w:widowControl w:val="0"/>
              <w:ind w:right="-62"/>
              <w:jc w:val="both"/>
              <w:rPr>
                <w:rFonts w:eastAsia="Verdana"/>
                <w:color w:val="auto"/>
                <w:sz w:val="18"/>
                <w:szCs w:val="18"/>
              </w:rPr>
            </w:pPr>
            <w:r w:rsidRPr="00A57688">
              <w:rPr>
                <w:rFonts w:eastAsia="Verdana"/>
                <w:color w:val="auto"/>
                <w:sz w:val="18"/>
                <w:szCs w:val="18"/>
              </w:rPr>
              <w:t>Oстварење</w:t>
            </w:r>
          </w:p>
          <w:p w:rsidR="00A03C95" w:rsidRPr="00A57688" w:rsidRDefault="00A03C95" w:rsidP="00F365CC">
            <w:pPr>
              <w:widowControl w:val="0"/>
              <w:jc w:val="both"/>
              <w:rPr>
                <w:rFonts w:eastAsia="Verdana"/>
                <w:color w:val="auto"/>
                <w:sz w:val="18"/>
                <w:szCs w:val="18"/>
              </w:rPr>
            </w:pPr>
            <w:r w:rsidRPr="00A57688">
              <w:rPr>
                <w:rFonts w:eastAsia="Verdana"/>
                <w:color w:val="auto"/>
                <w:sz w:val="18"/>
                <w:szCs w:val="18"/>
              </w:rPr>
              <w:t>31.12.2015.</w:t>
            </w:r>
          </w:p>
        </w:tc>
      </w:tr>
      <w:tr w:rsidR="00A03C95" w:rsidRPr="00A57688" w:rsidTr="00F365CC">
        <w:trPr>
          <w:cnfStyle w:val="000000100000" w:firstRow="0" w:lastRow="0" w:firstColumn="0" w:lastColumn="0" w:oddVBand="0" w:evenVBand="0" w:oddHBand="1" w:evenHBand="0" w:firstRowFirstColumn="0" w:firstRowLastColumn="0" w:lastRowFirstColumn="0" w:lastRowLastColumn="0"/>
          <w:trHeight w:val="287"/>
          <w:jc w:val="center"/>
        </w:trPr>
        <w:tc>
          <w:tcPr>
            <w:tcW w:w="3157" w:type="dxa"/>
            <w:vAlign w:val="center"/>
          </w:tcPr>
          <w:p w:rsidR="00A03C95" w:rsidRPr="00A57688" w:rsidRDefault="00A03C95" w:rsidP="00F365CC">
            <w:pPr>
              <w:widowControl w:val="0"/>
              <w:jc w:val="both"/>
              <w:rPr>
                <w:rFonts w:ascii="Verdana" w:eastAsia="Verdana" w:hAnsi="Verdana"/>
                <w:color w:val="auto"/>
              </w:rPr>
            </w:pPr>
            <w:r w:rsidRPr="00A57688">
              <w:rPr>
                <w:rFonts w:ascii="Verdana" w:eastAsia="Verdana" w:hAnsi="Verdana"/>
                <w:color w:val="auto"/>
              </w:rPr>
              <w:t>из групе</w:t>
            </w:r>
          </w:p>
        </w:tc>
        <w:tc>
          <w:tcPr>
            <w:tcW w:w="2683" w:type="dxa"/>
            <w:vAlign w:val="center"/>
          </w:tcPr>
          <w:p w:rsidR="00A03C95" w:rsidRPr="00A57688" w:rsidRDefault="00A03C95" w:rsidP="00F365CC">
            <w:pPr>
              <w:jc w:val="both"/>
              <w:rPr>
                <w:rFonts w:ascii="Verdana" w:hAnsi="Verdana"/>
                <w:color w:val="auto"/>
              </w:rPr>
            </w:pPr>
            <w:r w:rsidRPr="00A57688">
              <w:rPr>
                <w:rFonts w:ascii="Verdana" w:hAnsi="Verdana"/>
                <w:color w:val="auto"/>
              </w:rPr>
              <w:t>1.542.330</w:t>
            </w:r>
          </w:p>
        </w:tc>
      </w:tr>
      <w:tr w:rsidR="00A03C95" w:rsidRPr="00A57688" w:rsidTr="00F365CC">
        <w:trPr>
          <w:trHeight w:val="287"/>
          <w:jc w:val="center"/>
        </w:trPr>
        <w:tc>
          <w:tcPr>
            <w:tcW w:w="3157" w:type="dxa"/>
            <w:vAlign w:val="center"/>
          </w:tcPr>
          <w:p w:rsidR="00A03C95" w:rsidRPr="00A57688" w:rsidRDefault="00A03C95" w:rsidP="00F365CC">
            <w:pPr>
              <w:widowControl w:val="0"/>
              <w:jc w:val="both"/>
              <w:rPr>
                <w:rFonts w:ascii="Verdana" w:eastAsia="Verdana" w:hAnsi="Verdana"/>
                <w:color w:val="auto"/>
              </w:rPr>
            </w:pPr>
            <w:r w:rsidRPr="00A57688">
              <w:rPr>
                <w:rFonts w:ascii="Verdana" w:eastAsia="Verdana" w:hAnsi="Verdana"/>
                <w:color w:val="auto"/>
              </w:rPr>
              <w:t>ван групе</w:t>
            </w:r>
          </w:p>
        </w:tc>
        <w:tc>
          <w:tcPr>
            <w:tcW w:w="2683" w:type="dxa"/>
            <w:vAlign w:val="center"/>
          </w:tcPr>
          <w:p w:rsidR="00A03C95" w:rsidRPr="00A57688" w:rsidRDefault="00A03C95" w:rsidP="00F365CC">
            <w:pPr>
              <w:jc w:val="both"/>
              <w:rPr>
                <w:rFonts w:ascii="Verdana" w:hAnsi="Verdana"/>
                <w:color w:val="auto"/>
              </w:rPr>
            </w:pPr>
            <w:r w:rsidRPr="00A57688">
              <w:rPr>
                <w:rFonts w:ascii="Verdana" w:hAnsi="Verdana"/>
                <w:color w:val="auto"/>
              </w:rPr>
              <w:t>1.119.196</w:t>
            </w:r>
          </w:p>
        </w:tc>
      </w:tr>
    </w:tbl>
    <w:p w:rsidR="00A03C95" w:rsidRDefault="00A03C95" w:rsidP="00A03C95">
      <w:pPr>
        <w:spacing w:after="120"/>
        <w:jc w:val="both"/>
        <w:rPr>
          <w:rFonts w:ascii="Verdana" w:eastAsia="Verdana" w:hAnsi="Verdana" w:cs="Tahoma"/>
          <w:noProof/>
          <w:sz w:val="20"/>
          <w:szCs w:val="20"/>
          <w:lang w:val="sr-Cyrl-RS"/>
        </w:rPr>
      </w:pPr>
    </w:p>
    <w:p w:rsidR="00A03C95" w:rsidRPr="00D81C9D"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r>
        <w:rPr>
          <w:rFonts w:ascii="Verdana" w:eastAsia="Times New Roman" w:hAnsi="Verdana" w:cs="Tahoma"/>
          <w:noProof/>
          <w:sz w:val="20"/>
          <w:szCs w:val="20"/>
          <w:lang w:val="sr-Cyrl-RS" w:eastAsia="ar-SA"/>
        </w:rPr>
        <w:t>Раст активне премије на нивоу Дунав групе у односу на претходну годину износи 570.002 хиљада динара, односно 58,62%. Овај п</w:t>
      </w:r>
      <w:r>
        <w:rPr>
          <w:rFonts w:ascii="Verdana" w:eastAsia="Times New Roman" w:hAnsi="Verdana" w:cs="Tahoma"/>
          <w:noProof/>
          <w:sz w:val="20"/>
          <w:szCs w:val="20"/>
          <w:lang w:eastAsia="ar-SA"/>
        </w:rPr>
        <w:t>ораст премије</w:t>
      </w:r>
      <w:r>
        <w:rPr>
          <w:rFonts w:ascii="Verdana" w:eastAsia="Times New Roman" w:hAnsi="Verdana" w:cs="Tahoma"/>
          <w:noProof/>
          <w:sz w:val="20"/>
          <w:szCs w:val="20"/>
          <w:lang w:val="sr-Cyrl-RS" w:eastAsia="ar-SA"/>
        </w:rPr>
        <w:t xml:space="preserve"> на нивоу</w:t>
      </w:r>
      <w:r w:rsidRPr="00362C17">
        <w:rPr>
          <w:rFonts w:ascii="Verdana" w:eastAsia="Times New Roman" w:hAnsi="Verdana" w:cs="Tahoma"/>
          <w:noProof/>
          <w:sz w:val="20"/>
          <w:szCs w:val="20"/>
          <w:lang w:eastAsia="ar-SA"/>
        </w:rPr>
        <w:t xml:space="preserve"> Дунав групе узрокован је првенствено:</w:t>
      </w:r>
    </w:p>
    <w:p w:rsidR="00A03C95" w:rsidRPr="00732702" w:rsidRDefault="00A03C95" w:rsidP="00A03C95">
      <w:pPr>
        <w:pStyle w:val="ListParagraph"/>
        <w:numPr>
          <w:ilvl w:val="0"/>
          <w:numId w:val="18"/>
        </w:numPr>
        <w:spacing w:before="120" w:after="120" w:line="240" w:lineRule="auto"/>
        <w:ind w:left="1418" w:hanging="698"/>
        <w:contextualSpacing w:val="0"/>
        <w:jc w:val="both"/>
        <w:rPr>
          <w:rFonts w:ascii="Verdana" w:eastAsia="Verdana" w:hAnsi="Verdana" w:cs="Tahoma"/>
          <w:noProof/>
          <w:sz w:val="20"/>
          <w:szCs w:val="20"/>
        </w:rPr>
      </w:pPr>
      <w:r w:rsidRPr="00362C17">
        <w:rPr>
          <w:rFonts w:ascii="Verdana" w:eastAsia="Verdana" w:hAnsi="Verdana" w:cs="Tahoma"/>
          <w:noProof/>
          <w:sz w:val="20"/>
          <w:szCs w:val="20"/>
        </w:rPr>
        <w:t xml:space="preserve">реосигуравајућим покрићем Компаније Дунав осигурање за 2015. годину за портфеље заштите самопридржаја за имовинске </w:t>
      </w:r>
      <w:r w:rsidRPr="00732702">
        <w:rPr>
          <w:rFonts w:ascii="Verdana" w:eastAsia="Verdana" w:hAnsi="Verdana" w:cs="Tahoma"/>
          <w:noProof/>
          <w:sz w:val="20"/>
          <w:szCs w:val="20"/>
        </w:rPr>
        <w:t xml:space="preserve">ризике, </w:t>
      </w:r>
    </w:p>
    <w:p w:rsidR="00A03C95" w:rsidRPr="00732702" w:rsidRDefault="00A03C95" w:rsidP="00A03C95">
      <w:pPr>
        <w:pStyle w:val="ListParagraph"/>
        <w:numPr>
          <w:ilvl w:val="0"/>
          <w:numId w:val="18"/>
        </w:numPr>
        <w:spacing w:before="120" w:after="120" w:line="240" w:lineRule="auto"/>
        <w:ind w:left="0" w:firstLine="720"/>
        <w:contextualSpacing w:val="0"/>
        <w:jc w:val="both"/>
        <w:rPr>
          <w:rFonts w:ascii="Verdana" w:eastAsia="Verdana" w:hAnsi="Verdana" w:cs="Tahoma"/>
          <w:noProof/>
          <w:sz w:val="20"/>
          <w:szCs w:val="20"/>
        </w:rPr>
      </w:pPr>
      <w:r w:rsidRPr="00732702">
        <w:rPr>
          <w:rFonts w:ascii="Verdana" w:eastAsia="Verdana" w:hAnsi="Verdana" w:cs="Tahoma"/>
          <w:noProof/>
          <w:sz w:val="20"/>
          <w:szCs w:val="20"/>
        </w:rPr>
        <w:t>уговором о реосигурању имовинских ризика земљотреса,</w:t>
      </w:r>
    </w:p>
    <w:p w:rsidR="00A03C95" w:rsidRPr="00732702" w:rsidRDefault="00A03C95" w:rsidP="00A03C95">
      <w:pPr>
        <w:pStyle w:val="ListParagraph"/>
        <w:numPr>
          <w:ilvl w:val="0"/>
          <w:numId w:val="18"/>
        </w:numPr>
        <w:spacing w:before="120" w:after="120" w:line="240" w:lineRule="auto"/>
        <w:ind w:left="0" w:firstLine="720"/>
        <w:contextualSpacing w:val="0"/>
        <w:jc w:val="both"/>
        <w:rPr>
          <w:rFonts w:ascii="Verdana" w:eastAsia="Verdana" w:hAnsi="Verdana" w:cs="Tahoma"/>
          <w:noProof/>
          <w:sz w:val="20"/>
          <w:szCs w:val="20"/>
        </w:rPr>
      </w:pPr>
      <w:r w:rsidRPr="00732702">
        <w:rPr>
          <w:rFonts w:ascii="Verdana" w:eastAsia="Verdana" w:hAnsi="Verdana" w:cs="Tahoma"/>
          <w:noProof/>
          <w:sz w:val="20"/>
          <w:szCs w:val="20"/>
        </w:rPr>
        <w:t xml:space="preserve">уговором о реосигурању аутоодговорности, </w:t>
      </w:r>
    </w:p>
    <w:p w:rsidR="00A03C95" w:rsidRPr="00732702" w:rsidRDefault="00A03C95" w:rsidP="00A03C95">
      <w:pPr>
        <w:pStyle w:val="ListParagraph"/>
        <w:numPr>
          <w:ilvl w:val="0"/>
          <w:numId w:val="18"/>
        </w:numPr>
        <w:spacing w:before="120" w:after="120" w:line="240" w:lineRule="auto"/>
        <w:ind w:left="0" w:firstLine="720"/>
        <w:contextualSpacing w:val="0"/>
        <w:jc w:val="both"/>
        <w:rPr>
          <w:rFonts w:ascii="Verdana" w:eastAsia="Verdana" w:hAnsi="Verdana" w:cs="Tahoma"/>
          <w:noProof/>
          <w:sz w:val="20"/>
          <w:szCs w:val="20"/>
        </w:rPr>
      </w:pPr>
      <w:r w:rsidRPr="00732702">
        <w:rPr>
          <w:rFonts w:ascii="Verdana" w:eastAsia="Verdana" w:hAnsi="Verdana" w:cs="Tahoma"/>
          <w:noProof/>
          <w:sz w:val="20"/>
          <w:szCs w:val="20"/>
        </w:rPr>
        <w:t>уговором о реосигурању авио флоте – Air Serbia и</w:t>
      </w:r>
    </w:p>
    <w:p w:rsidR="00A03C95" w:rsidRPr="00E24ADF" w:rsidRDefault="00A03C95" w:rsidP="00A03C95">
      <w:pPr>
        <w:pStyle w:val="ListParagraph"/>
        <w:numPr>
          <w:ilvl w:val="0"/>
          <w:numId w:val="18"/>
        </w:numPr>
        <w:spacing w:before="120" w:after="120" w:line="240" w:lineRule="auto"/>
        <w:ind w:left="0" w:firstLine="720"/>
        <w:jc w:val="both"/>
        <w:rPr>
          <w:rFonts w:ascii="Verdana" w:eastAsia="Verdana" w:hAnsi="Verdana" w:cs="Tahoma"/>
          <w:noProof/>
          <w:sz w:val="20"/>
          <w:szCs w:val="20"/>
        </w:rPr>
      </w:pPr>
      <w:r w:rsidRPr="00732702">
        <w:rPr>
          <w:rFonts w:ascii="Verdana" w:eastAsia="Verdana" w:hAnsi="Verdana" w:cs="Tahoma"/>
          <w:noProof/>
          <w:sz w:val="20"/>
          <w:szCs w:val="20"/>
        </w:rPr>
        <w:t>уговором о реосигурању авио одговорности за Контролу летења Сматса</w:t>
      </w:r>
      <w:bookmarkEnd w:id="11"/>
      <w:r>
        <w:rPr>
          <w:rFonts w:ascii="Verdana" w:eastAsia="Verdana" w:hAnsi="Verdana" w:cs="Tahoma"/>
          <w:noProof/>
          <w:sz w:val="20"/>
          <w:szCs w:val="20"/>
        </w:rPr>
        <w:t>.</w:t>
      </w:r>
    </w:p>
    <w:p w:rsidR="00A03C95" w:rsidRDefault="00A03C95" w:rsidP="00A03C95">
      <w:pPr>
        <w:spacing w:before="120" w:after="120" w:line="240" w:lineRule="auto"/>
        <w:jc w:val="both"/>
        <w:rPr>
          <w:rFonts w:ascii="Verdana" w:eastAsia="Verdana" w:hAnsi="Verdana" w:cs="Tahoma"/>
          <w:noProof/>
          <w:sz w:val="20"/>
          <w:szCs w:val="20"/>
          <w:lang w:val="sr-Latn-RS"/>
        </w:rPr>
      </w:pPr>
    </w:p>
    <w:p w:rsidR="00A03C95" w:rsidRPr="00237C13" w:rsidRDefault="00A03C95" w:rsidP="00A03C95">
      <w:pPr>
        <w:pStyle w:val="ListParagraph"/>
        <w:spacing w:before="120" w:after="120" w:line="240" w:lineRule="auto"/>
        <w:jc w:val="both"/>
        <w:rPr>
          <w:rFonts w:ascii="Verdana" w:eastAsia="Verdana" w:hAnsi="Verdana" w:cs="Tahoma"/>
          <w:noProof/>
          <w:sz w:val="20"/>
          <w:szCs w:val="20"/>
          <w:lang w:val="sr-Cyrl-CS"/>
        </w:rPr>
      </w:pPr>
    </w:p>
    <w:p w:rsidR="00A03C95" w:rsidRPr="00A03C95" w:rsidRDefault="00A03C95" w:rsidP="00197947">
      <w:pPr>
        <w:pStyle w:val="ListParagraph"/>
        <w:keepNext/>
        <w:numPr>
          <w:ilvl w:val="1"/>
          <w:numId w:val="43"/>
        </w:numPr>
        <w:suppressAutoHyphens/>
        <w:spacing w:before="240" w:after="240" w:line="240" w:lineRule="auto"/>
        <w:ind w:left="1276" w:hanging="425"/>
        <w:jc w:val="both"/>
        <w:outlineLvl w:val="0"/>
        <w:rPr>
          <w:rFonts w:ascii="Verdana" w:eastAsia="Times New Roman" w:hAnsi="Verdana" w:cs="Tahoma"/>
          <w:b/>
          <w:bCs/>
          <w:noProof/>
          <w:sz w:val="20"/>
          <w:szCs w:val="20"/>
          <w:lang w:eastAsia="ar-SA"/>
        </w:rPr>
      </w:pPr>
      <w:bookmarkStart w:id="12" w:name="_Toc445975018"/>
      <w:r w:rsidRPr="00A03C95">
        <w:rPr>
          <w:rFonts w:ascii="Verdana" w:eastAsia="Times New Roman" w:hAnsi="Verdana" w:cs="Tahoma"/>
          <w:b/>
          <w:bCs/>
          <w:noProof/>
          <w:sz w:val="20"/>
          <w:szCs w:val="20"/>
          <w:lang w:eastAsia="ar-SA"/>
        </w:rPr>
        <w:t xml:space="preserve">Догађаји у периоду 01.01.2015. – 31.12.2015. године значајни за </w:t>
      </w:r>
      <w:r w:rsidR="0046690C">
        <w:rPr>
          <w:rFonts w:ascii="Verdana" w:eastAsia="Times New Roman" w:hAnsi="Verdana" w:cs="Tahoma"/>
          <w:b/>
          <w:bCs/>
          <w:noProof/>
          <w:sz w:val="20"/>
          <w:szCs w:val="20"/>
          <w:lang w:val="sr-Cyrl-RS" w:eastAsia="ar-SA"/>
        </w:rPr>
        <w:t>развој ликвидираних и резервисаних пријављених ш</w:t>
      </w:r>
      <w:r w:rsidRPr="00A03C95">
        <w:rPr>
          <w:rFonts w:ascii="Verdana" w:eastAsia="Times New Roman" w:hAnsi="Verdana" w:cs="Tahoma"/>
          <w:b/>
          <w:bCs/>
          <w:noProof/>
          <w:sz w:val="20"/>
          <w:szCs w:val="20"/>
          <w:lang w:eastAsia="ar-SA"/>
        </w:rPr>
        <w:t>тет</w:t>
      </w:r>
      <w:r w:rsidR="0046690C">
        <w:rPr>
          <w:rFonts w:ascii="Verdana" w:eastAsia="Times New Roman" w:hAnsi="Verdana" w:cs="Tahoma"/>
          <w:b/>
          <w:bCs/>
          <w:noProof/>
          <w:sz w:val="20"/>
          <w:szCs w:val="20"/>
          <w:lang w:val="sr-Cyrl-RS" w:eastAsia="ar-SA"/>
        </w:rPr>
        <w:t>а</w:t>
      </w:r>
      <w:r w:rsidRPr="00A03C95">
        <w:rPr>
          <w:rFonts w:ascii="Verdana" w:eastAsia="Times New Roman" w:hAnsi="Verdana" w:cs="Tahoma"/>
          <w:b/>
          <w:bCs/>
          <w:noProof/>
          <w:sz w:val="20"/>
          <w:szCs w:val="20"/>
          <w:lang w:eastAsia="ar-SA"/>
        </w:rPr>
        <w:t xml:space="preserve"> реосигурања</w:t>
      </w:r>
      <w:bookmarkEnd w:id="12"/>
    </w:p>
    <w:p w:rsidR="00A03C95" w:rsidRPr="006605D5" w:rsidRDefault="00A03C95" w:rsidP="00A03C95">
      <w:pPr>
        <w:pStyle w:val="ListParagraph"/>
        <w:keepNext/>
        <w:suppressAutoHyphens/>
        <w:spacing w:before="240" w:after="240" w:line="240" w:lineRule="auto"/>
        <w:ind w:left="782"/>
        <w:jc w:val="both"/>
        <w:outlineLvl w:val="0"/>
        <w:rPr>
          <w:rFonts w:ascii="Verdana" w:eastAsia="Times New Roman" w:hAnsi="Verdana" w:cs="Tahoma"/>
          <w:b/>
          <w:bCs/>
          <w:noProof/>
          <w:sz w:val="20"/>
          <w:szCs w:val="20"/>
          <w:lang w:eastAsia="ar-SA"/>
        </w:rPr>
      </w:pPr>
    </w:p>
    <w:p w:rsidR="00A03C95" w:rsidRPr="00362C17"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362C17">
        <w:rPr>
          <w:rFonts w:ascii="Verdana" w:eastAsia="Times New Roman" w:hAnsi="Verdana" w:cs="Tahoma"/>
          <w:noProof/>
          <w:sz w:val="20"/>
          <w:szCs w:val="20"/>
          <w:lang w:eastAsia="ar-SA"/>
        </w:rPr>
        <w:t>У периоду 01.01.2015. – 31.12.2015. настала је највећа појединачна штета у последњих 15 година (од поплава 1999 године), проузрокована пожаром у Макишу.</w:t>
      </w:r>
    </w:p>
    <w:p w:rsidR="00A03C95" w:rsidRPr="00362C17"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362C17">
        <w:rPr>
          <w:rFonts w:ascii="Verdana" w:eastAsia="Times New Roman" w:hAnsi="Verdana" w:cs="Tahoma"/>
          <w:noProof/>
          <w:sz w:val="20"/>
          <w:szCs w:val="20"/>
          <w:lang w:eastAsia="ar-SA"/>
        </w:rPr>
        <w:t>Евидентиране су ликвидиране и резервисане штете проузроковане поплавама у мају месецу 2014. године.</w:t>
      </w:r>
    </w:p>
    <w:p w:rsidR="00A03C95" w:rsidRPr="00362C17"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362C17">
        <w:rPr>
          <w:rFonts w:ascii="Verdana" w:eastAsia="Times New Roman" w:hAnsi="Verdana" w:cs="Tahoma"/>
          <w:noProof/>
          <w:sz w:val="20"/>
          <w:szCs w:val="20"/>
          <w:lang w:eastAsia="ar-SA"/>
        </w:rPr>
        <w:t>Реактивирана је штета цедента Дунав осигурање за осигураника Комерцијалне банке према осигурању одговорности.</w:t>
      </w:r>
    </w:p>
    <w:p w:rsidR="00A03C95" w:rsidRPr="00E24ADF"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E24ADF">
        <w:rPr>
          <w:rFonts w:ascii="Verdana" w:eastAsia="Times New Roman" w:hAnsi="Verdana" w:cs="Tahoma"/>
          <w:noProof/>
          <w:sz w:val="20"/>
          <w:szCs w:val="20"/>
          <w:lang w:eastAsia="ar-SA"/>
        </w:rPr>
        <w:t xml:space="preserve">Штета цедента Midland Insurance Co. која је била резевисана на дан </w:t>
      </w:r>
      <w:r w:rsidRPr="00E24ADF">
        <w:rPr>
          <w:rFonts w:ascii="Verdana" w:eastAsia="Times New Roman" w:hAnsi="Verdana" w:cs="Tahoma"/>
          <w:noProof/>
          <w:sz w:val="20"/>
          <w:szCs w:val="20"/>
          <w:lang w:val="sr-Cyrl-CS" w:eastAsia="ar-SA"/>
        </w:rPr>
        <w:t>31.12.2014. године на износ од 51.039</w:t>
      </w:r>
      <w:r w:rsidRPr="00E24ADF">
        <w:rPr>
          <w:rFonts w:ascii="Verdana" w:eastAsia="Times New Roman" w:hAnsi="Verdana" w:cs="Tahoma"/>
          <w:noProof/>
          <w:sz w:val="20"/>
          <w:szCs w:val="20"/>
          <w:lang w:eastAsia="ar-SA"/>
        </w:rPr>
        <w:t xml:space="preserve"> хиљада динара није више у резервацији у књигама друштва. </w:t>
      </w:r>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E2797D">
        <w:rPr>
          <w:rFonts w:ascii="Verdana" w:eastAsia="Times New Roman" w:hAnsi="Verdana" w:cs="Tahoma"/>
          <w:noProof/>
          <w:sz w:val="20"/>
          <w:szCs w:val="20"/>
          <w:lang w:eastAsia="ar-SA"/>
        </w:rPr>
        <w:t>На дан 31.12.2015. резервисане су штете у спору у износу 243.456 хиљада динара.</w:t>
      </w:r>
    </w:p>
    <w:p w:rsidR="00860C32" w:rsidRDefault="00860C32" w:rsidP="00A03C95">
      <w:pPr>
        <w:spacing w:before="120" w:after="120" w:line="240" w:lineRule="auto"/>
        <w:ind w:firstLine="720"/>
        <w:jc w:val="both"/>
        <w:rPr>
          <w:rFonts w:ascii="Verdana" w:eastAsia="Times New Roman" w:hAnsi="Verdana" w:cs="Tahoma"/>
          <w:noProof/>
          <w:sz w:val="20"/>
          <w:szCs w:val="20"/>
          <w:lang w:val="sr-Cyrl-RS" w:eastAsia="ar-SA"/>
        </w:rPr>
      </w:pPr>
    </w:p>
    <w:p w:rsidR="00A03C95" w:rsidRPr="00197947" w:rsidRDefault="00A03C95" w:rsidP="00197947">
      <w:pPr>
        <w:pStyle w:val="ListParagraph"/>
        <w:keepNext/>
        <w:numPr>
          <w:ilvl w:val="2"/>
          <w:numId w:val="43"/>
        </w:numPr>
        <w:suppressAutoHyphens/>
        <w:spacing w:before="240" w:after="240" w:line="240" w:lineRule="auto"/>
        <w:jc w:val="both"/>
        <w:outlineLvl w:val="0"/>
        <w:rPr>
          <w:rFonts w:ascii="Verdana" w:eastAsia="Times New Roman" w:hAnsi="Verdana" w:cs="Tahoma"/>
          <w:b/>
          <w:bCs/>
          <w:i/>
          <w:noProof/>
          <w:sz w:val="20"/>
          <w:szCs w:val="20"/>
          <w:lang w:eastAsia="ar-SA"/>
        </w:rPr>
      </w:pPr>
      <w:bookmarkStart w:id="13" w:name="_Toc445975019"/>
      <w:r w:rsidRPr="00197947">
        <w:rPr>
          <w:rFonts w:ascii="Verdana" w:eastAsia="Times New Roman" w:hAnsi="Verdana" w:cs="Tahoma"/>
          <w:b/>
          <w:bCs/>
          <w:i/>
          <w:noProof/>
          <w:sz w:val="20"/>
          <w:szCs w:val="20"/>
          <w:lang w:eastAsia="ar-SA"/>
        </w:rPr>
        <w:t>Ликвидиране штете реос</w:t>
      </w:r>
      <w:r w:rsidR="00197947" w:rsidRPr="00197947">
        <w:rPr>
          <w:rFonts w:ascii="Verdana" w:eastAsia="Times New Roman" w:hAnsi="Verdana" w:cs="Tahoma"/>
          <w:b/>
          <w:bCs/>
          <w:i/>
          <w:noProof/>
          <w:sz w:val="20"/>
          <w:szCs w:val="20"/>
          <w:lang w:eastAsia="ar-SA"/>
        </w:rPr>
        <w:t xml:space="preserve">игурања у периоду 01.01.2015. –  </w:t>
      </w:r>
      <w:r w:rsidRPr="00197947">
        <w:rPr>
          <w:rFonts w:ascii="Verdana" w:eastAsia="Times New Roman" w:hAnsi="Verdana" w:cs="Tahoma"/>
          <w:b/>
          <w:bCs/>
          <w:i/>
          <w:noProof/>
          <w:sz w:val="20"/>
          <w:szCs w:val="20"/>
          <w:lang w:eastAsia="ar-SA"/>
        </w:rPr>
        <w:t>31.12.2015. године</w:t>
      </w:r>
      <w:bookmarkEnd w:id="13"/>
    </w:p>
    <w:p w:rsidR="00A03C95" w:rsidRPr="008D2C92"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bookmarkStart w:id="14" w:name="_Toc414610341"/>
      <w:r w:rsidRPr="00362C17">
        <w:rPr>
          <w:rFonts w:ascii="Verdana" w:eastAsia="Times New Roman" w:hAnsi="Verdana" w:cs="Tahoma"/>
          <w:noProof/>
          <w:sz w:val="20"/>
          <w:szCs w:val="20"/>
          <w:lang w:eastAsia="ar-SA"/>
        </w:rPr>
        <w:t>Укупно ликвидиране штете по активном послу у периоду 01.01.2015 – 31.12.2015. године износе 2.662.768  и веће су за 245,67% у односу на ликвидиране штете истог периода 2014. године, док су у односу на планиране вредности веће за 227,96%.</w:t>
      </w:r>
    </w:p>
    <w:p w:rsidR="00A03C95" w:rsidRPr="008D2C92"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362C17">
        <w:rPr>
          <w:rFonts w:ascii="Verdana" w:eastAsia="Times New Roman" w:hAnsi="Verdana" w:cs="Tahoma"/>
          <w:noProof/>
          <w:sz w:val="20"/>
          <w:szCs w:val="20"/>
          <w:lang w:eastAsia="ar-SA"/>
        </w:rPr>
        <w:t xml:space="preserve">Укупно ликвидиране пасивне </w:t>
      </w:r>
      <w:r w:rsidR="0046690C">
        <w:rPr>
          <w:rFonts w:ascii="Verdana" w:eastAsia="Times New Roman" w:hAnsi="Verdana" w:cs="Tahoma"/>
          <w:noProof/>
          <w:sz w:val="20"/>
          <w:szCs w:val="20"/>
          <w:lang w:val="sr-Cyrl-RS" w:eastAsia="ar-SA"/>
        </w:rPr>
        <w:t xml:space="preserve">штете </w:t>
      </w:r>
      <w:r w:rsidRPr="00362C17">
        <w:rPr>
          <w:rFonts w:ascii="Verdana" w:eastAsia="Times New Roman" w:hAnsi="Verdana" w:cs="Tahoma"/>
          <w:noProof/>
          <w:sz w:val="20"/>
          <w:szCs w:val="20"/>
          <w:lang w:eastAsia="ar-SA"/>
        </w:rPr>
        <w:t>у периоду 01.01.2015 – 31.12.2015. године износe 2.338.581 хиљадu динара и веће су за 416,37% у односу на исти период претходне године, док су у односу на планиране вредности веће за 365,93%.</w:t>
      </w:r>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Ликвидиране штете у самопридржају остварене у периоду 01.01.2015 – 31.12.2015. године износе 324.187 хиљада динара и веће су за 2,13% у односу на исти период претходне године, док су у односу на планиране вредности веће за 4,58%.</w:t>
      </w:r>
    </w:p>
    <w:p w:rsidR="00A03C95" w:rsidRPr="00BA07AB" w:rsidRDefault="00A03C95" w:rsidP="00A03C95">
      <w:pPr>
        <w:spacing w:before="120" w:after="120" w:line="240" w:lineRule="auto"/>
        <w:ind w:firstLine="720"/>
        <w:jc w:val="both"/>
        <w:rPr>
          <w:rFonts w:ascii="Verdana" w:eastAsia="Times New Roman" w:hAnsi="Verdana" w:cs="Tahoma"/>
          <w:noProof/>
          <w:sz w:val="20"/>
          <w:szCs w:val="20"/>
          <w:lang w:eastAsia="ar-SA"/>
        </w:rPr>
      </w:pPr>
    </w:p>
    <w:p w:rsidR="00A03C95" w:rsidRDefault="00A03C95" w:rsidP="007367D8">
      <w:pPr>
        <w:spacing w:before="120" w:after="120" w:line="240" w:lineRule="auto"/>
        <w:jc w:val="center"/>
        <w:rPr>
          <w:rFonts w:ascii="Verdana" w:eastAsia="Times New Roman" w:hAnsi="Verdana" w:cs="Tahoma"/>
          <w:noProof/>
          <w:sz w:val="20"/>
          <w:szCs w:val="20"/>
          <w:lang w:val="sr-Latn-RS" w:eastAsia="ar-SA"/>
        </w:rPr>
      </w:pPr>
      <w:r>
        <w:rPr>
          <w:rFonts w:ascii="Verdana" w:eastAsia="Times New Roman" w:hAnsi="Verdana" w:cs="Tahoma"/>
          <w:noProof/>
          <w:sz w:val="20"/>
          <w:szCs w:val="20"/>
          <w:lang w:val="sr-Latn-RS" w:eastAsia="sr-Latn-RS"/>
        </w:rPr>
        <w:drawing>
          <wp:inline distT="0" distB="0" distL="0" distR="0" wp14:anchorId="1EA96ADE" wp14:editId="64757973">
            <wp:extent cx="5565913" cy="2751151"/>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75522" cy="2755900"/>
                    </a:xfrm>
                    <a:prstGeom prst="rect">
                      <a:avLst/>
                    </a:prstGeom>
                    <a:noFill/>
                  </pic:spPr>
                </pic:pic>
              </a:graphicData>
            </a:graphic>
          </wp:inline>
        </w:drawing>
      </w:r>
    </w:p>
    <w:p w:rsidR="00A03C95" w:rsidRPr="00544BAC" w:rsidRDefault="00A03C95" w:rsidP="00A03C95">
      <w:pPr>
        <w:spacing w:after="0"/>
        <w:jc w:val="center"/>
        <w:rPr>
          <w:rFonts w:ascii="Verdana" w:hAnsi="Verdana"/>
          <w:noProof/>
          <w:sz w:val="20"/>
          <w:szCs w:val="20"/>
        </w:rPr>
      </w:pPr>
    </w:p>
    <w:p w:rsidR="00A03C95" w:rsidRPr="00A03C95" w:rsidRDefault="00A03C95" w:rsidP="00A03C95">
      <w:pPr>
        <w:pStyle w:val="ListParagraph"/>
        <w:keepNext/>
        <w:numPr>
          <w:ilvl w:val="2"/>
          <w:numId w:val="43"/>
        </w:numPr>
        <w:suppressAutoHyphens/>
        <w:spacing w:before="240" w:after="240" w:line="240" w:lineRule="auto"/>
        <w:jc w:val="both"/>
        <w:outlineLvl w:val="0"/>
        <w:rPr>
          <w:rFonts w:ascii="Verdana" w:eastAsia="Times New Roman" w:hAnsi="Verdana" w:cs="Tahoma"/>
          <w:b/>
          <w:bCs/>
          <w:i/>
          <w:noProof/>
          <w:sz w:val="20"/>
          <w:szCs w:val="20"/>
          <w:lang w:eastAsia="ar-SA"/>
        </w:rPr>
      </w:pPr>
      <w:bookmarkStart w:id="15" w:name="_Toc445975020"/>
      <w:r w:rsidRPr="00A03C95">
        <w:rPr>
          <w:rFonts w:ascii="Verdana" w:eastAsia="Times New Roman" w:hAnsi="Verdana" w:cs="Tahoma"/>
          <w:b/>
          <w:bCs/>
          <w:i/>
          <w:noProof/>
          <w:sz w:val="20"/>
          <w:szCs w:val="20"/>
          <w:lang w:eastAsia="ar-SA"/>
        </w:rPr>
        <w:t>Ликвидиране штете реосигурања у периоду 01.01.2015. – 31.12.2015. године по врстама реосигурања</w:t>
      </w:r>
      <w:bookmarkEnd w:id="15"/>
    </w:p>
    <w:p w:rsidR="00A03C95" w:rsidRPr="005B4B72" w:rsidRDefault="00A03C95" w:rsidP="00A03C95">
      <w:pPr>
        <w:pStyle w:val="ListParagraph"/>
        <w:keepNext/>
        <w:suppressAutoHyphens/>
        <w:spacing w:before="240" w:after="240" w:line="240" w:lineRule="auto"/>
        <w:ind w:left="1134"/>
        <w:jc w:val="both"/>
        <w:outlineLvl w:val="0"/>
        <w:rPr>
          <w:rFonts w:ascii="Verdana" w:eastAsia="Times New Roman" w:hAnsi="Verdana" w:cs="Tahoma"/>
          <w:b/>
          <w:bCs/>
          <w:i/>
          <w:noProof/>
          <w:sz w:val="20"/>
          <w:szCs w:val="20"/>
          <w:lang w:val="sr-Cyrl-CS" w:eastAsia="ar-SA"/>
        </w:rPr>
      </w:pPr>
    </w:p>
    <w:p w:rsidR="00A03C95" w:rsidRPr="00EE316A"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Pr>
          <w:rFonts w:ascii="Verdana" w:eastAsia="Times New Roman" w:hAnsi="Verdana" w:cs="Tahoma"/>
          <w:noProof/>
          <w:sz w:val="20"/>
          <w:szCs w:val="20"/>
          <w:lang w:eastAsia="ar-SA"/>
        </w:rPr>
        <w:t>Најзначајније промене у</w:t>
      </w:r>
      <w:r>
        <w:rPr>
          <w:rFonts w:ascii="Verdana" w:eastAsia="Times New Roman" w:hAnsi="Verdana" w:cs="Tahoma"/>
          <w:noProof/>
          <w:sz w:val="20"/>
          <w:szCs w:val="20"/>
          <w:lang w:val="sr-Cyrl-RS" w:eastAsia="ar-SA"/>
        </w:rPr>
        <w:t xml:space="preserve"> </w:t>
      </w:r>
      <w:r>
        <w:rPr>
          <w:rFonts w:ascii="Verdana" w:eastAsia="Times New Roman" w:hAnsi="Verdana" w:cs="Tahoma"/>
          <w:noProof/>
          <w:sz w:val="20"/>
          <w:szCs w:val="20"/>
          <w:lang w:eastAsia="ar-SA"/>
        </w:rPr>
        <w:t>штет</w:t>
      </w:r>
      <w:r>
        <w:rPr>
          <w:rFonts w:ascii="Verdana" w:eastAsia="Times New Roman" w:hAnsi="Verdana" w:cs="Tahoma"/>
          <w:noProof/>
          <w:sz w:val="20"/>
          <w:szCs w:val="20"/>
          <w:lang w:val="sr-Cyrl-RS" w:eastAsia="ar-SA"/>
        </w:rPr>
        <w:t>ама</w:t>
      </w:r>
      <w:r>
        <w:rPr>
          <w:rFonts w:ascii="Verdana" w:eastAsia="Times New Roman" w:hAnsi="Verdana" w:cs="Tahoma"/>
          <w:noProof/>
          <w:sz w:val="20"/>
          <w:szCs w:val="20"/>
          <w:lang w:eastAsia="ar-SA"/>
        </w:rPr>
        <w:t xml:space="preserve"> реосигурањ</w:t>
      </w:r>
      <w:r>
        <w:rPr>
          <w:rFonts w:ascii="Verdana" w:eastAsia="Times New Roman" w:hAnsi="Verdana" w:cs="Tahoma"/>
          <w:noProof/>
          <w:sz w:val="20"/>
          <w:szCs w:val="20"/>
          <w:lang w:val="sr-Cyrl-RS" w:eastAsia="ar-SA"/>
        </w:rPr>
        <w:t>а, ликвидирани</w:t>
      </w:r>
      <w:r w:rsidR="00B44CA4">
        <w:rPr>
          <w:rFonts w:ascii="Verdana" w:eastAsia="Times New Roman" w:hAnsi="Verdana" w:cs="Tahoma"/>
          <w:noProof/>
          <w:sz w:val="20"/>
          <w:szCs w:val="20"/>
          <w:lang w:val="sr-Cyrl-RS" w:eastAsia="ar-SA"/>
        </w:rPr>
        <w:t>м</w:t>
      </w:r>
      <w:r>
        <w:rPr>
          <w:rFonts w:ascii="Verdana" w:eastAsia="Times New Roman" w:hAnsi="Verdana" w:cs="Tahoma"/>
          <w:noProof/>
          <w:sz w:val="20"/>
          <w:szCs w:val="20"/>
          <w:lang w:val="sr-Cyrl-RS" w:eastAsia="ar-SA"/>
        </w:rPr>
        <w:t xml:space="preserve"> </w:t>
      </w:r>
      <w:r w:rsidRPr="005A70CA">
        <w:rPr>
          <w:rFonts w:ascii="Verdana" w:eastAsia="Times New Roman" w:hAnsi="Verdana" w:cs="Tahoma"/>
          <w:noProof/>
          <w:sz w:val="20"/>
          <w:szCs w:val="20"/>
          <w:lang w:eastAsia="ar-SA"/>
        </w:rPr>
        <w:t>у периоду од 01.01.2015. до 31.12.2015. године</w:t>
      </w:r>
      <w:r>
        <w:rPr>
          <w:rFonts w:ascii="Verdana" w:eastAsia="Times New Roman" w:hAnsi="Verdana" w:cs="Tahoma"/>
          <w:noProof/>
          <w:sz w:val="20"/>
          <w:szCs w:val="20"/>
          <w:lang w:val="sr-Cyrl-RS" w:eastAsia="ar-SA"/>
        </w:rPr>
        <w:t xml:space="preserve">, </w:t>
      </w:r>
      <w:r w:rsidRPr="005A70CA">
        <w:rPr>
          <w:rFonts w:ascii="Verdana" w:eastAsia="Times New Roman" w:hAnsi="Verdana" w:cs="Tahoma"/>
          <w:noProof/>
          <w:sz w:val="20"/>
          <w:szCs w:val="20"/>
          <w:lang w:eastAsia="ar-SA"/>
        </w:rPr>
        <w:t>забележене</w:t>
      </w:r>
      <w:r>
        <w:rPr>
          <w:rFonts w:ascii="Verdana" w:eastAsia="Times New Roman" w:hAnsi="Verdana" w:cs="Tahoma"/>
          <w:noProof/>
          <w:sz w:val="20"/>
          <w:szCs w:val="20"/>
          <w:lang w:val="sr-Cyrl-RS" w:eastAsia="ar-SA"/>
        </w:rPr>
        <w:t xml:space="preserve"> су</w:t>
      </w:r>
      <w:r w:rsidRPr="005A70CA">
        <w:rPr>
          <w:rFonts w:ascii="Verdana" w:eastAsia="Times New Roman" w:hAnsi="Verdana" w:cs="Tahoma"/>
          <w:noProof/>
          <w:sz w:val="20"/>
          <w:szCs w:val="20"/>
          <w:lang w:eastAsia="ar-SA"/>
        </w:rPr>
        <w:t xml:space="preserve"> у следећим врстама реосигурања:</w:t>
      </w:r>
    </w:p>
    <w:p w:rsidR="00A03C95" w:rsidRPr="002C560A" w:rsidRDefault="00A03C95" w:rsidP="00A03C95">
      <w:pPr>
        <w:numPr>
          <w:ilvl w:val="0"/>
          <w:numId w:val="12"/>
        </w:numPr>
        <w:tabs>
          <w:tab w:val="left" w:pos="1134"/>
        </w:tabs>
        <w:spacing w:before="120" w:after="120" w:line="240" w:lineRule="auto"/>
        <w:ind w:left="0" w:firstLine="720"/>
        <w:jc w:val="both"/>
        <w:rPr>
          <w:rFonts w:ascii="Verdana" w:eastAsia="Verdana" w:hAnsi="Verdana" w:cs="Times New Roman"/>
          <w:sz w:val="20"/>
          <w:szCs w:val="20"/>
        </w:rPr>
      </w:pPr>
      <w:r w:rsidRPr="006C39BF">
        <w:rPr>
          <w:rFonts w:ascii="Verdana" w:eastAsia="Verdana" w:hAnsi="Verdana" w:cs="Times New Roman"/>
          <w:b/>
          <w:sz w:val="20"/>
          <w:szCs w:val="20"/>
        </w:rPr>
        <w:t>в</w:t>
      </w:r>
      <w:r w:rsidRPr="005A70CA">
        <w:rPr>
          <w:rFonts w:ascii="Verdana" w:eastAsia="Verdana" w:hAnsi="Verdana" w:cs="Times New Roman"/>
          <w:b/>
          <w:sz w:val="20"/>
          <w:szCs w:val="20"/>
        </w:rPr>
        <w:t>рста 07</w:t>
      </w:r>
      <w:r w:rsidRPr="005A70CA">
        <w:rPr>
          <w:rFonts w:ascii="Verdana" w:eastAsia="Verdana" w:hAnsi="Verdana" w:cs="Times New Roman"/>
          <w:sz w:val="20"/>
          <w:szCs w:val="20"/>
        </w:rPr>
        <w:t xml:space="preserve"> – осигурање робе у транспорту, где пад ликвидираних штета реосигурања у односу на исти период прошле године износи 61.907 хиљада динара, односно 85,02% због ликвидације штете цедента Energoprojekt Garant по Уговору о факултативном реосигурању карго ризика за осигураника Energo Nigeria у </w:t>
      </w:r>
      <w:r w:rsidRPr="006605D5">
        <w:rPr>
          <w:rFonts w:ascii="Verdana" w:eastAsia="Verdana" w:hAnsi="Verdana" w:cs="Times New Roman"/>
          <w:sz w:val="20"/>
          <w:szCs w:val="20"/>
        </w:rPr>
        <w:t xml:space="preserve">износу активно </w:t>
      </w:r>
      <w:r w:rsidRPr="00E2797D">
        <w:rPr>
          <w:rFonts w:ascii="Verdana" w:eastAsia="Verdana" w:hAnsi="Verdana" w:cs="Times New Roman"/>
          <w:sz w:val="20"/>
          <w:szCs w:val="20"/>
        </w:rPr>
        <w:t>65.330 хиљада динара.</w:t>
      </w:r>
    </w:p>
    <w:p w:rsidR="00A03C95" w:rsidRPr="002C560A" w:rsidRDefault="00A03C95" w:rsidP="00A03C95">
      <w:pPr>
        <w:numPr>
          <w:ilvl w:val="0"/>
          <w:numId w:val="12"/>
        </w:numPr>
        <w:tabs>
          <w:tab w:val="left" w:pos="1134"/>
        </w:tabs>
        <w:spacing w:before="120" w:after="120" w:line="240" w:lineRule="auto"/>
        <w:ind w:left="0" w:firstLine="720"/>
        <w:jc w:val="both"/>
        <w:rPr>
          <w:rFonts w:ascii="Verdana" w:eastAsia="Verdana" w:hAnsi="Verdana" w:cs="Times New Roman"/>
          <w:sz w:val="20"/>
          <w:szCs w:val="20"/>
        </w:rPr>
      </w:pPr>
      <w:r w:rsidRPr="005A70CA">
        <w:rPr>
          <w:rFonts w:ascii="Verdana" w:eastAsia="Verdana" w:hAnsi="Verdana" w:cs="Times New Roman"/>
          <w:b/>
          <w:sz w:val="20"/>
          <w:szCs w:val="20"/>
        </w:rPr>
        <w:t>врста 08</w:t>
      </w:r>
      <w:r w:rsidRPr="005A70CA">
        <w:rPr>
          <w:rFonts w:ascii="Verdana" w:eastAsia="Verdana" w:hAnsi="Verdana" w:cs="Times New Roman"/>
          <w:sz w:val="20"/>
          <w:szCs w:val="20"/>
        </w:rPr>
        <w:t xml:space="preserve"> – осигурање имовине од пожара и других опасности, где пораст ликвидираних штета реосигурања у односу на исти период прошле године износи 2.061.957 хиљада динара, односно 812,98%.</w:t>
      </w:r>
    </w:p>
    <w:p w:rsidR="00A03C95" w:rsidRPr="005A70CA" w:rsidRDefault="00A03C95" w:rsidP="00A03C95">
      <w:pPr>
        <w:pStyle w:val="ListParagraph"/>
        <w:numPr>
          <w:ilvl w:val="0"/>
          <w:numId w:val="19"/>
        </w:numPr>
        <w:spacing w:before="120" w:after="120" w:line="240" w:lineRule="auto"/>
        <w:ind w:left="0" w:firstLine="720"/>
        <w:contextualSpacing w:val="0"/>
        <w:jc w:val="both"/>
        <w:rPr>
          <w:rFonts w:ascii="Verdana" w:eastAsia="Times New Roman" w:hAnsi="Verdana" w:cs="Tahoma"/>
          <w:bCs/>
          <w:noProof/>
          <w:sz w:val="20"/>
          <w:szCs w:val="20"/>
          <w:lang w:eastAsia="ar-SA"/>
        </w:rPr>
      </w:pPr>
      <w:r w:rsidRPr="005A70CA">
        <w:rPr>
          <w:rFonts w:ascii="Verdana" w:eastAsia="Times New Roman" w:hAnsi="Verdana" w:cs="Tahoma"/>
          <w:bCs/>
          <w:noProof/>
          <w:sz w:val="20"/>
          <w:szCs w:val="20"/>
          <w:lang w:eastAsia="ar-SA"/>
        </w:rPr>
        <w:t>Штете проузроковане пожаром у Макишу :</w:t>
      </w:r>
    </w:p>
    <w:p w:rsidR="00A03C95" w:rsidRPr="005A70CA"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 xml:space="preserve">Највећи утицај на пораст износа ликвидираних активних штета на дан 31.12.2015. године у односу на 31.12.2014. године имала је ликвидација штета које су проузроковане пожаром у Макишу. </w:t>
      </w:r>
    </w:p>
    <w:p w:rsidR="00A03C95" w:rsidRDefault="00A03C95" w:rsidP="00A03C95">
      <w:pPr>
        <w:spacing w:after="0" w:line="240" w:lineRule="auto"/>
        <w:ind w:firstLine="720"/>
        <w:jc w:val="both"/>
        <w:rPr>
          <w:rFonts w:ascii="Verdana" w:eastAsia="Times New Roman" w:hAnsi="Verdana" w:cs="Tahoma"/>
          <w:noProof/>
          <w:sz w:val="20"/>
          <w:szCs w:val="20"/>
          <w:lang w:val="sr-Cyrl-RS" w:eastAsia="ar-SA"/>
        </w:rPr>
      </w:pPr>
      <w:r w:rsidRPr="005A70CA">
        <w:rPr>
          <w:rFonts w:ascii="Verdana" w:eastAsia="Times New Roman" w:hAnsi="Verdana" w:cs="Tahoma"/>
          <w:noProof/>
          <w:sz w:val="20"/>
          <w:szCs w:val="20"/>
          <w:lang w:eastAsia="ar-SA"/>
        </w:rPr>
        <w:t>Овај штетни догађај активирао је следеће уговоре о реосигурању:</w:t>
      </w:r>
    </w:p>
    <w:p w:rsidR="00A03C95" w:rsidRPr="002C560A" w:rsidRDefault="00A03C95" w:rsidP="00A03C95">
      <w:pPr>
        <w:spacing w:after="0" w:line="240" w:lineRule="auto"/>
        <w:ind w:firstLine="720"/>
        <w:jc w:val="both"/>
        <w:rPr>
          <w:rFonts w:ascii="Verdana" w:eastAsia="Times New Roman" w:hAnsi="Verdana" w:cs="Tahoma"/>
          <w:noProof/>
          <w:sz w:val="20"/>
          <w:szCs w:val="20"/>
          <w:lang w:val="sr-Cyrl-RS" w:eastAsia="ar-SA"/>
        </w:rPr>
      </w:pPr>
    </w:p>
    <w:p w:rsidR="00A03C95" w:rsidRPr="005A70CA" w:rsidRDefault="00A03C95" w:rsidP="00A03C95">
      <w:pPr>
        <w:spacing w:after="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 xml:space="preserve">1. ексцедентно реосигурање имовинских </w:t>
      </w:r>
      <w:r>
        <w:rPr>
          <w:rFonts w:ascii="Verdana" w:eastAsia="Times New Roman" w:hAnsi="Verdana" w:cs="Tahoma"/>
          <w:noProof/>
          <w:sz w:val="20"/>
          <w:szCs w:val="20"/>
          <w:lang w:eastAsia="ar-SA"/>
        </w:rPr>
        <w:t>ризика цедента Дунав Осигурање,</w:t>
      </w:r>
    </w:p>
    <w:p w:rsidR="00A03C95" w:rsidRPr="005A70CA" w:rsidRDefault="00A03C95" w:rsidP="00A03C95">
      <w:pPr>
        <w:spacing w:after="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2. непропорционалну заштиту самопридржаја Компаније Дунав осигурање,</w:t>
      </w:r>
    </w:p>
    <w:p w:rsidR="00A03C95" w:rsidRPr="005A70CA" w:rsidRDefault="00A03C95" w:rsidP="00A03C95">
      <w:pPr>
        <w:spacing w:after="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3. пропорционалну за</w:t>
      </w:r>
      <w:r>
        <w:rPr>
          <w:rFonts w:ascii="Verdana" w:eastAsia="Times New Roman" w:hAnsi="Verdana" w:cs="Tahoma"/>
          <w:noProof/>
          <w:sz w:val="20"/>
          <w:szCs w:val="20"/>
          <w:lang w:eastAsia="ar-SA"/>
        </w:rPr>
        <w:t>штиту самопридржаја Дунав Ре-а,</w:t>
      </w:r>
    </w:p>
    <w:p w:rsidR="00A03C95" w:rsidRPr="005A70CA" w:rsidRDefault="00A03C95" w:rsidP="00A03C95">
      <w:pPr>
        <w:spacing w:after="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 xml:space="preserve">4. непропорционалну заштиту самопридржаја Дунав Ре-а и </w:t>
      </w:r>
    </w:p>
    <w:p w:rsidR="00A03C95" w:rsidRDefault="00A03C95" w:rsidP="00A03C95">
      <w:pPr>
        <w:spacing w:after="0" w:line="240" w:lineRule="auto"/>
        <w:ind w:left="1134" w:hanging="414"/>
        <w:jc w:val="both"/>
        <w:rPr>
          <w:rFonts w:ascii="Verdana" w:eastAsia="Times New Roman" w:hAnsi="Verdana" w:cs="Tahoma"/>
          <w:noProof/>
          <w:sz w:val="20"/>
          <w:szCs w:val="20"/>
          <w:lang w:val="sr-Cyrl-RS" w:eastAsia="ar-SA"/>
        </w:rPr>
      </w:pPr>
      <w:r w:rsidRPr="005A70CA">
        <w:rPr>
          <w:rFonts w:ascii="Verdana" w:eastAsia="Times New Roman" w:hAnsi="Verdana" w:cs="Tahoma"/>
          <w:noProof/>
          <w:sz w:val="20"/>
          <w:szCs w:val="20"/>
          <w:lang w:eastAsia="ar-SA"/>
        </w:rPr>
        <w:t>5. међународни програм ДМ-ДРОГЕРИЕ МАРКТ у п</w:t>
      </w:r>
      <w:r>
        <w:rPr>
          <w:rFonts w:ascii="Verdana" w:eastAsia="Times New Roman" w:hAnsi="Verdana" w:cs="Tahoma"/>
          <w:noProof/>
          <w:sz w:val="20"/>
          <w:szCs w:val="20"/>
          <w:lang w:eastAsia="ar-SA"/>
        </w:rPr>
        <w:t>ортфељу цедента Uniqa неживотно</w:t>
      </w:r>
    </w:p>
    <w:p w:rsidR="00A03C95" w:rsidRPr="005A70CA" w:rsidRDefault="00A03C95" w:rsidP="00A03C95">
      <w:pPr>
        <w:spacing w:after="0" w:line="240" w:lineRule="auto"/>
        <w:ind w:left="1134" w:hanging="414"/>
        <w:jc w:val="both"/>
        <w:rPr>
          <w:rFonts w:ascii="Verdana" w:eastAsia="Times New Roman" w:hAnsi="Verdana" w:cs="Tahoma"/>
          <w:noProof/>
          <w:sz w:val="20"/>
          <w:szCs w:val="20"/>
          <w:lang w:eastAsia="ar-SA"/>
        </w:rPr>
      </w:pPr>
      <w:r>
        <w:rPr>
          <w:rFonts w:ascii="Verdana" w:eastAsia="Times New Roman" w:hAnsi="Verdana" w:cs="Tahoma"/>
          <w:noProof/>
          <w:sz w:val="20"/>
          <w:szCs w:val="20"/>
          <w:lang w:val="sr-Cyrl-RS" w:eastAsia="ar-SA"/>
        </w:rPr>
        <w:t xml:space="preserve">    </w:t>
      </w:r>
      <w:r w:rsidRPr="005A70CA">
        <w:rPr>
          <w:rFonts w:ascii="Verdana" w:eastAsia="Times New Roman" w:hAnsi="Verdana" w:cs="Tahoma"/>
          <w:noProof/>
          <w:sz w:val="20"/>
          <w:szCs w:val="20"/>
          <w:lang w:eastAsia="ar-SA"/>
        </w:rPr>
        <w:t>осигурањ</w:t>
      </w:r>
      <w:r>
        <w:rPr>
          <w:rFonts w:ascii="Verdana" w:eastAsia="Times New Roman" w:hAnsi="Verdana" w:cs="Tahoma"/>
          <w:noProof/>
          <w:sz w:val="20"/>
          <w:szCs w:val="20"/>
          <w:lang w:eastAsia="ar-SA"/>
        </w:rPr>
        <w:t>е</w:t>
      </w:r>
      <w:r w:rsidRPr="005A70CA">
        <w:rPr>
          <w:rFonts w:ascii="Verdana" w:eastAsia="Times New Roman" w:hAnsi="Verdana" w:cs="Tahoma"/>
          <w:noProof/>
          <w:sz w:val="20"/>
          <w:szCs w:val="20"/>
          <w:lang w:eastAsia="ar-SA"/>
        </w:rPr>
        <w:t>;</w:t>
      </w:r>
    </w:p>
    <w:p w:rsidR="00A03C95" w:rsidRPr="005A70CA" w:rsidRDefault="00A03C95" w:rsidP="00A03C95">
      <w:pPr>
        <w:spacing w:before="120" w:after="120" w:line="240" w:lineRule="auto"/>
        <w:ind w:firstLine="720"/>
        <w:jc w:val="both"/>
        <w:rPr>
          <w:rFonts w:ascii="Verdana" w:eastAsia="Times New Roman" w:hAnsi="Verdana" w:cs="Tahoma"/>
          <w:i/>
          <w:noProof/>
          <w:sz w:val="20"/>
          <w:szCs w:val="20"/>
          <w:lang w:eastAsia="ar-SA"/>
        </w:rPr>
      </w:pPr>
      <w:r w:rsidRPr="005A70CA">
        <w:rPr>
          <w:rFonts w:ascii="Verdana" w:eastAsia="Times New Roman" w:hAnsi="Verdana" w:cs="Tahoma"/>
          <w:i/>
          <w:noProof/>
          <w:sz w:val="20"/>
          <w:szCs w:val="20"/>
          <w:lang w:eastAsia="ar-SA"/>
        </w:rPr>
        <w:t>за више осигураника:</w:t>
      </w:r>
    </w:p>
    <w:p w:rsidR="00A03C95" w:rsidRPr="002C560A"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r w:rsidRPr="005A70CA">
        <w:rPr>
          <w:rFonts w:ascii="Verdana" w:eastAsia="Times New Roman" w:hAnsi="Verdana" w:cs="Tahoma"/>
          <w:noProof/>
          <w:sz w:val="20"/>
          <w:szCs w:val="20"/>
          <w:lang w:eastAsia="ar-SA"/>
        </w:rPr>
        <w:t>Телеком</w:t>
      </w:r>
      <w:r>
        <w:rPr>
          <w:rFonts w:ascii="Verdana" w:eastAsia="Times New Roman" w:hAnsi="Verdana" w:cs="Tahoma"/>
          <w:noProof/>
          <w:sz w:val="20"/>
          <w:szCs w:val="20"/>
          <w:lang w:val="sr-Cyrl-RS" w:eastAsia="ar-SA"/>
        </w:rPr>
        <w:t>,</w:t>
      </w:r>
    </w:p>
    <w:p w:rsidR="00A03C95" w:rsidRPr="005A70CA"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 xml:space="preserve">МК Бео рент, </w:t>
      </w:r>
    </w:p>
    <w:p w:rsidR="00A03C95" w:rsidRPr="005A70CA"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 xml:space="preserve">DM-DROGERIE MARKT </w:t>
      </w:r>
    </w:p>
    <w:p w:rsidR="00A03C95" w:rsidRPr="005A70CA"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 xml:space="preserve">и </w:t>
      </w:r>
    </w:p>
    <w:p w:rsidR="00A03C95" w:rsidRPr="005A70CA" w:rsidRDefault="00A03C95" w:rsidP="00A03C95">
      <w:pPr>
        <w:spacing w:before="120" w:after="120" w:line="240" w:lineRule="auto"/>
        <w:ind w:firstLine="720"/>
        <w:jc w:val="both"/>
        <w:rPr>
          <w:rFonts w:ascii="Verdana" w:eastAsia="Times New Roman" w:hAnsi="Verdana" w:cs="Tahoma"/>
          <w:i/>
          <w:noProof/>
          <w:sz w:val="20"/>
          <w:szCs w:val="20"/>
          <w:lang w:eastAsia="ar-SA"/>
        </w:rPr>
      </w:pPr>
      <w:r w:rsidRPr="005A70CA">
        <w:rPr>
          <w:rFonts w:ascii="Verdana" w:eastAsia="Times New Roman" w:hAnsi="Verdana" w:cs="Tahoma"/>
          <w:i/>
          <w:noProof/>
          <w:sz w:val="20"/>
          <w:szCs w:val="20"/>
          <w:lang w:eastAsia="ar-SA"/>
        </w:rPr>
        <w:t>два цедента:</w:t>
      </w:r>
    </w:p>
    <w:p w:rsidR="00A03C95" w:rsidRPr="005A70CA"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Компанија Дунав Осигурање и</w:t>
      </w:r>
    </w:p>
    <w:p w:rsidR="00A03C95"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r w:rsidRPr="005A70CA">
        <w:rPr>
          <w:rFonts w:ascii="Verdana" w:eastAsia="Times New Roman" w:hAnsi="Verdana" w:cs="Tahoma"/>
          <w:noProof/>
          <w:sz w:val="20"/>
          <w:szCs w:val="20"/>
          <w:lang w:eastAsia="ar-SA"/>
        </w:rPr>
        <w:t>Uniqa Неживотно осигурање.</w:t>
      </w:r>
    </w:p>
    <w:p w:rsidR="00A03C95" w:rsidRPr="00E02995"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5A70CA">
        <w:rPr>
          <w:rFonts w:ascii="Verdana" w:eastAsia="Times New Roman" w:hAnsi="Verdana" w:cs="Tahoma"/>
          <w:noProof/>
          <w:sz w:val="20"/>
          <w:szCs w:val="20"/>
          <w:lang w:eastAsia="ar-SA"/>
        </w:rPr>
        <w:t>Ради се о највећој појединачној штети портфеља Дунава Ре у последњих 15 година (од поплава 1999 године).</w:t>
      </w:r>
    </w:p>
    <w:p w:rsidR="00A03C95" w:rsidRDefault="00A03C95" w:rsidP="00A03C95">
      <w:pPr>
        <w:jc w:val="both"/>
        <w:rPr>
          <w:rFonts w:ascii="Verdana" w:hAnsi="Verdana"/>
          <w:sz w:val="20"/>
          <w:szCs w:val="20"/>
          <w:lang w:val="sr-Cyrl-RS"/>
        </w:rPr>
      </w:pPr>
      <w:r w:rsidRPr="006C39BF">
        <w:rPr>
          <w:rFonts w:ascii="Verdana" w:eastAsia="Times New Roman" w:hAnsi="Verdana" w:cs="Tahoma"/>
          <w:noProof/>
          <w:sz w:val="20"/>
          <w:szCs w:val="20"/>
          <w:lang w:eastAsia="ar-SA"/>
        </w:rPr>
        <w:t xml:space="preserve">По наведеним уговорима је за период 01.01.2015 – 31.12.2015. године ликвидирано активних штета у износу 1.900.190 хиљада динара, у самопридржају Дунава Ре 92.023 хиљада динара, по наведеном штетном догађају, где штета Компаније Дунав осигурање (Макиш) износи </w:t>
      </w:r>
      <w:r w:rsidRPr="00376902">
        <w:rPr>
          <w:rFonts w:ascii="Verdana" w:eastAsia="Times New Roman" w:hAnsi="Verdana" w:cs="Tahoma"/>
          <w:noProof/>
          <w:sz w:val="20"/>
          <w:szCs w:val="20"/>
          <w:lang w:eastAsia="ar-SA"/>
        </w:rPr>
        <w:t>активно</w:t>
      </w:r>
      <w:r w:rsidRPr="00376902">
        <w:rPr>
          <w:rFonts w:ascii="Verdana" w:eastAsia="Times New Roman" w:hAnsi="Verdana" w:cs="Tahoma"/>
          <w:noProof/>
          <w:color w:val="FF0000"/>
          <w:sz w:val="20"/>
          <w:szCs w:val="20"/>
          <w:lang w:eastAsia="ar-SA"/>
        </w:rPr>
        <w:t xml:space="preserve"> </w:t>
      </w:r>
      <w:r w:rsidRPr="00376902">
        <w:rPr>
          <w:rFonts w:ascii="Verdana" w:eastAsia="Times New Roman" w:hAnsi="Verdana" w:cs="Tahoma"/>
          <w:noProof/>
          <w:sz w:val="20"/>
          <w:szCs w:val="20"/>
          <w:lang w:eastAsia="ar-SA"/>
        </w:rPr>
        <w:t>1.364.672</w:t>
      </w:r>
      <w:r>
        <w:rPr>
          <w:rFonts w:ascii="Verdana" w:eastAsia="Times New Roman" w:hAnsi="Verdana" w:cs="Tahoma"/>
          <w:noProof/>
          <w:sz w:val="20"/>
          <w:szCs w:val="20"/>
          <w:lang w:eastAsia="ar-SA"/>
        </w:rPr>
        <w:t xml:space="preserve"> </w:t>
      </w:r>
      <w:r w:rsidRPr="00376902">
        <w:rPr>
          <w:rFonts w:ascii="Verdana" w:eastAsia="Times New Roman" w:hAnsi="Verdana" w:cs="Tahoma"/>
          <w:noProof/>
          <w:sz w:val="20"/>
          <w:szCs w:val="20"/>
          <w:lang w:eastAsia="ar-SA"/>
        </w:rPr>
        <w:t>хиљада динара, самопридржај 78.499 хиљада динара, а штета Uniqa осигурања износи активно 535.518 хиљада динара, самопридржај 13.523 хиљада динара.</w:t>
      </w:r>
      <w:r w:rsidRPr="00376902">
        <w:rPr>
          <w:rFonts w:ascii="Verdana" w:hAnsi="Verdana"/>
          <w:sz w:val="20"/>
          <w:szCs w:val="20"/>
        </w:rPr>
        <w:t xml:space="preserve"> </w:t>
      </w:r>
    </w:p>
    <w:p w:rsidR="00A03C95" w:rsidRPr="00376902" w:rsidRDefault="00A03C95" w:rsidP="00A03C95">
      <w:pPr>
        <w:pStyle w:val="ListParagraph"/>
        <w:numPr>
          <w:ilvl w:val="0"/>
          <w:numId w:val="19"/>
        </w:numPr>
        <w:spacing w:before="120" w:after="120" w:line="240" w:lineRule="auto"/>
        <w:ind w:left="0" w:firstLine="720"/>
        <w:contextualSpacing w:val="0"/>
        <w:jc w:val="both"/>
        <w:rPr>
          <w:rFonts w:ascii="Verdana" w:eastAsia="Times New Roman" w:hAnsi="Verdana" w:cs="Tahoma"/>
          <w:noProof/>
          <w:sz w:val="20"/>
          <w:szCs w:val="20"/>
          <w:lang w:eastAsia="ar-SA"/>
        </w:rPr>
      </w:pPr>
      <w:r w:rsidRPr="00376902">
        <w:rPr>
          <w:rFonts w:ascii="Verdana" w:eastAsia="Times New Roman" w:hAnsi="Verdana" w:cs="Tahoma"/>
          <w:noProof/>
          <w:sz w:val="20"/>
          <w:szCs w:val="20"/>
          <w:lang w:eastAsia="ar-SA"/>
        </w:rPr>
        <w:t xml:space="preserve">Поплаве из </w:t>
      </w:r>
      <w:r>
        <w:rPr>
          <w:rFonts w:ascii="Verdana" w:eastAsia="Times New Roman" w:hAnsi="Verdana" w:cs="Tahoma"/>
          <w:noProof/>
          <w:sz w:val="20"/>
          <w:szCs w:val="20"/>
          <w:lang w:eastAsia="ar-SA"/>
        </w:rPr>
        <w:t>маја 2014-те</w:t>
      </w:r>
      <w:r w:rsidRPr="00376902">
        <w:rPr>
          <w:rFonts w:ascii="Verdana" w:eastAsia="Times New Roman" w:hAnsi="Verdana" w:cs="Tahoma"/>
          <w:noProof/>
          <w:sz w:val="20"/>
          <w:szCs w:val="20"/>
          <w:lang w:eastAsia="ar-SA"/>
        </w:rPr>
        <w:t>:</w:t>
      </w:r>
    </w:p>
    <w:p w:rsidR="00A03C95" w:rsidRPr="00376902"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376902">
        <w:rPr>
          <w:rFonts w:ascii="Verdana" w:eastAsia="Times New Roman" w:hAnsi="Verdana" w:cs="Tahoma"/>
          <w:noProof/>
          <w:sz w:val="20"/>
          <w:szCs w:val="20"/>
          <w:lang w:eastAsia="ar-SA"/>
        </w:rPr>
        <w:t xml:space="preserve">Активна ликвидирана штета реосигурања по ексцедентном уговору о реосигурању цедента Дунав осигурање, узрокована мајским поплавама за багере износи </w:t>
      </w:r>
      <w:r>
        <w:rPr>
          <w:rFonts w:ascii="Verdana" w:eastAsia="Times New Roman" w:hAnsi="Verdana" w:cs="Tahoma"/>
          <w:noProof/>
          <w:sz w:val="20"/>
          <w:szCs w:val="20"/>
          <w:lang w:eastAsia="ar-SA"/>
        </w:rPr>
        <w:t>72</w:t>
      </w:r>
      <w:r w:rsidRPr="00376902">
        <w:rPr>
          <w:rFonts w:ascii="Verdana" w:eastAsia="Times New Roman" w:hAnsi="Verdana" w:cs="Tahoma"/>
          <w:noProof/>
          <w:sz w:val="20"/>
          <w:szCs w:val="20"/>
          <w:lang w:eastAsia="ar-SA"/>
        </w:rPr>
        <w:t>.</w:t>
      </w:r>
      <w:r>
        <w:rPr>
          <w:rFonts w:ascii="Verdana" w:eastAsia="Times New Roman" w:hAnsi="Verdana" w:cs="Tahoma"/>
          <w:noProof/>
          <w:sz w:val="20"/>
          <w:szCs w:val="20"/>
          <w:lang w:eastAsia="ar-SA"/>
        </w:rPr>
        <w:t>025</w:t>
      </w:r>
      <w:r w:rsidRPr="00376902">
        <w:rPr>
          <w:rFonts w:ascii="Verdana" w:eastAsia="Times New Roman" w:hAnsi="Verdana" w:cs="Tahoma"/>
          <w:noProof/>
          <w:sz w:val="20"/>
          <w:szCs w:val="20"/>
          <w:lang w:eastAsia="ar-SA"/>
        </w:rPr>
        <w:t xml:space="preserve"> хиљада динара.</w:t>
      </w:r>
    </w:p>
    <w:p w:rsidR="00A03C95" w:rsidRDefault="00A03C95" w:rsidP="00A03C95">
      <w:pPr>
        <w:ind w:firstLine="720"/>
        <w:jc w:val="both"/>
        <w:rPr>
          <w:rFonts w:ascii="Verdana" w:hAnsi="Verdana"/>
          <w:color w:val="000000"/>
          <w:sz w:val="20"/>
          <w:szCs w:val="20"/>
          <w:lang w:val="sr-Cyrl-RS"/>
        </w:rPr>
      </w:pPr>
      <w:r w:rsidRPr="00E47719">
        <w:rPr>
          <w:rFonts w:ascii="Verdana" w:eastAsia="Times New Roman" w:hAnsi="Verdana" w:cs="Tahoma"/>
          <w:noProof/>
          <w:sz w:val="20"/>
          <w:szCs w:val="20"/>
          <w:lang w:eastAsia="ar-SA"/>
        </w:rPr>
        <w:t>По уговору о реосигурању природних опасности цедента Дунав осигурање (CAT XL) у периоду</w:t>
      </w:r>
      <w:r>
        <w:rPr>
          <w:rFonts w:ascii="Verdana" w:eastAsia="Times New Roman" w:hAnsi="Verdana" w:cs="Tahoma"/>
          <w:noProof/>
          <w:sz w:val="20"/>
          <w:szCs w:val="20"/>
          <w:lang w:eastAsia="ar-SA"/>
        </w:rPr>
        <w:t xml:space="preserve"> 01.01.2015.-31.12</w:t>
      </w:r>
      <w:r w:rsidRPr="00E47719">
        <w:rPr>
          <w:rFonts w:ascii="Verdana" w:eastAsia="Times New Roman" w:hAnsi="Verdana" w:cs="Tahoma"/>
          <w:noProof/>
          <w:sz w:val="20"/>
          <w:szCs w:val="20"/>
          <w:lang w:eastAsia="ar-SA"/>
        </w:rPr>
        <w:t xml:space="preserve">.2015. године ликвидиране су штете у износу од </w:t>
      </w:r>
      <w:r>
        <w:rPr>
          <w:rFonts w:ascii="Verdana" w:eastAsia="Times New Roman" w:hAnsi="Verdana" w:cs="Tahoma"/>
          <w:noProof/>
          <w:sz w:val="20"/>
          <w:szCs w:val="20"/>
          <w:lang w:eastAsia="ar-SA"/>
        </w:rPr>
        <w:t>204</w:t>
      </w:r>
      <w:r w:rsidRPr="00E47719">
        <w:rPr>
          <w:rFonts w:ascii="Verdana" w:eastAsia="Times New Roman" w:hAnsi="Verdana" w:cs="Tahoma"/>
          <w:noProof/>
          <w:sz w:val="20"/>
          <w:szCs w:val="20"/>
          <w:lang w:eastAsia="ar-SA"/>
        </w:rPr>
        <w:t>.</w:t>
      </w:r>
      <w:r>
        <w:rPr>
          <w:rFonts w:ascii="Verdana" w:eastAsia="Times New Roman" w:hAnsi="Verdana" w:cs="Tahoma"/>
          <w:noProof/>
          <w:sz w:val="20"/>
          <w:szCs w:val="20"/>
          <w:lang w:eastAsia="ar-SA"/>
        </w:rPr>
        <w:t>694</w:t>
      </w:r>
      <w:r w:rsidRPr="00E47719">
        <w:rPr>
          <w:rFonts w:ascii="Verdana" w:eastAsia="Times New Roman" w:hAnsi="Verdana" w:cs="Tahoma"/>
          <w:noProof/>
          <w:sz w:val="20"/>
          <w:szCs w:val="20"/>
          <w:lang w:eastAsia="ar-SA"/>
        </w:rPr>
        <w:t xml:space="preserve"> хиљада динара.</w:t>
      </w:r>
      <w:r w:rsidRPr="00E47719">
        <w:rPr>
          <w:rFonts w:ascii="Verdana" w:hAnsi="Verdana"/>
          <w:color w:val="000000"/>
          <w:sz w:val="20"/>
          <w:szCs w:val="20"/>
        </w:rPr>
        <w:t xml:space="preserve"> </w:t>
      </w:r>
    </w:p>
    <w:p w:rsidR="00A03C95" w:rsidRPr="005A70CA" w:rsidRDefault="00A03C95" w:rsidP="00A03C95">
      <w:pPr>
        <w:pStyle w:val="ListParagraph"/>
        <w:numPr>
          <w:ilvl w:val="0"/>
          <w:numId w:val="20"/>
        </w:numPr>
        <w:spacing w:before="120" w:after="120" w:line="240" w:lineRule="auto"/>
        <w:ind w:left="0" w:firstLine="720"/>
        <w:contextualSpacing w:val="0"/>
        <w:jc w:val="both"/>
        <w:rPr>
          <w:rFonts w:ascii="Verdana" w:eastAsia="Verdana" w:hAnsi="Verdana" w:cs="Times New Roman"/>
          <w:sz w:val="20"/>
          <w:szCs w:val="20"/>
        </w:rPr>
      </w:pPr>
      <w:r w:rsidRPr="005A70CA">
        <w:rPr>
          <w:rFonts w:ascii="Verdana" w:eastAsia="Verdana" w:hAnsi="Verdana" w:cs="Times New Roman"/>
          <w:b/>
          <w:sz w:val="20"/>
          <w:szCs w:val="20"/>
        </w:rPr>
        <w:t>врста 09</w:t>
      </w:r>
      <w:r w:rsidRPr="005A70CA">
        <w:rPr>
          <w:rFonts w:ascii="Verdana" w:eastAsia="Verdana" w:hAnsi="Verdana" w:cs="Times New Roman"/>
          <w:sz w:val="20"/>
          <w:szCs w:val="20"/>
        </w:rPr>
        <w:t xml:space="preserve"> – остала осигурања имовине, где пад ликвидираних штета реосигурања у односу на исти период предходне године  износи 73.681 хиљада динара, односно 38,31%.</w:t>
      </w:r>
    </w:p>
    <w:p w:rsidR="00A03C95" w:rsidRPr="00E24ADF" w:rsidRDefault="00A03C95" w:rsidP="00A03C95">
      <w:pPr>
        <w:spacing w:before="120" w:after="120" w:line="240" w:lineRule="auto"/>
        <w:ind w:firstLine="720"/>
        <w:jc w:val="both"/>
        <w:rPr>
          <w:rFonts w:ascii="Verdana" w:eastAsia="Times New Roman" w:hAnsi="Verdana" w:cs="Tahoma"/>
          <w:noProof/>
          <w:sz w:val="20"/>
          <w:szCs w:val="20"/>
          <w:lang w:val="sr-Cyrl-RS" w:eastAsia="ar-SA"/>
        </w:rPr>
      </w:pPr>
      <w:r w:rsidRPr="00E47719">
        <w:rPr>
          <w:rFonts w:ascii="Verdana" w:eastAsia="Verdana" w:hAnsi="Verdana" w:cs="Times New Roman"/>
          <w:sz w:val="20"/>
          <w:szCs w:val="20"/>
        </w:rPr>
        <w:tab/>
      </w:r>
      <w:r w:rsidRPr="00E47719">
        <w:rPr>
          <w:rFonts w:ascii="Verdana" w:eastAsia="Times New Roman" w:hAnsi="Verdana" w:cs="Tahoma"/>
          <w:noProof/>
          <w:sz w:val="20"/>
          <w:szCs w:val="20"/>
          <w:lang w:eastAsia="ar-SA"/>
        </w:rPr>
        <w:t xml:space="preserve">У врсти 09 пад ликвидираних штета реосигурања у односу на исти период предходне године узрокован је </w:t>
      </w:r>
      <w:r w:rsidR="00B44CA4">
        <w:rPr>
          <w:rFonts w:ascii="Verdana" w:eastAsia="Times New Roman" w:hAnsi="Verdana" w:cs="Tahoma"/>
          <w:noProof/>
          <w:sz w:val="20"/>
          <w:szCs w:val="20"/>
          <w:lang w:val="sr-Cyrl-RS" w:eastAsia="ar-SA"/>
        </w:rPr>
        <w:t xml:space="preserve">првенствено </w:t>
      </w:r>
      <w:r w:rsidRPr="00E47719">
        <w:rPr>
          <w:rFonts w:ascii="Verdana" w:eastAsia="Times New Roman" w:hAnsi="Verdana" w:cs="Tahoma"/>
          <w:noProof/>
          <w:sz w:val="20"/>
          <w:szCs w:val="20"/>
          <w:lang w:eastAsia="ar-SA"/>
        </w:rPr>
        <w:t>ликвидацијом штете Мidland по старо ак</w:t>
      </w:r>
      <w:r>
        <w:rPr>
          <w:rFonts w:ascii="Verdana" w:eastAsia="Times New Roman" w:hAnsi="Verdana" w:cs="Tahoma"/>
          <w:noProof/>
          <w:sz w:val="20"/>
          <w:szCs w:val="20"/>
          <w:lang w:eastAsia="ar-SA"/>
        </w:rPr>
        <w:t xml:space="preserve">тивним пословима у износу </w:t>
      </w:r>
      <w:r>
        <w:rPr>
          <w:rFonts w:ascii="Verdana" w:eastAsia="Times New Roman" w:hAnsi="Verdana" w:cs="Tahoma"/>
          <w:noProof/>
          <w:sz w:val="20"/>
          <w:szCs w:val="20"/>
          <w:lang w:val="sr-Cyrl-RS" w:eastAsia="ar-SA"/>
        </w:rPr>
        <w:t>од 54.727</w:t>
      </w:r>
      <w:r w:rsidRPr="00E47719">
        <w:rPr>
          <w:rFonts w:ascii="Verdana" w:eastAsia="Times New Roman" w:hAnsi="Verdana" w:cs="Tahoma"/>
          <w:noProof/>
          <w:sz w:val="20"/>
          <w:szCs w:val="20"/>
          <w:lang w:eastAsia="ar-SA"/>
        </w:rPr>
        <w:t xml:space="preserve"> хиљада динара</w:t>
      </w:r>
      <w:r w:rsidR="00B44CA4">
        <w:rPr>
          <w:rFonts w:ascii="Verdana" w:eastAsia="Times New Roman" w:hAnsi="Verdana" w:cs="Tahoma"/>
          <w:noProof/>
          <w:sz w:val="20"/>
          <w:szCs w:val="20"/>
          <w:lang w:val="sr-Cyrl-RS" w:eastAsia="ar-SA"/>
        </w:rPr>
        <w:t xml:space="preserve"> у 2014 години</w:t>
      </w:r>
      <w:r w:rsidRPr="00E47719">
        <w:rPr>
          <w:rFonts w:ascii="Verdana" w:eastAsia="Times New Roman" w:hAnsi="Verdana" w:cs="Tahoma"/>
          <w:noProof/>
          <w:sz w:val="20"/>
          <w:szCs w:val="20"/>
          <w:lang w:eastAsia="ar-SA"/>
        </w:rPr>
        <w:t>.</w:t>
      </w:r>
    </w:p>
    <w:p w:rsidR="00A03C95" w:rsidRPr="002C560A" w:rsidRDefault="00A03C95" w:rsidP="00A03C95">
      <w:pPr>
        <w:pStyle w:val="ListParagraph"/>
        <w:numPr>
          <w:ilvl w:val="0"/>
          <w:numId w:val="20"/>
        </w:numPr>
        <w:spacing w:before="120" w:after="120" w:line="240" w:lineRule="auto"/>
        <w:ind w:left="0" w:firstLine="720"/>
        <w:contextualSpacing w:val="0"/>
        <w:jc w:val="both"/>
        <w:rPr>
          <w:rFonts w:ascii="Verdana" w:eastAsia="Verdana" w:hAnsi="Verdana" w:cs="Times New Roman"/>
          <w:sz w:val="20"/>
          <w:szCs w:val="20"/>
        </w:rPr>
      </w:pPr>
      <w:r w:rsidRPr="002C560A">
        <w:rPr>
          <w:rFonts w:ascii="Verdana" w:eastAsia="Verdana" w:hAnsi="Verdana" w:cs="Times New Roman"/>
          <w:b/>
          <w:sz w:val="20"/>
          <w:szCs w:val="20"/>
        </w:rPr>
        <w:t>врста 10</w:t>
      </w:r>
      <w:r w:rsidRPr="002C560A">
        <w:rPr>
          <w:rFonts w:ascii="Verdana" w:eastAsia="Verdana" w:hAnsi="Verdana" w:cs="Times New Roman"/>
          <w:sz w:val="20"/>
          <w:szCs w:val="20"/>
        </w:rPr>
        <w:t xml:space="preserve"> – осигурање од одговорности од употребе моторних возила, где пад ликвидираних штета реосигурања у односу на исти период предходне године  износи 25.004 хиљада динара, односно 53,22%</w:t>
      </w:r>
      <w:r w:rsidR="00B44CA4">
        <w:rPr>
          <w:rFonts w:ascii="Verdana" w:eastAsia="Verdana" w:hAnsi="Verdana" w:cs="Times New Roman"/>
          <w:sz w:val="20"/>
          <w:szCs w:val="20"/>
          <w:lang w:val="sr-Cyrl-RS"/>
        </w:rPr>
        <w:t>, а реализован</w:t>
      </w:r>
      <w:r w:rsidRPr="002C560A">
        <w:rPr>
          <w:rFonts w:ascii="Verdana" w:eastAsia="Verdana" w:hAnsi="Verdana" w:cs="Times New Roman"/>
          <w:sz w:val="20"/>
          <w:szCs w:val="20"/>
        </w:rPr>
        <w:t xml:space="preserve"> по Уговору о реосигурању аутоодговорности на бази вишка штета Компаније Дунав осигурање и </w:t>
      </w:r>
      <w:r w:rsidRPr="002C560A">
        <w:rPr>
          <w:rFonts w:ascii="Verdana" w:eastAsia="Verdana" w:hAnsi="Verdana" w:cs="Times New Roman"/>
          <w:sz w:val="20"/>
          <w:szCs w:val="20"/>
          <w:lang w:val="sr-Cyrl-BA"/>
        </w:rPr>
        <w:t>Уговор о реосигурању вишка штета по основу зелене карте за Удружење осигуравача Србије.</w:t>
      </w:r>
    </w:p>
    <w:p w:rsidR="00A03C95" w:rsidRPr="008B4841" w:rsidRDefault="00A03C95" w:rsidP="00A03C95">
      <w:pPr>
        <w:pStyle w:val="ListParagraph"/>
        <w:numPr>
          <w:ilvl w:val="0"/>
          <w:numId w:val="20"/>
        </w:numPr>
        <w:spacing w:before="120" w:after="120" w:line="240" w:lineRule="auto"/>
        <w:ind w:left="0" w:firstLine="720"/>
        <w:contextualSpacing w:val="0"/>
        <w:jc w:val="both"/>
        <w:rPr>
          <w:rFonts w:ascii="Verdana" w:eastAsia="Verdana" w:hAnsi="Verdana" w:cs="Times New Roman"/>
          <w:sz w:val="20"/>
          <w:szCs w:val="20"/>
        </w:rPr>
      </w:pPr>
      <w:r w:rsidRPr="008B4841">
        <w:rPr>
          <w:rFonts w:ascii="Verdana" w:eastAsia="Verdana" w:hAnsi="Verdana" w:cs="Times New Roman"/>
          <w:b/>
          <w:sz w:val="20"/>
          <w:szCs w:val="20"/>
        </w:rPr>
        <w:t>врста 16</w:t>
      </w:r>
      <w:r w:rsidRPr="008B4841">
        <w:rPr>
          <w:rFonts w:ascii="Verdana" w:eastAsia="Verdana" w:hAnsi="Verdana" w:cs="Times New Roman"/>
          <w:sz w:val="20"/>
          <w:szCs w:val="20"/>
        </w:rPr>
        <w:t xml:space="preserve"> – осигурање финансијских губитака, где пораст ликвидираних штета реосигурања у односу на исти период прошле године  износи 24.689 хиљада динара, односно 101,60%.</w:t>
      </w:r>
    </w:p>
    <w:p w:rsidR="00A03C95"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E47719">
        <w:rPr>
          <w:rFonts w:ascii="Verdana" w:eastAsia="Times New Roman" w:hAnsi="Verdana" w:cs="Tahoma"/>
          <w:noProof/>
          <w:sz w:val="20"/>
          <w:szCs w:val="20"/>
          <w:lang w:eastAsia="ar-SA"/>
        </w:rPr>
        <w:t>У врсти 16 увећање ликвидираних штета реосигурања узроковано је реализацијом штете према Уговору о реосигурању међународних програма за осигураника Marbo Product a.d. у износу 47.014 хиљада динара.</w:t>
      </w:r>
    </w:p>
    <w:p w:rsidR="00A03C95" w:rsidRPr="00EE316A"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p>
    <w:p w:rsidR="00A03C95"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636EC0">
        <w:rPr>
          <w:rFonts w:ascii="Verdana" w:eastAsia="Times New Roman" w:hAnsi="Verdana" w:cs="Tahoma"/>
          <w:noProof/>
          <w:sz w:val="20"/>
          <w:szCs w:val="20"/>
          <w:lang w:eastAsia="ar-SA"/>
        </w:rPr>
        <w:t>У продужетку су дати табеларни прегледи ликвидираних штета (активно, пасивно и у самопридржају) по врстама за период од 01.01.</w:t>
      </w:r>
      <w:r>
        <w:rPr>
          <w:rFonts w:ascii="Verdana" w:eastAsia="Times New Roman" w:hAnsi="Verdana" w:cs="Tahoma"/>
          <w:noProof/>
          <w:sz w:val="20"/>
          <w:szCs w:val="20"/>
          <w:lang w:eastAsia="ar-SA"/>
        </w:rPr>
        <w:t>2015. до 31.12</w:t>
      </w:r>
      <w:r w:rsidRPr="00636EC0">
        <w:rPr>
          <w:rFonts w:ascii="Verdana" w:eastAsia="Times New Roman" w:hAnsi="Verdana" w:cs="Tahoma"/>
          <w:noProof/>
          <w:sz w:val="20"/>
          <w:szCs w:val="20"/>
          <w:lang w:eastAsia="ar-SA"/>
        </w:rPr>
        <w:t xml:space="preserve">.2015. године. Подаци су исказану у </w:t>
      </w:r>
      <w:r>
        <w:rPr>
          <w:rFonts w:ascii="Verdana" w:eastAsia="Times New Roman" w:hAnsi="Verdana" w:cs="Tahoma"/>
          <w:noProof/>
          <w:sz w:val="20"/>
          <w:szCs w:val="20"/>
          <w:lang w:eastAsia="ar-SA"/>
        </w:rPr>
        <w:t xml:space="preserve">хиљадама </w:t>
      </w:r>
      <w:r w:rsidRPr="006605D5">
        <w:rPr>
          <w:rFonts w:ascii="Verdana" w:eastAsia="Times New Roman" w:hAnsi="Verdana" w:cs="Tahoma"/>
          <w:noProof/>
          <w:sz w:val="20"/>
          <w:szCs w:val="20"/>
          <w:lang w:eastAsia="ar-SA"/>
        </w:rPr>
        <w:t>динара:</w:t>
      </w:r>
    </w:p>
    <w:p w:rsidR="00A03C95" w:rsidRPr="006605D5" w:rsidRDefault="00A03C95" w:rsidP="007367D8">
      <w:pPr>
        <w:spacing w:after="100" w:afterAutospacing="1"/>
        <w:jc w:val="center"/>
        <w:rPr>
          <w:rFonts w:ascii="Verdana" w:eastAsia="Times New Roman" w:hAnsi="Verdana" w:cs="Tahoma"/>
          <w:noProof/>
          <w:sz w:val="20"/>
          <w:szCs w:val="20"/>
          <w:lang w:eastAsia="ar-SA"/>
        </w:rPr>
      </w:pPr>
      <w:r w:rsidRPr="00BA07AB">
        <w:rPr>
          <w:noProof/>
          <w:lang w:val="sr-Latn-RS" w:eastAsia="sr-Latn-RS"/>
        </w:rPr>
        <w:drawing>
          <wp:inline distT="0" distB="0" distL="0" distR="0" wp14:anchorId="09C11077" wp14:editId="4EA156FB">
            <wp:extent cx="5756745" cy="3983604"/>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5384" cy="3989582"/>
                    </a:xfrm>
                    <a:prstGeom prst="rect">
                      <a:avLst/>
                    </a:prstGeom>
                    <a:noFill/>
                    <a:ln>
                      <a:noFill/>
                    </a:ln>
                  </pic:spPr>
                </pic:pic>
              </a:graphicData>
            </a:graphic>
          </wp:inline>
        </w:drawing>
      </w:r>
    </w:p>
    <w:p w:rsidR="00A03C95" w:rsidRDefault="00A03C95" w:rsidP="007367D8">
      <w:pPr>
        <w:jc w:val="center"/>
        <w:rPr>
          <w:rFonts w:ascii="Verdana" w:eastAsia="Times New Roman" w:hAnsi="Verdana" w:cs="Tahoma"/>
          <w:noProof/>
          <w:sz w:val="20"/>
          <w:szCs w:val="20"/>
          <w:lang w:eastAsia="ar-SA"/>
        </w:rPr>
      </w:pPr>
      <w:r w:rsidRPr="00BA07AB">
        <w:rPr>
          <w:noProof/>
          <w:lang w:val="sr-Latn-RS" w:eastAsia="sr-Latn-RS"/>
        </w:rPr>
        <w:drawing>
          <wp:inline distT="0" distB="0" distL="0" distR="0" wp14:anchorId="1E92CC67" wp14:editId="00B85082">
            <wp:extent cx="5772647" cy="4134679"/>
            <wp:effectExtent l="0" t="0" r="0" b="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87633" cy="4145413"/>
                    </a:xfrm>
                    <a:prstGeom prst="rect">
                      <a:avLst/>
                    </a:prstGeom>
                    <a:noFill/>
                    <a:ln>
                      <a:noFill/>
                    </a:ln>
                  </pic:spPr>
                </pic:pic>
              </a:graphicData>
            </a:graphic>
          </wp:inline>
        </w:drawing>
      </w:r>
    </w:p>
    <w:p w:rsidR="00A03C95" w:rsidRDefault="00A03C95" w:rsidP="007367D8">
      <w:pPr>
        <w:jc w:val="center"/>
        <w:rPr>
          <w:rFonts w:ascii="Verdana" w:eastAsia="Times New Roman" w:hAnsi="Verdana" w:cs="Tahoma"/>
          <w:noProof/>
          <w:sz w:val="20"/>
          <w:szCs w:val="20"/>
          <w:lang w:eastAsia="ar-SA"/>
        </w:rPr>
      </w:pPr>
      <w:r w:rsidRPr="00BA07AB">
        <w:rPr>
          <w:noProof/>
          <w:lang w:val="sr-Latn-RS" w:eastAsia="sr-Latn-RS"/>
        </w:rPr>
        <w:drawing>
          <wp:inline distT="0" distB="0" distL="0" distR="0" wp14:anchorId="39F52A79" wp14:editId="0D6B33FC">
            <wp:extent cx="5772647" cy="3951798"/>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81217" cy="3957665"/>
                    </a:xfrm>
                    <a:prstGeom prst="rect">
                      <a:avLst/>
                    </a:prstGeom>
                    <a:noFill/>
                    <a:ln>
                      <a:noFill/>
                    </a:ln>
                  </pic:spPr>
                </pic:pic>
              </a:graphicData>
            </a:graphic>
          </wp:inline>
        </w:drawing>
      </w:r>
    </w:p>
    <w:p w:rsidR="00A03C95" w:rsidRDefault="00A03C95" w:rsidP="00A03C95">
      <w:pPr>
        <w:spacing w:after="240" w:line="240" w:lineRule="auto"/>
        <w:jc w:val="both"/>
        <w:rPr>
          <w:rFonts w:ascii="Verdana" w:hAnsi="Verdana"/>
          <w:noProof/>
          <w:sz w:val="20"/>
          <w:szCs w:val="20"/>
          <w:lang w:val="sr-Cyrl-RS"/>
        </w:rPr>
      </w:pPr>
    </w:p>
    <w:p w:rsidR="00A03C95" w:rsidRDefault="00A03C95" w:rsidP="00A03C95">
      <w:pPr>
        <w:spacing w:after="240" w:line="240" w:lineRule="auto"/>
        <w:jc w:val="both"/>
        <w:rPr>
          <w:rFonts w:ascii="Verdana" w:hAnsi="Verdana"/>
          <w:noProof/>
          <w:sz w:val="20"/>
          <w:szCs w:val="20"/>
          <w:lang w:val="sr-Cyrl-RS"/>
        </w:rPr>
      </w:pPr>
      <w:r>
        <w:rPr>
          <w:rFonts w:ascii="Verdana" w:hAnsi="Verdana"/>
          <w:noProof/>
          <w:sz w:val="20"/>
          <w:szCs w:val="20"/>
        </w:rPr>
        <w:t xml:space="preserve">У </w:t>
      </w:r>
      <w:r>
        <w:rPr>
          <w:rFonts w:ascii="Verdana" w:hAnsi="Verdana"/>
          <w:noProof/>
          <w:sz w:val="20"/>
          <w:szCs w:val="20"/>
          <w:lang w:val="sr-Cyrl-RS"/>
        </w:rPr>
        <w:t>наставку</w:t>
      </w:r>
      <w:r w:rsidRPr="00B82685">
        <w:rPr>
          <w:rFonts w:ascii="Verdana" w:hAnsi="Verdana"/>
          <w:noProof/>
          <w:sz w:val="20"/>
          <w:szCs w:val="20"/>
        </w:rPr>
        <w:t xml:space="preserve"> је табеларни приказ највећих ликвидираних штета </w:t>
      </w:r>
      <w:r>
        <w:rPr>
          <w:rFonts w:ascii="Verdana" w:hAnsi="Verdana"/>
          <w:noProof/>
          <w:sz w:val="20"/>
          <w:szCs w:val="20"/>
          <w:lang w:val="sr-Cyrl-RS"/>
        </w:rPr>
        <w:t xml:space="preserve">Друштва </w:t>
      </w:r>
      <w:r w:rsidRPr="00B82685">
        <w:rPr>
          <w:rFonts w:ascii="Verdana" w:hAnsi="Verdana"/>
          <w:noProof/>
          <w:sz w:val="20"/>
          <w:szCs w:val="20"/>
        </w:rPr>
        <w:t xml:space="preserve">(активно и у сампоридржају) у </w:t>
      </w:r>
      <w:r>
        <w:rPr>
          <w:rFonts w:ascii="Verdana" w:hAnsi="Verdana"/>
          <w:noProof/>
          <w:sz w:val="20"/>
          <w:szCs w:val="20"/>
        </w:rPr>
        <w:t xml:space="preserve">хиљадама </w:t>
      </w:r>
      <w:r w:rsidRPr="00B82685">
        <w:rPr>
          <w:rFonts w:ascii="Verdana" w:hAnsi="Verdana"/>
          <w:noProof/>
          <w:sz w:val="20"/>
          <w:szCs w:val="20"/>
        </w:rPr>
        <w:t>динар</w:t>
      </w:r>
      <w:r>
        <w:rPr>
          <w:rFonts w:ascii="Verdana" w:hAnsi="Verdana"/>
          <w:noProof/>
          <w:sz w:val="20"/>
          <w:szCs w:val="20"/>
        </w:rPr>
        <w:t>а</w:t>
      </w:r>
      <w:r w:rsidRPr="00B82685">
        <w:rPr>
          <w:rFonts w:ascii="Verdana" w:hAnsi="Verdana"/>
          <w:noProof/>
          <w:sz w:val="20"/>
          <w:szCs w:val="20"/>
        </w:rPr>
        <w:t>:</w:t>
      </w:r>
    </w:p>
    <w:p w:rsidR="00A03C95" w:rsidRPr="00E24ADF" w:rsidRDefault="00A03C95" w:rsidP="007367D8">
      <w:pPr>
        <w:spacing w:after="240" w:line="240" w:lineRule="auto"/>
        <w:jc w:val="center"/>
        <w:rPr>
          <w:rFonts w:ascii="Verdana" w:hAnsi="Verdana"/>
          <w:noProof/>
          <w:sz w:val="20"/>
          <w:szCs w:val="20"/>
          <w:lang w:val="sr-Cyrl-RS"/>
        </w:rPr>
      </w:pPr>
      <w:r w:rsidRPr="00E24ADF">
        <w:rPr>
          <w:noProof/>
          <w:lang w:val="sr-Latn-RS" w:eastAsia="sr-Latn-RS"/>
        </w:rPr>
        <w:drawing>
          <wp:inline distT="0" distB="0" distL="0" distR="0" wp14:anchorId="64B6092F" wp14:editId="368B4A95">
            <wp:extent cx="5820355" cy="3506526"/>
            <wp:effectExtent l="0" t="0" r="9525"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36529" cy="3516270"/>
                    </a:xfrm>
                    <a:prstGeom prst="rect">
                      <a:avLst/>
                    </a:prstGeom>
                    <a:noFill/>
                    <a:ln>
                      <a:noFill/>
                    </a:ln>
                  </pic:spPr>
                </pic:pic>
              </a:graphicData>
            </a:graphic>
          </wp:inline>
        </w:drawing>
      </w:r>
    </w:p>
    <w:p w:rsidR="00A03C95" w:rsidRPr="008D2C92" w:rsidRDefault="00A03C95" w:rsidP="007367D8">
      <w:pPr>
        <w:spacing w:after="240" w:line="240" w:lineRule="auto"/>
        <w:jc w:val="center"/>
        <w:rPr>
          <w:rFonts w:ascii="Verdana" w:hAnsi="Verdana"/>
          <w:noProof/>
          <w:sz w:val="20"/>
          <w:szCs w:val="20"/>
          <w:lang w:val="sr-Cyrl-CS"/>
        </w:rPr>
      </w:pPr>
      <w:r w:rsidRPr="00E24ADF">
        <w:rPr>
          <w:noProof/>
          <w:lang w:val="sr-Latn-RS" w:eastAsia="sr-Latn-RS"/>
        </w:rPr>
        <w:drawing>
          <wp:inline distT="0" distB="0" distL="0" distR="0" wp14:anchorId="18B90F4C" wp14:editId="0E8C8FEF">
            <wp:extent cx="5764696" cy="3447846"/>
            <wp:effectExtent l="0" t="0" r="7620" b="63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82493" cy="3458490"/>
                    </a:xfrm>
                    <a:prstGeom prst="rect">
                      <a:avLst/>
                    </a:prstGeom>
                    <a:noFill/>
                    <a:ln>
                      <a:noFill/>
                    </a:ln>
                  </pic:spPr>
                </pic:pic>
              </a:graphicData>
            </a:graphic>
          </wp:inline>
        </w:drawing>
      </w:r>
    </w:p>
    <w:p w:rsidR="00A03C95" w:rsidRPr="00EE316A" w:rsidRDefault="00A03C95" w:rsidP="00A03C95">
      <w:pPr>
        <w:rPr>
          <w:rFonts w:ascii="Verdana" w:eastAsia="Times New Roman" w:hAnsi="Verdana" w:cs="Tahoma"/>
          <w:noProof/>
          <w:sz w:val="20"/>
          <w:szCs w:val="20"/>
          <w:lang w:val="sr-Cyrl-CS" w:eastAsia="ar-SA"/>
        </w:rPr>
      </w:pPr>
    </w:p>
    <w:p w:rsidR="00A03C95" w:rsidRPr="00A03C95" w:rsidRDefault="00A03C95" w:rsidP="00A03C95">
      <w:pPr>
        <w:pStyle w:val="ListParagraph"/>
        <w:keepNext/>
        <w:numPr>
          <w:ilvl w:val="1"/>
          <w:numId w:val="43"/>
        </w:numPr>
        <w:suppressAutoHyphens/>
        <w:spacing w:before="240" w:after="240" w:line="240" w:lineRule="auto"/>
        <w:jc w:val="both"/>
        <w:outlineLvl w:val="0"/>
        <w:rPr>
          <w:rFonts w:ascii="Verdana" w:eastAsia="Times New Roman" w:hAnsi="Verdana" w:cs="Tahoma"/>
          <w:b/>
          <w:bCs/>
          <w:noProof/>
          <w:sz w:val="20"/>
          <w:szCs w:val="20"/>
          <w:lang w:eastAsia="ar-SA"/>
        </w:rPr>
      </w:pPr>
      <w:bookmarkStart w:id="16" w:name="_Toc445975021"/>
      <w:r w:rsidRPr="00A03C95">
        <w:rPr>
          <w:rFonts w:ascii="Verdana" w:eastAsia="Times New Roman" w:hAnsi="Verdana" w:cs="Tahoma"/>
          <w:b/>
          <w:bCs/>
          <w:noProof/>
          <w:sz w:val="20"/>
          <w:szCs w:val="20"/>
          <w:lang w:val="sr-Cyrl-CS" w:eastAsia="ar-SA"/>
        </w:rPr>
        <w:t>Р</w:t>
      </w:r>
      <w:r w:rsidRPr="00A03C95">
        <w:rPr>
          <w:rFonts w:ascii="Verdana" w:eastAsia="Times New Roman" w:hAnsi="Verdana" w:cs="Tahoma"/>
          <w:b/>
          <w:bCs/>
          <w:noProof/>
          <w:sz w:val="20"/>
          <w:szCs w:val="20"/>
          <w:lang w:eastAsia="ar-SA"/>
        </w:rPr>
        <w:t xml:space="preserve">езервисане </w:t>
      </w:r>
      <w:r w:rsidRPr="00A03C95">
        <w:rPr>
          <w:rFonts w:ascii="Verdana" w:eastAsia="Times New Roman" w:hAnsi="Verdana" w:cs="Tahoma"/>
          <w:b/>
          <w:bCs/>
          <w:noProof/>
          <w:sz w:val="20"/>
          <w:szCs w:val="20"/>
          <w:lang w:val="sr-Cyrl-RS" w:eastAsia="ar-SA"/>
        </w:rPr>
        <w:t xml:space="preserve">пријављене </w:t>
      </w:r>
      <w:r w:rsidRPr="00A03C95">
        <w:rPr>
          <w:rFonts w:ascii="Verdana" w:eastAsia="Times New Roman" w:hAnsi="Verdana" w:cs="Tahoma"/>
          <w:b/>
          <w:bCs/>
          <w:noProof/>
          <w:sz w:val="20"/>
          <w:szCs w:val="20"/>
          <w:lang w:eastAsia="ar-SA"/>
        </w:rPr>
        <w:t>штете реосигурања на дан 31.12.2015. године</w:t>
      </w:r>
      <w:bookmarkEnd w:id="16"/>
    </w:p>
    <w:p w:rsidR="00A03C95" w:rsidRPr="008B4841" w:rsidRDefault="00A03C95" w:rsidP="00A03C95">
      <w:pPr>
        <w:pStyle w:val="ListParagraph"/>
        <w:keepNext/>
        <w:suppressAutoHyphens/>
        <w:spacing w:before="240" w:after="240" w:line="240" w:lineRule="auto"/>
        <w:ind w:left="782"/>
        <w:jc w:val="both"/>
        <w:outlineLvl w:val="0"/>
        <w:rPr>
          <w:rFonts w:ascii="Verdana" w:eastAsia="Times New Roman" w:hAnsi="Verdana" w:cs="Tahoma"/>
          <w:b/>
          <w:bCs/>
          <w:noProof/>
          <w:sz w:val="20"/>
          <w:szCs w:val="20"/>
          <w:lang w:eastAsia="ar-SA"/>
        </w:rPr>
      </w:pPr>
    </w:p>
    <w:p w:rsidR="00A03C95" w:rsidRPr="00BE0556" w:rsidRDefault="00A03C95" w:rsidP="00A03C95">
      <w:pPr>
        <w:spacing w:before="120" w:after="120" w:line="240" w:lineRule="auto"/>
        <w:ind w:firstLine="720"/>
        <w:jc w:val="both"/>
        <w:rPr>
          <w:rStyle w:val="Hyperlink"/>
          <w:rFonts w:ascii="Verdana" w:hAnsi="Verdana"/>
          <w:color w:val="auto"/>
          <w:sz w:val="20"/>
          <w:szCs w:val="20"/>
        </w:rPr>
      </w:pPr>
      <w:r w:rsidRPr="00BE0556">
        <w:rPr>
          <w:rStyle w:val="Hyperlink"/>
          <w:rFonts w:ascii="Verdana" w:hAnsi="Verdana"/>
          <w:color w:val="auto"/>
          <w:sz w:val="20"/>
          <w:szCs w:val="20"/>
          <w:lang w:val="sr-Cyrl-CS"/>
        </w:rPr>
        <w:t>Р</w:t>
      </w:r>
      <w:r w:rsidRPr="00BE0556">
        <w:rPr>
          <w:rStyle w:val="Hyperlink"/>
          <w:rFonts w:ascii="Verdana" w:hAnsi="Verdana"/>
          <w:color w:val="auto"/>
          <w:sz w:val="20"/>
          <w:szCs w:val="20"/>
        </w:rPr>
        <w:t>езервисане штете по активним пословима на дан 31.12.2015. године износе 1.173.864 хиљада динара и мање су за 17,37% у односу на исти период претходне године, док су у односу на планиране вредности мање за 5,88%.</w:t>
      </w:r>
    </w:p>
    <w:p w:rsidR="00A03C95" w:rsidRPr="00BE0556" w:rsidRDefault="00A03C95" w:rsidP="00A03C95">
      <w:pPr>
        <w:spacing w:before="120" w:after="120" w:line="240" w:lineRule="auto"/>
        <w:ind w:firstLine="720"/>
        <w:jc w:val="both"/>
        <w:rPr>
          <w:rStyle w:val="Hyperlink"/>
          <w:rFonts w:ascii="Verdana" w:hAnsi="Verdana"/>
          <w:color w:val="auto"/>
          <w:sz w:val="20"/>
          <w:szCs w:val="20"/>
        </w:rPr>
      </w:pPr>
      <w:r w:rsidRPr="00BE0556">
        <w:rPr>
          <w:rStyle w:val="Hyperlink"/>
          <w:rFonts w:ascii="Verdana" w:hAnsi="Verdana"/>
          <w:color w:val="auto"/>
          <w:sz w:val="20"/>
          <w:szCs w:val="20"/>
          <w:lang w:val="sr-Cyrl-CS"/>
        </w:rPr>
        <w:t>Р</w:t>
      </w:r>
      <w:r w:rsidRPr="00BE0556">
        <w:rPr>
          <w:rStyle w:val="Hyperlink"/>
          <w:rFonts w:ascii="Verdana" w:hAnsi="Verdana"/>
          <w:color w:val="auto"/>
          <w:sz w:val="20"/>
          <w:szCs w:val="20"/>
        </w:rPr>
        <w:t>езервисане пасивне штете реосигурања на дан 31.12.2015. године износе 862.033 хиљада динара и мање су за 14,61% у односу на исти период претходне године, док су у односу на планиране вредности мање за 2,09 %.</w:t>
      </w:r>
    </w:p>
    <w:p w:rsidR="00A03C95" w:rsidRDefault="00A03C95" w:rsidP="00A03C95">
      <w:pPr>
        <w:spacing w:before="120" w:after="120" w:line="240" w:lineRule="auto"/>
        <w:ind w:firstLine="720"/>
        <w:jc w:val="both"/>
        <w:rPr>
          <w:rStyle w:val="Hyperlink"/>
          <w:rFonts w:ascii="Verdana" w:hAnsi="Verdana"/>
          <w:color w:val="auto"/>
          <w:sz w:val="20"/>
          <w:szCs w:val="20"/>
        </w:rPr>
      </w:pPr>
      <w:r w:rsidRPr="00BE0556">
        <w:rPr>
          <w:rStyle w:val="Hyperlink"/>
          <w:rFonts w:ascii="Verdana" w:hAnsi="Verdana"/>
          <w:color w:val="auto"/>
          <w:sz w:val="20"/>
          <w:szCs w:val="20"/>
        </w:rPr>
        <w:t>Резервисане штете у самопридржају Друштва на дан 31.12.2015. године износе 311.831 хиљада динара и мање су за 24,14% у односу на исти период претходне године, док су у односу на планиране вредности мање за 15,00%.</w:t>
      </w:r>
    </w:p>
    <w:p w:rsidR="00BE0556" w:rsidRPr="00BE0556" w:rsidRDefault="00BE0556" w:rsidP="00A03C95">
      <w:pPr>
        <w:spacing w:before="120" w:after="120" w:line="240" w:lineRule="auto"/>
        <w:ind w:firstLine="720"/>
        <w:jc w:val="both"/>
        <w:rPr>
          <w:rStyle w:val="Hyperlink"/>
          <w:rFonts w:ascii="Verdana" w:hAnsi="Verdana"/>
          <w:color w:val="auto"/>
          <w:sz w:val="20"/>
          <w:szCs w:val="20"/>
        </w:rPr>
      </w:pPr>
    </w:p>
    <w:p w:rsidR="00A03C95" w:rsidRDefault="00A03C95" w:rsidP="00A03C95">
      <w:pPr>
        <w:spacing w:before="120" w:after="120" w:line="240" w:lineRule="auto"/>
        <w:jc w:val="center"/>
        <w:rPr>
          <w:rStyle w:val="Hyperlink"/>
          <w:rFonts w:ascii="Verdana" w:hAnsi="Verdana"/>
          <w:sz w:val="20"/>
          <w:szCs w:val="20"/>
        </w:rPr>
      </w:pPr>
      <w:r>
        <w:rPr>
          <w:rFonts w:ascii="Verdana" w:hAnsi="Verdana"/>
          <w:noProof/>
          <w:sz w:val="20"/>
          <w:szCs w:val="20"/>
          <w:lang w:val="sr-Latn-RS" w:eastAsia="sr-Latn-RS"/>
        </w:rPr>
        <w:drawing>
          <wp:inline distT="0" distB="0" distL="0" distR="0" wp14:anchorId="417A7594" wp14:editId="11FD799F">
            <wp:extent cx="5597719" cy="2520564"/>
            <wp:effectExtent l="0" t="0" r="3175" b="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601383" cy="2522214"/>
                    </a:xfrm>
                    <a:prstGeom prst="rect">
                      <a:avLst/>
                    </a:prstGeom>
                    <a:noFill/>
                  </pic:spPr>
                </pic:pic>
              </a:graphicData>
            </a:graphic>
          </wp:inline>
        </w:drawing>
      </w:r>
    </w:p>
    <w:p w:rsidR="00A03C95" w:rsidRPr="00CC7A3F" w:rsidRDefault="00A03C95" w:rsidP="00A03C95">
      <w:pPr>
        <w:spacing w:before="120" w:after="120" w:line="240" w:lineRule="auto"/>
        <w:jc w:val="center"/>
        <w:rPr>
          <w:rStyle w:val="Hyperlink"/>
          <w:rFonts w:ascii="Verdana" w:hAnsi="Verdana"/>
          <w:sz w:val="20"/>
          <w:szCs w:val="20"/>
        </w:rPr>
      </w:pPr>
    </w:p>
    <w:p w:rsidR="00A03C95" w:rsidRPr="00A03C95" w:rsidRDefault="00A03C95" w:rsidP="00A03C95">
      <w:pPr>
        <w:pStyle w:val="ListParagraph"/>
        <w:keepNext/>
        <w:numPr>
          <w:ilvl w:val="2"/>
          <w:numId w:val="43"/>
        </w:numPr>
        <w:suppressAutoHyphens/>
        <w:spacing w:before="240" w:after="240" w:line="240" w:lineRule="auto"/>
        <w:jc w:val="both"/>
        <w:outlineLvl w:val="0"/>
        <w:rPr>
          <w:rFonts w:ascii="Verdana" w:eastAsia="Times New Roman" w:hAnsi="Verdana" w:cs="Tahoma"/>
          <w:b/>
          <w:bCs/>
          <w:i/>
          <w:noProof/>
          <w:sz w:val="20"/>
          <w:szCs w:val="20"/>
          <w:lang w:eastAsia="ar-SA"/>
        </w:rPr>
      </w:pPr>
      <w:bookmarkStart w:id="17" w:name="_Toc445975022"/>
      <w:r w:rsidRPr="00A03C95">
        <w:rPr>
          <w:rFonts w:ascii="Verdana" w:eastAsia="Times New Roman" w:hAnsi="Verdana" w:cs="Tahoma"/>
          <w:b/>
          <w:bCs/>
          <w:i/>
          <w:noProof/>
          <w:sz w:val="20"/>
          <w:szCs w:val="20"/>
          <w:lang w:eastAsia="ar-SA"/>
        </w:rPr>
        <w:t xml:space="preserve">Резервисане </w:t>
      </w:r>
      <w:r w:rsidRPr="00A03C95">
        <w:rPr>
          <w:rFonts w:ascii="Verdana" w:eastAsia="Times New Roman" w:hAnsi="Verdana" w:cs="Tahoma"/>
          <w:b/>
          <w:bCs/>
          <w:i/>
          <w:noProof/>
          <w:sz w:val="20"/>
          <w:szCs w:val="20"/>
          <w:lang w:val="sr-Cyrl-RS" w:eastAsia="ar-SA"/>
        </w:rPr>
        <w:t xml:space="preserve">пријављене </w:t>
      </w:r>
      <w:r w:rsidRPr="00A03C95">
        <w:rPr>
          <w:rFonts w:ascii="Verdana" w:eastAsia="Times New Roman" w:hAnsi="Verdana" w:cs="Tahoma"/>
          <w:b/>
          <w:bCs/>
          <w:i/>
          <w:noProof/>
          <w:sz w:val="20"/>
          <w:szCs w:val="20"/>
          <w:lang w:eastAsia="ar-SA"/>
        </w:rPr>
        <w:t>штете реосигурања на дан 31.12.2015. године по врстама реосигурања</w:t>
      </w:r>
      <w:bookmarkEnd w:id="17"/>
    </w:p>
    <w:p w:rsidR="00A03C95" w:rsidRDefault="00A03C95" w:rsidP="00A03C95">
      <w:pPr>
        <w:pStyle w:val="ListParagraph"/>
        <w:keepNext/>
        <w:suppressAutoHyphens/>
        <w:spacing w:before="240" w:after="240" w:line="240" w:lineRule="auto"/>
        <w:ind w:left="1276"/>
        <w:jc w:val="both"/>
        <w:outlineLvl w:val="0"/>
        <w:rPr>
          <w:rFonts w:ascii="Verdana" w:eastAsia="Times New Roman" w:hAnsi="Verdana" w:cs="Tahoma"/>
          <w:b/>
          <w:bCs/>
          <w:i/>
          <w:noProof/>
          <w:sz w:val="20"/>
          <w:szCs w:val="20"/>
          <w:lang w:val="sr-Cyrl-CS" w:eastAsia="ar-SA"/>
        </w:rPr>
      </w:pPr>
    </w:p>
    <w:p w:rsidR="00A03C95" w:rsidRDefault="00A03C95" w:rsidP="00A03C95">
      <w:pPr>
        <w:tabs>
          <w:tab w:val="left" w:pos="1134"/>
        </w:tabs>
        <w:spacing w:before="120" w:after="120" w:line="240" w:lineRule="auto"/>
        <w:jc w:val="both"/>
        <w:rPr>
          <w:rFonts w:ascii="Verdana" w:eastAsia="Verdana" w:hAnsi="Verdana" w:cs="Times New Roman"/>
          <w:color w:val="FF0000"/>
          <w:sz w:val="20"/>
          <w:szCs w:val="20"/>
          <w:lang w:val="sr-Cyrl-CS"/>
        </w:rPr>
      </w:pPr>
      <w:r>
        <w:rPr>
          <w:rFonts w:ascii="Verdana" w:eastAsia="Verdana" w:hAnsi="Verdana" w:cs="Times New Roman"/>
          <w:sz w:val="20"/>
          <w:szCs w:val="20"/>
          <w:lang w:val="sr-Cyrl-CS"/>
        </w:rPr>
        <w:tab/>
      </w:r>
      <w:r w:rsidRPr="00871C87">
        <w:rPr>
          <w:rFonts w:ascii="Verdana" w:eastAsia="Verdana" w:hAnsi="Verdana" w:cs="Times New Roman"/>
          <w:sz w:val="20"/>
          <w:szCs w:val="20"/>
          <w:lang w:val="sr-Cyrl-CS"/>
        </w:rPr>
        <w:t>Највећи индекс раста у односу на претходну годину забележен је код осигурања ваздухоплова и осигурања од опште одговорности.</w:t>
      </w:r>
    </w:p>
    <w:p w:rsidR="00A03C95" w:rsidRPr="00871C87" w:rsidRDefault="00A03C95" w:rsidP="00A03C95">
      <w:pPr>
        <w:tabs>
          <w:tab w:val="left" w:pos="1134"/>
        </w:tabs>
        <w:spacing w:before="120" w:after="120" w:line="240" w:lineRule="auto"/>
        <w:jc w:val="both"/>
        <w:rPr>
          <w:rFonts w:ascii="Verdana" w:eastAsia="Verdana" w:hAnsi="Verdana" w:cs="Times New Roman"/>
          <w:sz w:val="20"/>
          <w:szCs w:val="20"/>
          <w:lang w:val="sr-Cyrl-CS"/>
        </w:rPr>
      </w:pPr>
      <w:r>
        <w:rPr>
          <w:rFonts w:ascii="Verdana" w:eastAsia="Verdana" w:hAnsi="Verdana" w:cs="Times New Roman"/>
          <w:sz w:val="20"/>
          <w:szCs w:val="20"/>
          <w:lang w:val="sr-Cyrl-CS"/>
        </w:rPr>
        <w:tab/>
      </w:r>
      <w:r w:rsidRPr="00871C87">
        <w:rPr>
          <w:rFonts w:ascii="Verdana" w:eastAsia="Verdana" w:hAnsi="Verdana" w:cs="Times New Roman"/>
          <w:sz w:val="20"/>
          <w:szCs w:val="20"/>
          <w:lang w:val="sr-Cyrl-CS"/>
        </w:rPr>
        <w:t>Смањење резервација у односу на претходну годину приметно је у појединим врстама осигурања и то код осигурања имовине од пожара и других опасности, осталих осигурања имовине и осигурања финансијских губитака. До смањења је дошло због ажурнијег решавања штета у 2015. години и смањеног нивоа одштетних захтева по активном послу.</w:t>
      </w:r>
    </w:p>
    <w:p w:rsidR="00A03C95" w:rsidRPr="00EF4D8B" w:rsidRDefault="00A03C95" w:rsidP="00A03C95">
      <w:pPr>
        <w:spacing w:before="120" w:after="120" w:line="240" w:lineRule="auto"/>
        <w:ind w:firstLine="1134"/>
        <w:jc w:val="both"/>
        <w:rPr>
          <w:rFonts w:ascii="Verdana" w:eastAsia="Verdana" w:hAnsi="Verdana" w:cs="Times New Roman"/>
          <w:color w:val="FF0000"/>
          <w:sz w:val="20"/>
          <w:szCs w:val="20"/>
          <w:lang w:val="sr-Cyrl-CS"/>
        </w:rPr>
      </w:pPr>
      <w:r>
        <w:rPr>
          <w:rFonts w:ascii="Verdana" w:eastAsia="Times New Roman" w:hAnsi="Verdana" w:cs="Tahoma"/>
          <w:noProof/>
          <w:sz w:val="20"/>
          <w:szCs w:val="20"/>
          <w:lang w:val="sr-Cyrl-RS" w:eastAsia="ar-SA"/>
        </w:rPr>
        <w:t>Н</w:t>
      </w:r>
      <w:r w:rsidRPr="005A70CA">
        <w:rPr>
          <w:rFonts w:ascii="Verdana" w:eastAsia="Times New Roman" w:hAnsi="Verdana" w:cs="Tahoma"/>
          <w:noProof/>
          <w:sz w:val="20"/>
          <w:szCs w:val="20"/>
          <w:lang w:eastAsia="ar-SA"/>
        </w:rPr>
        <w:t xml:space="preserve">ајзначајније промене </w:t>
      </w:r>
      <w:r>
        <w:rPr>
          <w:rFonts w:ascii="Verdana" w:eastAsia="Times New Roman" w:hAnsi="Verdana" w:cs="Tahoma"/>
          <w:noProof/>
          <w:sz w:val="20"/>
          <w:szCs w:val="20"/>
          <w:lang w:val="sr-Cyrl-RS" w:eastAsia="ar-SA"/>
        </w:rPr>
        <w:t>код пријављених резервисаних штета р</w:t>
      </w:r>
      <w:r w:rsidRPr="005A70CA">
        <w:rPr>
          <w:rFonts w:ascii="Verdana" w:eastAsia="Times New Roman" w:hAnsi="Verdana" w:cs="Tahoma"/>
          <w:noProof/>
          <w:sz w:val="20"/>
          <w:szCs w:val="20"/>
          <w:lang w:eastAsia="ar-SA"/>
        </w:rPr>
        <w:t>еосигурања остварених у периоду од 01.01.2015. до 31.12.2015. године забележене</w:t>
      </w:r>
      <w:r>
        <w:rPr>
          <w:rFonts w:ascii="Verdana" w:eastAsia="Times New Roman" w:hAnsi="Verdana" w:cs="Tahoma"/>
          <w:noProof/>
          <w:sz w:val="20"/>
          <w:szCs w:val="20"/>
          <w:lang w:val="sr-Cyrl-RS" w:eastAsia="ar-SA"/>
        </w:rPr>
        <w:t xml:space="preserve"> су</w:t>
      </w:r>
      <w:r w:rsidRPr="005A70CA">
        <w:rPr>
          <w:rFonts w:ascii="Verdana" w:eastAsia="Times New Roman" w:hAnsi="Verdana" w:cs="Tahoma"/>
          <w:noProof/>
          <w:sz w:val="20"/>
          <w:szCs w:val="20"/>
          <w:lang w:eastAsia="ar-SA"/>
        </w:rPr>
        <w:t xml:space="preserve"> у следећим врстама реосигурања:</w:t>
      </w:r>
    </w:p>
    <w:p w:rsidR="00A03C95" w:rsidRPr="00CA4E68" w:rsidRDefault="00A03C95" w:rsidP="00A03C95">
      <w:pPr>
        <w:numPr>
          <w:ilvl w:val="0"/>
          <w:numId w:val="12"/>
        </w:numPr>
        <w:tabs>
          <w:tab w:val="left" w:pos="1134"/>
        </w:tabs>
        <w:spacing w:before="120" w:after="120" w:line="240" w:lineRule="auto"/>
        <w:ind w:left="0" w:firstLine="720"/>
        <w:jc w:val="both"/>
        <w:rPr>
          <w:rFonts w:ascii="Verdana" w:eastAsia="Verdana" w:hAnsi="Verdana" w:cs="Times New Roman"/>
          <w:sz w:val="20"/>
          <w:szCs w:val="20"/>
        </w:rPr>
      </w:pPr>
      <w:r w:rsidRPr="001C626D">
        <w:rPr>
          <w:rFonts w:ascii="Verdana" w:eastAsia="Verdana" w:hAnsi="Verdana" w:cs="Times New Roman"/>
          <w:b/>
          <w:sz w:val="20"/>
          <w:szCs w:val="20"/>
        </w:rPr>
        <w:t xml:space="preserve">врста 05 </w:t>
      </w:r>
      <w:r w:rsidRPr="001C626D">
        <w:rPr>
          <w:rFonts w:ascii="Verdana" w:eastAsia="Verdana" w:hAnsi="Verdana" w:cs="Times New Roman"/>
          <w:sz w:val="20"/>
          <w:szCs w:val="20"/>
        </w:rPr>
        <w:t>– осигурање ваздухоплова, где пораст резервисаних штета реосигурања у односу на исти период прошле године износи 51.127 хиљада динара, односно 343,3</w:t>
      </w:r>
      <w:r>
        <w:rPr>
          <w:rFonts w:ascii="Verdana" w:eastAsia="Verdana" w:hAnsi="Verdana" w:cs="Times New Roman"/>
          <w:sz w:val="20"/>
          <w:szCs w:val="20"/>
        </w:rPr>
        <w:t>6</w:t>
      </w:r>
      <w:r w:rsidRPr="001C626D">
        <w:rPr>
          <w:rFonts w:ascii="Verdana" w:eastAsia="Verdana" w:hAnsi="Verdana" w:cs="Times New Roman"/>
          <w:sz w:val="20"/>
          <w:szCs w:val="20"/>
        </w:rPr>
        <w:t>%</w:t>
      </w:r>
      <w:r>
        <w:rPr>
          <w:rFonts w:ascii="Verdana" w:eastAsia="Verdana" w:hAnsi="Verdana" w:cs="Times New Roman"/>
          <w:sz w:val="20"/>
          <w:szCs w:val="20"/>
          <w:lang w:val="sr-Cyrl-CS"/>
        </w:rPr>
        <w:t xml:space="preserve">. </w:t>
      </w:r>
    </w:p>
    <w:p w:rsidR="00A03C95" w:rsidRDefault="00A03C95" w:rsidP="00A03C95">
      <w:pPr>
        <w:tabs>
          <w:tab w:val="left" w:pos="1134"/>
        </w:tabs>
        <w:spacing w:before="120" w:after="120" w:line="240" w:lineRule="auto"/>
        <w:jc w:val="both"/>
        <w:rPr>
          <w:rFonts w:ascii="Verdana" w:eastAsia="Verdana" w:hAnsi="Verdana" w:cs="Times New Roman"/>
          <w:sz w:val="20"/>
          <w:szCs w:val="20"/>
          <w:lang w:val="sr-Cyrl-CS"/>
        </w:rPr>
      </w:pPr>
      <w:r>
        <w:rPr>
          <w:rFonts w:ascii="Verdana" w:eastAsia="Verdana" w:hAnsi="Verdana" w:cs="Times New Roman"/>
          <w:b/>
          <w:sz w:val="20"/>
          <w:szCs w:val="20"/>
          <w:lang w:val="sr-Cyrl-CS"/>
        </w:rPr>
        <w:tab/>
      </w:r>
      <w:r>
        <w:rPr>
          <w:rFonts w:ascii="Verdana" w:eastAsia="Verdana" w:hAnsi="Verdana" w:cs="Times New Roman"/>
          <w:sz w:val="20"/>
          <w:szCs w:val="20"/>
          <w:lang w:val="sr-Cyrl-CS"/>
        </w:rPr>
        <w:t xml:space="preserve">Овај раст је узрокован резервацијом штете у </w:t>
      </w:r>
      <w:r w:rsidRPr="001C626D">
        <w:rPr>
          <w:rFonts w:ascii="Verdana" w:eastAsia="Verdana" w:hAnsi="Verdana" w:cs="Times New Roman"/>
          <w:sz w:val="20"/>
          <w:szCs w:val="20"/>
        </w:rPr>
        <w:t xml:space="preserve">износу </w:t>
      </w:r>
      <w:r>
        <w:rPr>
          <w:rFonts w:ascii="Verdana" w:eastAsia="Verdana" w:hAnsi="Verdana" w:cs="Times New Roman"/>
          <w:sz w:val="20"/>
          <w:szCs w:val="20"/>
          <w:lang w:val="sr-Cyrl-CS"/>
        </w:rPr>
        <w:t xml:space="preserve">од </w:t>
      </w:r>
      <w:r w:rsidRPr="001C626D">
        <w:rPr>
          <w:rFonts w:ascii="Verdana" w:eastAsia="Verdana" w:hAnsi="Verdana" w:cs="Times New Roman"/>
          <w:sz w:val="20"/>
          <w:szCs w:val="20"/>
        </w:rPr>
        <w:t>60.893 хиљада динара по Уговору о реосигурању авио флоте осигураника AIR SERBIA</w:t>
      </w:r>
      <w:r>
        <w:rPr>
          <w:rFonts w:ascii="Verdana" w:eastAsia="Verdana" w:hAnsi="Verdana" w:cs="Times New Roman"/>
          <w:sz w:val="20"/>
          <w:szCs w:val="20"/>
          <w:lang w:val="sr-Cyrl-CS"/>
        </w:rPr>
        <w:t xml:space="preserve"> закљученог са Дунав осигурањем. </w:t>
      </w:r>
      <w:r w:rsidRPr="001C626D">
        <w:rPr>
          <w:rFonts w:ascii="Verdana" w:eastAsia="Verdana" w:hAnsi="Verdana" w:cs="Times New Roman"/>
          <w:sz w:val="20"/>
          <w:szCs w:val="20"/>
        </w:rPr>
        <w:t xml:space="preserve"> </w:t>
      </w:r>
    </w:p>
    <w:p w:rsidR="00A03C95" w:rsidRPr="008B4841" w:rsidRDefault="00A03C95" w:rsidP="00A03C95">
      <w:pPr>
        <w:numPr>
          <w:ilvl w:val="0"/>
          <w:numId w:val="12"/>
        </w:numPr>
        <w:tabs>
          <w:tab w:val="left" w:pos="1134"/>
        </w:tabs>
        <w:spacing w:before="120" w:after="120" w:line="240" w:lineRule="auto"/>
        <w:ind w:left="0" w:firstLine="720"/>
        <w:jc w:val="both"/>
        <w:rPr>
          <w:rFonts w:ascii="Verdana" w:eastAsia="Verdana" w:hAnsi="Verdana" w:cs="Times New Roman"/>
          <w:b/>
          <w:sz w:val="20"/>
          <w:szCs w:val="20"/>
        </w:rPr>
      </w:pPr>
      <w:r w:rsidRPr="001C626D">
        <w:rPr>
          <w:rFonts w:ascii="Verdana" w:eastAsia="Verdana" w:hAnsi="Verdana" w:cs="Times New Roman"/>
          <w:b/>
          <w:sz w:val="20"/>
          <w:szCs w:val="20"/>
        </w:rPr>
        <w:t xml:space="preserve">врста 08 </w:t>
      </w:r>
      <w:r w:rsidRPr="001C626D">
        <w:rPr>
          <w:rFonts w:ascii="Verdana" w:eastAsia="Verdana" w:hAnsi="Verdana" w:cs="Times New Roman"/>
          <w:sz w:val="20"/>
          <w:szCs w:val="20"/>
        </w:rPr>
        <w:t xml:space="preserve">– осигурање имовине од пожара и других опасности, где пад резервисаних </w:t>
      </w:r>
      <w:r w:rsidRPr="008B4841">
        <w:rPr>
          <w:rFonts w:ascii="Verdana" w:eastAsia="Verdana" w:hAnsi="Verdana" w:cs="Times New Roman"/>
          <w:sz w:val="20"/>
          <w:szCs w:val="20"/>
        </w:rPr>
        <w:t>штета реосигурања у односу на исти период прошле године износи 328.334 хиљада динара, односно 42,22%.</w:t>
      </w:r>
    </w:p>
    <w:p w:rsidR="00A03C95" w:rsidRDefault="00A03C95" w:rsidP="00A03C95">
      <w:pPr>
        <w:pStyle w:val="ListParagraph"/>
        <w:tabs>
          <w:tab w:val="left" w:pos="3014"/>
        </w:tabs>
        <w:spacing w:before="120" w:after="120" w:line="240" w:lineRule="auto"/>
        <w:ind w:left="0" w:firstLine="720"/>
        <w:jc w:val="both"/>
        <w:rPr>
          <w:rFonts w:ascii="Verdana" w:eastAsia="Times New Roman" w:hAnsi="Verdana" w:cs="Tahoma"/>
          <w:bCs/>
          <w:noProof/>
          <w:sz w:val="20"/>
          <w:szCs w:val="20"/>
          <w:lang w:eastAsia="ar-SA"/>
        </w:rPr>
      </w:pPr>
      <w:r>
        <w:rPr>
          <w:rFonts w:ascii="Verdana" w:eastAsia="Times New Roman" w:hAnsi="Verdana" w:cs="Tahoma"/>
          <w:bCs/>
          <w:noProof/>
          <w:sz w:val="20"/>
          <w:szCs w:val="20"/>
          <w:lang w:val="sr-Cyrl-CS" w:eastAsia="ar-SA"/>
        </w:rPr>
        <w:t xml:space="preserve">      До пада је дошло због л</w:t>
      </w:r>
      <w:r>
        <w:rPr>
          <w:rFonts w:ascii="Verdana" w:eastAsia="Times New Roman" w:hAnsi="Verdana" w:cs="Tahoma"/>
          <w:bCs/>
          <w:noProof/>
          <w:sz w:val="20"/>
          <w:szCs w:val="20"/>
          <w:lang w:eastAsia="ar-SA"/>
        </w:rPr>
        <w:t>иквид</w:t>
      </w:r>
      <w:r>
        <w:rPr>
          <w:rFonts w:ascii="Verdana" w:eastAsia="Times New Roman" w:hAnsi="Verdana" w:cs="Tahoma"/>
          <w:bCs/>
          <w:noProof/>
          <w:sz w:val="20"/>
          <w:szCs w:val="20"/>
          <w:lang w:val="sr-Cyrl-CS" w:eastAsia="ar-SA"/>
        </w:rPr>
        <w:t>ације</w:t>
      </w:r>
      <w:r w:rsidRPr="001E79D6">
        <w:rPr>
          <w:rFonts w:ascii="Verdana" w:eastAsia="Times New Roman" w:hAnsi="Verdana" w:cs="Tahoma"/>
          <w:bCs/>
          <w:noProof/>
          <w:sz w:val="20"/>
          <w:szCs w:val="20"/>
          <w:lang w:eastAsia="ar-SA"/>
        </w:rPr>
        <w:t xml:space="preserve"> </w:t>
      </w:r>
      <w:r>
        <w:rPr>
          <w:rFonts w:ascii="Verdana" w:eastAsia="Times New Roman" w:hAnsi="Verdana" w:cs="Tahoma"/>
          <w:bCs/>
          <w:noProof/>
          <w:sz w:val="20"/>
          <w:szCs w:val="20"/>
          <w:lang w:eastAsia="ar-SA"/>
        </w:rPr>
        <w:t>штет</w:t>
      </w:r>
      <w:r>
        <w:rPr>
          <w:rFonts w:ascii="Verdana" w:eastAsia="Times New Roman" w:hAnsi="Verdana" w:cs="Tahoma"/>
          <w:bCs/>
          <w:noProof/>
          <w:sz w:val="20"/>
          <w:szCs w:val="20"/>
          <w:lang w:val="sr-Cyrl-CS" w:eastAsia="ar-SA"/>
        </w:rPr>
        <w:t>е</w:t>
      </w:r>
      <w:r w:rsidRPr="001E79D6">
        <w:rPr>
          <w:rFonts w:ascii="Verdana" w:eastAsia="Times New Roman" w:hAnsi="Verdana" w:cs="Tahoma"/>
          <w:bCs/>
          <w:noProof/>
          <w:sz w:val="20"/>
          <w:szCs w:val="20"/>
          <w:lang w:eastAsia="ar-SA"/>
        </w:rPr>
        <w:t xml:space="preserve"> по Уговору о реосигурању вишка ризика за природне опасности Компаније Дунав осигурање која је на дан 31.12.2</w:t>
      </w:r>
      <w:r>
        <w:rPr>
          <w:rFonts w:ascii="Verdana" w:eastAsia="Times New Roman" w:hAnsi="Verdana" w:cs="Tahoma"/>
          <w:bCs/>
          <w:noProof/>
          <w:sz w:val="20"/>
          <w:szCs w:val="20"/>
          <w:lang w:eastAsia="ar-SA"/>
        </w:rPr>
        <w:t>014. године била у резервацији</w:t>
      </w:r>
      <w:r>
        <w:rPr>
          <w:rFonts w:ascii="Verdana" w:eastAsia="Times New Roman" w:hAnsi="Verdana" w:cs="Tahoma"/>
          <w:bCs/>
          <w:noProof/>
          <w:sz w:val="20"/>
          <w:szCs w:val="20"/>
          <w:lang w:val="sr-Cyrl-CS" w:eastAsia="ar-SA"/>
        </w:rPr>
        <w:t xml:space="preserve"> </w:t>
      </w:r>
      <w:r w:rsidRPr="001E79D6">
        <w:rPr>
          <w:rFonts w:ascii="Verdana" w:eastAsia="Times New Roman" w:hAnsi="Verdana" w:cs="Tahoma"/>
          <w:bCs/>
          <w:noProof/>
          <w:sz w:val="20"/>
          <w:szCs w:val="20"/>
          <w:lang w:eastAsia="ar-SA"/>
        </w:rPr>
        <w:t xml:space="preserve">у износу </w:t>
      </w:r>
      <w:r>
        <w:rPr>
          <w:rFonts w:ascii="Verdana" w:eastAsia="Times New Roman" w:hAnsi="Verdana" w:cs="Tahoma"/>
          <w:bCs/>
          <w:noProof/>
          <w:sz w:val="20"/>
          <w:szCs w:val="20"/>
          <w:lang w:val="sr-Cyrl-CS" w:eastAsia="ar-SA"/>
        </w:rPr>
        <w:t xml:space="preserve">од </w:t>
      </w:r>
      <w:r w:rsidRPr="001E79D6">
        <w:rPr>
          <w:rFonts w:ascii="Verdana" w:eastAsia="Times New Roman" w:hAnsi="Verdana" w:cs="Tahoma"/>
          <w:bCs/>
          <w:noProof/>
          <w:sz w:val="20"/>
          <w:szCs w:val="20"/>
          <w:lang w:eastAsia="ar-SA"/>
        </w:rPr>
        <w:t>325.162 хиљада динара</w:t>
      </w:r>
      <w:r>
        <w:rPr>
          <w:rFonts w:ascii="Verdana" w:eastAsia="Times New Roman" w:hAnsi="Verdana" w:cs="Tahoma"/>
          <w:bCs/>
          <w:noProof/>
          <w:sz w:val="20"/>
          <w:szCs w:val="20"/>
          <w:lang w:val="sr-Cyrl-CS" w:eastAsia="ar-SA"/>
        </w:rPr>
        <w:t xml:space="preserve"> активно</w:t>
      </w:r>
      <w:r w:rsidRPr="001E79D6">
        <w:rPr>
          <w:rFonts w:ascii="Verdana" w:eastAsia="Times New Roman" w:hAnsi="Verdana" w:cs="Tahoma"/>
          <w:bCs/>
          <w:noProof/>
          <w:sz w:val="20"/>
          <w:szCs w:val="20"/>
          <w:lang w:eastAsia="ar-SA"/>
        </w:rPr>
        <w:t>.</w:t>
      </w:r>
      <w:r w:rsidRPr="001E79D6">
        <w:rPr>
          <w:rFonts w:ascii="Verdana" w:eastAsia="Times New Roman" w:hAnsi="Verdana" w:cs="Tahoma"/>
          <w:bCs/>
          <w:noProof/>
          <w:sz w:val="20"/>
          <w:szCs w:val="20"/>
          <w:lang w:eastAsia="ar-SA"/>
        </w:rPr>
        <w:tab/>
      </w:r>
    </w:p>
    <w:p w:rsidR="00A03C95" w:rsidRPr="004445E0" w:rsidRDefault="00A03C95" w:rsidP="00A03C95">
      <w:pPr>
        <w:numPr>
          <w:ilvl w:val="0"/>
          <w:numId w:val="12"/>
        </w:numPr>
        <w:tabs>
          <w:tab w:val="left" w:pos="1134"/>
        </w:tabs>
        <w:spacing w:before="120" w:after="120" w:line="240" w:lineRule="auto"/>
        <w:ind w:left="0" w:firstLine="720"/>
        <w:jc w:val="both"/>
        <w:rPr>
          <w:rFonts w:ascii="Verdana" w:eastAsia="Verdana" w:hAnsi="Verdana" w:cs="Times New Roman"/>
          <w:b/>
          <w:sz w:val="20"/>
          <w:szCs w:val="20"/>
        </w:rPr>
      </w:pPr>
      <w:r w:rsidRPr="004445E0">
        <w:rPr>
          <w:rFonts w:ascii="Verdana" w:eastAsia="Verdana" w:hAnsi="Verdana" w:cs="Times New Roman"/>
          <w:b/>
          <w:sz w:val="20"/>
          <w:szCs w:val="20"/>
        </w:rPr>
        <w:t xml:space="preserve">врста 09 </w:t>
      </w:r>
      <w:r w:rsidRPr="004445E0">
        <w:rPr>
          <w:rFonts w:ascii="Verdana" w:eastAsia="Verdana" w:hAnsi="Verdana" w:cs="Times New Roman"/>
          <w:sz w:val="20"/>
          <w:szCs w:val="20"/>
        </w:rPr>
        <w:t>– остала осигурања имовине, где пад резервисаних штета реосигурања у односу на исти период прошле године  износи 59.627 хиљада динара, односно 45,11%.</w:t>
      </w:r>
    </w:p>
    <w:p w:rsidR="00A03C95" w:rsidRPr="00871C87" w:rsidRDefault="00A03C95" w:rsidP="00A03C95">
      <w:pPr>
        <w:pStyle w:val="ListParagraph"/>
        <w:spacing w:before="120" w:after="120" w:line="240" w:lineRule="auto"/>
        <w:ind w:left="0"/>
        <w:jc w:val="both"/>
        <w:rPr>
          <w:rFonts w:ascii="Verdana" w:eastAsia="Verdana" w:hAnsi="Verdana" w:cs="Times New Roman"/>
          <w:sz w:val="20"/>
          <w:szCs w:val="20"/>
        </w:rPr>
      </w:pPr>
      <w:r w:rsidRPr="00871C87">
        <w:rPr>
          <w:rFonts w:ascii="Verdana" w:eastAsia="Verdana" w:hAnsi="Verdana" w:cs="Times New Roman"/>
          <w:sz w:val="20"/>
          <w:szCs w:val="20"/>
          <w:lang w:val="sr-Cyrl-CS"/>
        </w:rPr>
        <w:t xml:space="preserve">                Узрок овом паду је ш</w:t>
      </w:r>
      <w:r w:rsidRPr="00871C87">
        <w:rPr>
          <w:rFonts w:ascii="Verdana" w:eastAsia="Verdana" w:hAnsi="Verdana" w:cs="Times New Roman"/>
          <w:sz w:val="20"/>
          <w:szCs w:val="20"/>
        </w:rPr>
        <w:t>тета цедента Midland Insurance Co.</w:t>
      </w:r>
      <w:r w:rsidRPr="00871C87">
        <w:rPr>
          <w:rFonts w:ascii="Verdana" w:eastAsia="Verdana" w:hAnsi="Verdana" w:cs="Times New Roman"/>
          <w:sz w:val="20"/>
          <w:szCs w:val="20"/>
          <w:lang w:val="sr-Cyrl-CS"/>
        </w:rPr>
        <w:t xml:space="preserve">, </w:t>
      </w:r>
      <w:r w:rsidRPr="00871C87">
        <w:rPr>
          <w:rFonts w:ascii="Verdana" w:eastAsia="Verdana" w:hAnsi="Verdana" w:cs="Times New Roman"/>
          <w:sz w:val="20"/>
          <w:szCs w:val="20"/>
        </w:rPr>
        <w:t>која је била резевисана на дан 31.</w:t>
      </w:r>
      <w:r w:rsidRPr="00871C87">
        <w:rPr>
          <w:rFonts w:ascii="Verdana" w:eastAsia="Verdana" w:hAnsi="Verdana" w:cs="Times New Roman"/>
          <w:sz w:val="20"/>
          <w:szCs w:val="20"/>
          <w:lang w:val="sr-Cyrl-CS"/>
        </w:rPr>
        <w:t>12</w:t>
      </w:r>
      <w:r w:rsidRPr="00871C87">
        <w:rPr>
          <w:rFonts w:ascii="Verdana" w:eastAsia="Verdana" w:hAnsi="Verdana" w:cs="Times New Roman"/>
          <w:sz w:val="20"/>
          <w:szCs w:val="20"/>
        </w:rPr>
        <w:t>.201</w:t>
      </w:r>
      <w:r w:rsidRPr="00871C87">
        <w:rPr>
          <w:rFonts w:ascii="Verdana" w:eastAsia="Verdana" w:hAnsi="Verdana" w:cs="Times New Roman"/>
          <w:sz w:val="20"/>
          <w:szCs w:val="20"/>
          <w:lang w:val="sr-Cyrl-CS"/>
        </w:rPr>
        <w:t>4</w:t>
      </w:r>
      <w:r w:rsidRPr="00871C87">
        <w:rPr>
          <w:rFonts w:ascii="Verdana" w:eastAsia="Verdana" w:hAnsi="Verdana" w:cs="Times New Roman"/>
          <w:sz w:val="20"/>
          <w:szCs w:val="20"/>
        </w:rPr>
        <w:t xml:space="preserve">. године на износ </w:t>
      </w:r>
      <w:r w:rsidRPr="00871C87">
        <w:rPr>
          <w:rFonts w:ascii="Verdana" w:eastAsia="Verdana" w:hAnsi="Verdana" w:cs="Times New Roman"/>
          <w:sz w:val="20"/>
          <w:szCs w:val="20"/>
          <w:lang w:val="sr-Cyrl-CS"/>
        </w:rPr>
        <w:t xml:space="preserve">од </w:t>
      </w:r>
      <w:r w:rsidRPr="00871C87">
        <w:rPr>
          <w:rFonts w:ascii="Verdana" w:eastAsia="Verdana" w:hAnsi="Verdana" w:cs="Times New Roman"/>
          <w:sz w:val="20"/>
          <w:szCs w:val="20"/>
        </w:rPr>
        <w:t>5</w:t>
      </w:r>
      <w:r w:rsidRPr="00871C87">
        <w:rPr>
          <w:rFonts w:ascii="Verdana" w:eastAsia="Verdana" w:hAnsi="Verdana" w:cs="Times New Roman"/>
          <w:sz w:val="20"/>
          <w:szCs w:val="20"/>
          <w:lang w:val="sr-Cyrl-CS"/>
        </w:rPr>
        <w:t>1</w:t>
      </w:r>
      <w:r w:rsidRPr="00871C87">
        <w:rPr>
          <w:rFonts w:ascii="Verdana" w:eastAsia="Verdana" w:hAnsi="Verdana" w:cs="Times New Roman"/>
          <w:sz w:val="20"/>
          <w:szCs w:val="20"/>
        </w:rPr>
        <w:t>.</w:t>
      </w:r>
      <w:r w:rsidRPr="00871C87">
        <w:rPr>
          <w:rFonts w:ascii="Verdana" w:eastAsia="Verdana" w:hAnsi="Verdana" w:cs="Times New Roman"/>
          <w:sz w:val="20"/>
          <w:szCs w:val="20"/>
          <w:lang w:val="sr-Cyrl-CS"/>
        </w:rPr>
        <w:t>039</w:t>
      </w:r>
      <w:r w:rsidRPr="00871C87">
        <w:rPr>
          <w:rFonts w:ascii="Verdana" w:eastAsia="Verdana" w:hAnsi="Verdana" w:cs="Times New Roman"/>
          <w:sz w:val="20"/>
          <w:szCs w:val="20"/>
        </w:rPr>
        <w:t xml:space="preserve"> хиљада динара</w:t>
      </w:r>
      <w:r w:rsidRPr="00871C87">
        <w:rPr>
          <w:rFonts w:ascii="Verdana" w:eastAsia="Verdana" w:hAnsi="Verdana" w:cs="Times New Roman"/>
          <w:sz w:val="20"/>
          <w:szCs w:val="20"/>
          <w:lang w:val="sr-Cyrl-CS"/>
        </w:rPr>
        <w:t xml:space="preserve"> и која </w:t>
      </w:r>
      <w:r w:rsidRPr="00871C87">
        <w:rPr>
          <w:rFonts w:ascii="Verdana" w:eastAsia="Verdana" w:hAnsi="Verdana" w:cs="Times New Roman"/>
          <w:sz w:val="20"/>
          <w:szCs w:val="20"/>
        </w:rPr>
        <w:t xml:space="preserve">није више у резервацији у књигама </w:t>
      </w:r>
      <w:r w:rsidRPr="00871C87">
        <w:rPr>
          <w:rFonts w:ascii="Verdana" w:eastAsia="Verdana" w:hAnsi="Verdana" w:cs="Times New Roman"/>
          <w:sz w:val="20"/>
          <w:szCs w:val="20"/>
          <w:lang w:val="sr-Cyrl-CS"/>
        </w:rPr>
        <w:t>Д</w:t>
      </w:r>
      <w:r w:rsidRPr="00871C87">
        <w:rPr>
          <w:rFonts w:ascii="Verdana" w:eastAsia="Verdana" w:hAnsi="Verdana" w:cs="Times New Roman"/>
          <w:sz w:val="20"/>
          <w:szCs w:val="20"/>
        </w:rPr>
        <w:t xml:space="preserve">руштва. Наиме, са New York Liquidation Bureau </w:t>
      </w:r>
      <w:r w:rsidRPr="00871C87">
        <w:rPr>
          <w:rFonts w:ascii="Verdana" w:eastAsia="Verdana" w:hAnsi="Verdana" w:cs="Times New Roman"/>
          <w:sz w:val="20"/>
          <w:szCs w:val="20"/>
          <w:lang w:val="sr-Cyrl-CS"/>
        </w:rPr>
        <w:t xml:space="preserve">у току 2015. године </w:t>
      </w:r>
      <w:r w:rsidRPr="00871C87">
        <w:rPr>
          <w:rFonts w:ascii="Verdana" w:eastAsia="Verdana" w:hAnsi="Verdana" w:cs="Times New Roman"/>
          <w:sz w:val="20"/>
          <w:szCs w:val="20"/>
        </w:rPr>
        <w:t>потписан је уговор о комутацији према коме су прошле, садашње и будуће обавезе према цеденту Midland Insurance Co. затворене у износу мањем од укупно ликвидираних штета у пословним књигама Дунава Ре, те не постоји обавеза даљег резервисања по наведној штети.</w:t>
      </w:r>
    </w:p>
    <w:p w:rsidR="00A03C95" w:rsidRPr="00871C87" w:rsidRDefault="00A03C95" w:rsidP="00A03C95">
      <w:pPr>
        <w:numPr>
          <w:ilvl w:val="0"/>
          <w:numId w:val="12"/>
        </w:numPr>
        <w:tabs>
          <w:tab w:val="left" w:pos="1134"/>
        </w:tabs>
        <w:spacing w:before="120" w:after="120" w:line="240" w:lineRule="auto"/>
        <w:ind w:left="0" w:firstLine="720"/>
        <w:jc w:val="both"/>
        <w:rPr>
          <w:rFonts w:ascii="Verdana" w:eastAsia="Verdana" w:hAnsi="Verdana" w:cs="Times New Roman"/>
          <w:sz w:val="20"/>
          <w:szCs w:val="20"/>
        </w:rPr>
      </w:pPr>
      <w:r w:rsidRPr="00FB2615">
        <w:rPr>
          <w:rFonts w:ascii="Verdana" w:eastAsia="Verdana" w:hAnsi="Verdana" w:cs="Times New Roman"/>
          <w:b/>
          <w:sz w:val="20"/>
          <w:szCs w:val="20"/>
        </w:rPr>
        <w:t>врста 10</w:t>
      </w:r>
      <w:r w:rsidRPr="00FB2615">
        <w:rPr>
          <w:rFonts w:ascii="Verdana" w:eastAsia="Verdana" w:hAnsi="Verdana" w:cs="Times New Roman"/>
          <w:sz w:val="20"/>
          <w:szCs w:val="20"/>
        </w:rPr>
        <w:t xml:space="preserve"> – осигурање од одговорности од употребе моторних возила, где пораст резервисаних штета реосигурања у односу на исти период прошле године износи 9.002 хиљада динара, односно 2,43%. </w:t>
      </w:r>
    </w:p>
    <w:p w:rsidR="00A03C95" w:rsidRPr="00CA4E68" w:rsidRDefault="00A03C95" w:rsidP="00A03C95">
      <w:pPr>
        <w:tabs>
          <w:tab w:val="left" w:pos="1134"/>
        </w:tabs>
        <w:spacing w:before="120" w:after="120" w:line="240" w:lineRule="auto"/>
        <w:jc w:val="both"/>
        <w:rPr>
          <w:rFonts w:ascii="Verdana" w:eastAsia="Verdana" w:hAnsi="Verdana" w:cs="Times New Roman"/>
          <w:sz w:val="20"/>
          <w:szCs w:val="20"/>
        </w:rPr>
      </w:pPr>
      <w:r>
        <w:rPr>
          <w:rFonts w:ascii="Verdana" w:eastAsia="Verdana" w:hAnsi="Verdana" w:cs="Times New Roman"/>
          <w:sz w:val="20"/>
          <w:szCs w:val="20"/>
          <w:lang w:val="sr-Cyrl-RS"/>
        </w:rPr>
        <w:tab/>
        <w:t xml:space="preserve">До повећања у врсти 10 дошло је због раста резервација по основу уговора о реосигурању аутоодговорности цедента Компаније Дунав осигурања. </w:t>
      </w:r>
    </w:p>
    <w:p w:rsidR="00A03C95" w:rsidRPr="004819B9" w:rsidRDefault="00A03C95" w:rsidP="00A03C95">
      <w:pPr>
        <w:numPr>
          <w:ilvl w:val="0"/>
          <w:numId w:val="12"/>
        </w:numPr>
        <w:tabs>
          <w:tab w:val="left" w:pos="1134"/>
        </w:tabs>
        <w:spacing w:before="120" w:after="120" w:line="240" w:lineRule="auto"/>
        <w:ind w:left="0" w:firstLine="720"/>
        <w:jc w:val="both"/>
        <w:rPr>
          <w:rFonts w:ascii="Verdana" w:eastAsia="Verdana" w:hAnsi="Verdana" w:cs="Times New Roman"/>
          <w:sz w:val="20"/>
          <w:szCs w:val="20"/>
        </w:rPr>
      </w:pPr>
      <w:r w:rsidRPr="00B54F57">
        <w:rPr>
          <w:rFonts w:ascii="Verdana" w:eastAsia="Verdana" w:hAnsi="Verdana" w:cs="Times New Roman"/>
          <w:b/>
          <w:sz w:val="20"/>
          <w:szCs w:val="20"/>
        </w:rPr>
        <w:t xml:space="preserve">врста 13 </w:t>
      </w:r>
      <w:r w:rsidRPr="00B54F57">
        <w:rPr>
          <w:rFonts w:ascii="Verdana" w:eastAsia="Verdana" w:hAnsi="Verdana" w:cs="Times New Roman"/>
          <w:sz w:val="20"/>
          <w:szCs w:val="20"/>
        </w:rPr>
        <w:t xml:space="preserve">– осигурање од опште одговорности, где пораст резервисаних штета реосигурања у односу на исти период прошле године износи 155.033 хиљада динара, односно </w:t>
      </w:r>
      <w:r w:rsidRPr="00732702">
        <w:rPr>
          <w:rFonts w:ascii="Verdana" w:eastAsia="Verdana" w:hAnsi="Verdana" w:cs="Times New Roman"/>
          <w:sz w:val="20"/>
          <w:szCs w:val="20"/>
        </w:rPr>
        <w:t xml:space="preserve">4.543,76%. </w:t>
      </w:r>
    </w:p>
    <w:p w:rsidR="00A03C95" w:rsidRDefault="00A03C95" w:rsidP="00A03C95">
      <w:pPr>
        <w:tabs>
          <w:tab w:val="left" w:pos="1134"/>
        </w:tabs>
        <w:spacing w:before="120" w:after="120" w:line="240" w:lineRule="auto"/>
        <w:jc w:val="both"/>
        <w:rPr>
          <w:rFonts w:ascii="Verdana" w:eastAsia="Verdana" w:hAnsi="Verdana" w:cs="Times New Roman"/>
          <w:sz w:val="20"/>
          <w:szCs w:val="20"/>
          <w:lang w:val="sr-Cyrl-RS"/>
        </w:rPr>
      </w:pPr>
      <w:r>
        <w:rPr>
          <w:rFonts w:ascii="Verdana" w:eastAsia="Verdana" w:hAnsi="Verdana" w:cs="Times New Roman"/>
          <w:b/>
          <w:sz w:val="20"/>
          <w:szCs w:val="20"/>
          <w:lang w:val="sr-Cyrl-CS"/>
        </w:rPr>
        <w:tab/>
      </w:r>
      <w:r w:rsidRPr="00732702">
        <w:rPr>
          <w:rFonts w:ascii="Verdana" w:eastAsia="Verdana" w:hAnsi="Verdana" w:cs="Times New Roman"/>
          <w:sz w:val="20"/>
          <w:szCs w:val="20"/>
        </w:rPr>
        <w:t>Разлог</w:t>
      </w:r>
      <w:r w:rsidRPr="00B54F57">
        <w:rPr>
          <w:rFonts w:ascii="Verdana" w:eastAsia="Verdana" w:hAnsi="Verdana" w:cs="Times New Roman"/>
          <w:sz w:val="20"/>
          <w:szCs w:val="20"/>
        </w:rPr>
        <w:t xml:space="preserve"> оваквог пораста</w:t>
      </w:r>
      <w:r>
        <w:rPr>
          <w:rFonts w:ascii="Verdana" w:eastAsia="Verdana" w:hAnsi="Verdana" w:cs="Times New Roman"/>
          <w:sz w:val="20"/>
          <w:szCs w:val="20"/>
        </w:rPr>
        <w:t xml:space="preserve"> резервациј</w:t>
      </w:r>
      <w:r>
        <w:rPr>
          <w:rFonts w:ascii="Verdana" w:eastAsia="Verdana" w:hAnsi="Verdana" w:cs="Times New Roman"/>
          <w:sz w:val="20"/>
          <w:szCs w:val="20"/>
          <w:lang w:val="sr-Cyrl-CS"/>
        </w:rPr>
        <w:t>а</w:t>
      </w:r>
      <w:r w:rsidRPr="00B54F57">
        <w:rPr>
          <w:rFonts w:ascii="Verdana" w:eastAsia="Verdana" w:hAnsi="Verdana" w:cs="Times New Roman"/>
          <w:sz w:val="20"/>
          <w:szCs w:val="20"/>
        </w:rPr>
        <w:t xml:space="preserve"> </w:t>
      </w:r>
      <w:r w:rsidRPr="00B54F57">
        <w:rPr>
          <w:rFonts w:ascii="Verdana" w:eastAsia="Times New Roman" w:hAnsi="Verdana" w:cs="Tahoma"/>
          <w:noProof/>
          <w:sz w:val="20"/>
          <w:szCs w:val="20"/>
          <w:lang w:eastAsia="ar-SA"/>
        </w:rPr>
        <w:t xml:space="preserve">проузрокован је првенствено резервацијом новопријављене штете за осигураника Комерцијална банка по уговору о реосигурању </w:t>
      </w:r>
      <w:r>
        <w:rPr>
          <w:rFonts w:ascii="Verdana" w:eastAsia="Times New Roman" w:hAnsi="Verdana" w:cs="Tahoma"/>
          <w:noProof/>
          <w:sz w:val="20"/>
          <w:szCs w:val="20"/>
          <w:lang w:eastAsia="ar-SA"/>
        </w:rPr>
        <w:t xml:space="preserve">одговорности (BBB&amp;DO) </w:t>
      </w:r>
      <w:r>
        <w:rPr>
          <w:rFonts w:ascii="Verdana" w:eastAsia="Times New Roman" w:hAnsi="Verdana" w:cs="Tahoma"/>
          <w:noProof/>
          <w:sz w:val="20"/>
          <w:szCs w:val="20"/>
          <w:lang w:val="sr-Cyrl-CS" w:eastAsia="ar-SA"/>
        </w:rPr>
        <w:t>закљученог са</w:t>
      </w:r>
      <w:r w:rsidRPr="00CC7A3F">
        <w:rPr>
          <w:rFonts w:ascii="Verdana" w:eastAsia="Times New Roman" w:hAnsi="Verdana" w:cs="Tahoma"/>
          <w:noProof/>
          <w:sz w:val="20"/>
          <w:szCs w:val="20"/>
          <w:lang w:eastAsia="ar-SA"/>
        </w:rPr>
        <w:t xml:space="preserve"> Дунав осигурањем за 2013. годину</w:t>
      </w:r>
      <w:r w:rsidRPr="00CC7A3F">
        <w:rPr>
          <w:rFonts w:ascii="Verdana" w:eastAsia="Verdana" w:hAnsi="Verdana" w:cs="Times New Roman"/>
          <w:sz w:val="20"/>
          <w:szCs w:val="20"/>
        </w:rPr>
        <w:t xml:space="preserve"> у износу 144.859 хиљада динара.</w:t>
      </w:r>
    </w:p>
    <w:p w:rsidR="00A03C95" w:rsidRPr="004445E0" w:rsidRDefault="00A03C95" w:rsidP="00A03C95">
      <w:pPr>
        <w:numPr>
          <w:ilvl w:val="0"/>
          <w:numId w:val="12"/>
        </w:numPr>
        <w:tabs>
          <w:tab w:val="left" w:pos="1134"/>
        </w:tabs>
        <w:spacing w:before="120" w:after="120" w:line="240" w:lineRule="auto"/>
        <w:ind w:left="0" w:firstLine="720"/>
        <w:jc w:val="both"/>
        <w:rPr>
          <w:rFonts w:ascii="Verdana" w:eastAsia="Verdana" w:hAnsi="Verdana" w:cs="Times New Roman"/>
          <w:b/>
          <w:sz w:val="20"/>
          <w:szCs w:val="20"/>
        </w:rPr>
      </w:pPr>
      <w:r w:rsidRPr="004445E0">
        <w:rPr>
          <w:rFonts w:ascii="Verdana" w:eastAsia="Verdana" w:hAnsi="Verdana" w:cs="Times New Roman"/>
          <w:b/>
          <w:sz w:val="20"/>
          <w:szCs w:val="20"/>
        </w:rPr>
        <w:t xml:space="preserve">врста 16 </w:t>
      </w:r>
      <w:r w:rsidRPr="004445E0">
        <w:rPr>
          <w:rFonts w:ascii="Verdana" w:eastAsia="Verdana" w:hAnsi="Verdana" w:cs="Times New Roman"/>
          <w:sz w:val="20"/>
          <w:szCs w:val="20"/>
        </w:rPr>
        <w:t>– осигурање прекида рада услед пожара, где пад резервисаних штета реосигурања у односу на исти период прошле године износи 57.91</w:t>
      </w:r>
      <w:r>
        <w:rPr>
          <w:rFonts w:ascii="Verdana" w:eastAsia="Verdana" w:hAnsi="Verdana" w:cs="Times New Roman"/>
          <w:sz w:val="20"/>
          <w:szCs w:val="20"/>
        </w:rPr>
        <w:t>0</w:t>
      </w:r>
      <w:r w:rsidRPr="004445E0">
        <w:rPr>
          <w:rFonts w:ascii="Verdana" w:eastAsia="Verdana" w:hAnsi="Verdana" w:cs="Times New Roman"/>
          <w:sz w:val="20"/>
          <w:szCs w:val="20"/>
        </w:rPr>
        <w:t xml:space="preserve"> хиљада динара, односно 97,96%. </w:t>
      </w:r>
    </w:p>
    <w:p w:rsidR="00A03C95" w:rsidRDefault="00A03C95" w:rsidP="00A03C95">
      <w:pPr>
        <w:pStyle w:val="ListParagraph"/>
        <w:spacing w:before="120" w:after="120" w:line="240" w:lineRule="auto"/>
        <w:ind w:left="0" w:firstLine="720"/>
        <w:jc w:val="both"/>
        <w:rPr>
          <w:rFonts w:ascii="Verdana" w:eastAsia="Verdana" w:hAnsi="Verdana" w:cs="Times New Roman"/>
          <w:sz w:val="20"/>
          <w:szCs w:val="20"/>
        </w:rPr>
      </w:pPr>
      <w:r>
        <w:rPr>
          <w:rFonts w:ascii="Verdana" w:eastAsia="Verdana" w:hAnsi="Verdana" w:cs="Times New Roman"/>
          <w:sz w:val="20"/>
          <w:szCs w:val="20"/>
          <w:lang w:val="sr-Cyrl-CS"/>
        </w:rPr>
        <w:t xml:space="preserve">Највећи утицај на пад је имала ликвидација </w:t>
      </w:r>
      <w:r>
        <w:rPr>
          <w:rFonts w:ascii="Verdana" w:eastAsia="Verdana" w:hAnsi="Verdana" w:cs="Times New Roman"/>
          <w:sz w:val="20"/>
          <w:szCs w:val="20"/>
        </w:rPr>
        <w:t>штет</w:t>
      </w:r>
      <w:r>
        <w:rPr>
          <w:rFonts w:ascii="Verdana" w:eastAsia="Verdana" w:hAnsi="Verdana" w:cs="Times New Roman"/>
          <w:sz w:val="20"/>
          <w:szCs w:val="20"/>
          <w:lang w:val="sr-Cyrl-CS"/>
        </w:rPr>
        <w:t>е</w:t>
      </w:r>
      <w:r w:rsidRPr="00CC7A3F">
        <w:rPr>
          <w:rFonts w:ascii="Verdana" w:eastAsia="Verdana" w:hAnsi="Verdana" w:cs="Times New Roman"/>
          <w:sz w:val="20"/>
          <w:szCs w:val="20"/>
        </w:rPr>
        <w:t xml:space="preserve"> за осигураника Marbo Product </w:t>
      </w:r>
      <w:r>
        <w:rPr>
          <w:rFonts w:ascii="Verdana" w:eastAsia="Verdana" w:hAnsi="Verdana" w:cs="Times New Roman"/>
          <w:sz w:val="20"/>
          <w:szCs w:val="20"/>
          <w:lang w:val="sr-Cyrl-CS"/>
        </w:rPr>
        <w:t>(</w:t>
      </w:r>
      <w:r w:rsidRPr="00CC7A3F">
        <w:rPr>
          <w:rFonts w:ascii="Verdana" w:eastAsia="Verdana" w:hAnsi="Verdana" w:cs="Times New Roman"/>
          <w:sz w:val="20"/>
          <w:szCs w:val="20"/>
        </w:rPr>
        <w:t>цедента Триглав осигурање</w:t>
      </w:r>
      <w:r>
        <w:rPr>
          <w:rFonts w:ascii="Verdana" w:eastAsia="Verdana" w:hAnsi="Verdana" w:cs="Times New Roman"/>
          <w:sz w:val="20"/>
          <w:szCs w:val="20"/>
          <w:lang w:val="sr-Cyrl-CS"/>
        </w:rPr>
        <w:t>)</w:t>
      </w:r>
      <w:r w:rsidRPr="00CC7A3F">
        <w:rPr>
          <w:rFonts w:ascii="Verdana" w:eastAsia="Verdana" w:hAnsi="Verdana" w:cs="Times New Roman"/>
          <w:sz w:val="20"/>
          <w:szCs w:val="20"/>
        </w:rPr>
        <w:t xml:space="preserve"> која је на дан 31.12.2014. године била у</w:t>
      </w:r>
      <w:r>
        <w:rPr>
          <w:rFonts w:ascii="Verdana" w:eastAsia="Verdana" w:hAnsi="Verdana" w:cs="Times New Roman"/>
          <w:sz w:val="20"/>
          <w:szCs w:val="20"/>
        </w:rPr>
        <w:t xml:space="preserve"> резервацији</w:t>
      </w:r>
      <w:r>
        <w:rPr>
          <w:rFonts w:ascii="Verdana" w:eastAsia="Verdana" w:hAnsi="Verdana" w:cs="Times New Roman"/>
          <w:sz w:val="20"/>
          <w:szCs w:val="20"/>
          <w:lang w:val="sr-Cyrl-CS"/>
        </w:rPr>
        <w:t xml:space="preserve"> </w:t>
      </w:r>
      <w:r w:rsidRPr="00CC7A3F">
        <w:rPr>
          <w:rFonts w:ascii="Verdana" w:eastAsia="Verdana" w:hAnsi="Verdana" w:cs="Times New Roman"/>
          <w:sz w:val="20"/>
          <w:szCs w:val="20"/>
        </w:rPr>
        <w:t xml:space="preserve">у износу </w:t>
      </w:r>
      <w:r>
        <w:rPr>
          <w:rFonts w:ascii="Verdana" w:eastAsia="Verdana" w:hAnsi="Verdana" w:cs="Times New Roman"/>
          <w:sz w:val="20"/>
          <w:szCs w:val="20"/>
          <w:lang w:val="sr-Cyrl-CS"/>
        </w:rPr>
        <w:t xml:space="preserve">од </w:t>
      </w:r>
      <w:r w:rsidRPr="00CC7A3F">
        <w:rPr>
          <w:rFonts w:ascii="Verdana" w:eastAsia="Verdana" w:hAnsi="Verdana" w:cs="Times New Roman"/>
          <w:sz w:val="20"/>
          <w:szCs w:val="20"/>
        </w:rPr>
        <w:t>56.886 хиљада динара</w:t>
      </w:r>
      <w:r>
        <w:rPr>
          <w:rFonts w:ascii="Verdana" w:eastAsia="Verdana" w:hAnsi="Verdana" w:cs="Times New Roman"/>
          <w:sz w:val="20"/>
          <w:szCs w:val="20"/>
          <w:lang w:val="sr-Cyrl-CS"/>
        </w:rPr>
        <w:t xml:space="preserve"> активно</w:t>
      </w:r>
      <w:r w:rsidRPr="00CC7A3F">
        <w:rPr>
          <w:rFonts w:ascii="Verdana" w:eastAsia="Verdana" w:hAnsi="Verdana" w:cs="Times New Roman"/>
          <w:sz w:val="20"/>
          <w:szCs w:val="20"/>
        </w:rPr>
        <w:t xml:space="preserve">. </w:t>
      </w:r>
    </w:p>
    <w:p w:rsidR="00A03C95" w:rsidRPr="00CC7A3F" w:rsidRDefault="00A03C95" w:rsidP="00A03C95">
      <w:pPr>
        <w:pStyle w:val="ListParagraph"/>
        <w:spacing w:before="120" w:after="120" w:line="240" w:lineRule="auto"/>
        <w:ind w:left="0" w:firstLine="720"/>
        <w:jc w:val="both"/>
        <w:rPr>
          <w:rFonts w:ascii="Verdana" w:eastAsia="Verdana" w:hAnsi="Verdana" w:cs="Times New Roman"/>
          <w:sz w:val="20"/>
          <w:szCs w:val="20"/>
        </w:rPr>
      </w:pPr>
    </w:p>
    <w:p w:rsidR="00A03C95" w:rsidRPr="00E02995" w:rsidRDefault="00A03C95" w:rsidP="00A03C95">
      <w:pPr>
        <w:spacing w:before="120" w:after="120" w:line="240" w:lineRule="auto"/>
        <w:ind w:firstLine="720"/>
        <w:jc w:val="both"/>
        <w:rPr>
          <w:rStyle w:val="Hyperlink"/>
          <w:rFonts w:ascii="Verdana" w:hAnsi="Verdana"/>
          <w:sz w:val="20"/>
          <w:szCs w:val="20"/>
          <w:lang w:val="sr-Cyrl-RS"/>
        </w:rPr>
      </w:pPr>
      <w:r w:rsidRPr="00A03C95">
        <w:rPr>
          <w:rStyle w:val="Hyperlink"/>
          <w:rFonts w:ascii="Verdana" w:hAnsi="Verdana"/>
          <w:color w:val="auto"/>
          <w:sz w:val="20"/>
          <w:szCs w:val="20"/>
        </w:rPr>
        <w:t>У наставку су дати табеларни прегледи резервисаних штета (активно, пасивно и у самопридржају) на дан 31.12.2015. године (подаци су исказани у хиљадама динара):</w:t>
      </w:r>
    </w:p>
    <w:p w:rsidR="00BE0556" w:rsidRDefault="00A03C95" w:rsidP="00A03C95">
      <w:pPr>
        <w:spacing w:before="120" w:after="120" w:line="240" w:lineRule="auto"/>
        <w:jc w:val="both"/>
        <w:rPr>
          <w:rStyle w:val="Hyperlink"/>
          <w:rFonts w:ascii="Verdana" w:hAnsi="Verdana"/>
          <w:sz w:val="20"/>
          <w:szCs w:val="20"/>
        </w:rPr>
      </w:pPr>
      <w:r w:rsidRPr="002A5532">
        <w:rPr>
          <w:noProof/>
          <w:lang w:val="sr-Latn-RS" w:eastAsia="sr-Latn-RS"/>
        </w:rPr>
        <w:drawing>
          <wp:inline distT="0" distB="0" distL="0" distR="0" wp14:anchorId="442F8DD8" wp14:editId="6F618370">
            <wp:extent cx="5685183" cy="3919993"/>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94155" cy="3926179"/>
                    </a:xfrm>
                    <a:prstGeom prst="rect">
                      <a:avLst/>
                    </a:prstGeom>
                    <a:noFill/>
                    <a:ln>
                      <a:noFill/>
                    </a:ln>
                  </pic:spPr>
                </pic:pic>
              </a:graphicData>
            </a:graphic>
          </wp:inline>
        </w:drawing>
      </w:r>
    </w:p>
    <w:p w:rsidR="00A03C95" w:rsidRPr="002A5532" w:rsidRDefault="00A03C95" w:rsidP="00A03C95">
      <w:pPr>
        <w:spacing w:before="120" w:after="120" w:line="240" w:lineRule="auto"/>
        <w:jc w:val="both"/>
        <w:rPr>
          <w:rStyle w:val="Hyperlink"/>
          <w:rFonts w:ascii="Verdana" w:hAnsi="Verdana"/>
          <w:sz w:val="20"/>
          <w:szCs w:val="20"/>
        </w:rPr>
      </w:pPr>
      <w:r w:rsidRPr="002A5532">
        <w:rPr>
          <w:noProof/>
          <w:lang w:val="sr-Latn-RS" w:eastAsia="sr-Latn-RS"/>
        </w:rPr>
        <w:drawing>
          <wp:inline distT="0" distB="0" distL="0" distR="0" wp14:anchorId="0AFC5614" wp14:editId="0D7EF072">
            <wp:extent cx="5685183" cy="4054477"/>
            <wp:effectExtent l="0" t="0" r="0"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95642" cy="4061936"/>
                    </a:xfrm>
                    <a:prstGeom prst="rect">
                      <a:avLst/>
                    </a:prstGeom>
                    <a:noFill/>
                    <a:ln>
                      <a:noFill/>
                    </a:ln>
                  </pic:spPr>
                </pic:pic>
              </a:graphicData>
            </a:graphic>
          </wp:inline>
        </w:drawing>
      </w:r>
    </w:p>
    <w:p w:rsidR="00A03C95" w:rsidRDefault="00A03C95" w:rsidP="00A03C95">
      <w:pPr>
        <w:spacing w:before="120" w:after="120" w:line="240" w:lineRule="auto"/>
        <w:jc w:val="both"/>
        <w:rPr>
          <w:rStyle w:val="Hyperlink"/>
          <w:rFonts w:ascii="Verdana" w:hAnsi="Verdana"/>
          <w:sz w:val="20"/>
          <w:szCs w:val="20"/>
        </w:rPr>
      </w:pPr>
      <w:r w:rsidRPr="002A5532">
        <w:rPr>
          <w:noProof/>
          <w:lang w:val="sr-Latn-RS" w:eastAsia="sr-Latn-RS"/>
        </w:rPr>
        <w:drawing>
          <wp:inline distT="0" distB="0" distL="0" distR="0" wp14:anchorId="59DAFB36" wp14:editId="40E4307E">
            <wp:extent cx="5716988" cy="4182386"/>
            <wp:effectExtent l="0" t="0" r="0"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20392" cy="4184876"/>
                    </a:xfrm>
                    <a:prstGeom prst="rect">
                      <a:avLst/>
                    </a:prstGeom>
                    <a:noFill/>
                    <a:ln>
                      <a:noFill/>
                    </a:ln>
                  </pic:spPr>
                </pic:pic>
              </a:graphicData>
            </a:graphic>
          </wp:inline>
        </w:drawing>
      </w:r>
    </w:p>
    <w:p w:rsidR="00A03C95" w:rsidRDefault="00A03C95" w:rsidP="00A03C95">
      <w:pPr>
        <w:spacing w:before="120" w:after="120" w:line="240" w:lineRule="auto"/>
        <w:jc w:val="both"/>
        <w:rPr>
          <w:rStyle w:val="Hyperlink"/>
          <w:rFonts w:ascii="Verdana" w:hAnsi="Verdana"/>
          <w:sz w:val="20"/>
          <w:szCs w:val="20"/>
        </w:rPr>
      </w:pPr>
    </w:p>
    <w:p w:rsidR="00A03C95" w:rsidRDefault="00A03C95" w:rsidP="00A03C95">
      <w:pPr>
        <w:spacing w:after="240" w:line="240" w:lineRule="auto"/>
        <w:jc w:val="both"/>
        <w:rPr>
          <w:rFonts w:ascii="Verdana" w:hAnsi="Verdana"/>
          <w:noProof/>
          <w:sz w:val="20"/>
          <w:szCs w:val="20"/>
          <w:lang w:val="sr-Cyrl-CS"/>
        </w:rPr>
      </w:pPr>
      <w:r w:rsidRPr="00B82685">
        <w:rPr>
          <w:rFonts w:ascii="Verdana" w:hAnsi="Verdana"/>
          <w:noProof/>
          <w:sz w:val="20"/>
          <w:szCs w:val="20"/>
        </w:rPr>
        <w:t xml:space="preserve">У продужетку је табеларни приказ највећих </w:t>
      </w:r>
      <w:r>
        <w:rPr>
          <w:rFonts w:ascii="Verdana" w:hAnsi="Verdana"/>
          <w:noProof/>
          <w:sz w:val="20"/>
          <w:szCs w:val="20"/>
        </w:rPr>
        <w:t xml:space="preserve">резервисаних </w:t>
      </w:r>
      <w:r w:rsidRPr="00B82685">
        <w:rPr>
          <w:rFonts w:ascii="Verdana" w:hAnsi="Verdana"/>
          <w:noProof/>
          <w:sz w:val="20"/>
          <w:szCs w:val="20"/>
        </w:rPr>
        <w:t>штета</w:t>
      </w:r>
      <w:r>
        <w:rPr>
          <w:rFonts w:ascii="Verdana" w:hAnsi="Verdana"/>
          <w:noProof/>
          <w:sz w:val="20"/>
          <w:szCs w:val="20"/>
        </w:rPr>
        <w:t xml:space="preserve"> </w:t>
      </w:r>
      <w:r>
        <w:rPr>
          <w:rFonts w:ascii="Verdana" w:hAnsi="Verdana"/>
          <w:noProof/>
          <w:sz w:val="20"/>
          <w:szCs w:val="20"/>
          <w:lang w:val="sr-Cyrl-RS"/>
        </w:rPr>
        <w:t xml:space="preserve">Друштва </w:t>
      </w:r>
      <w:r>
        <w:rPr>
          <w:rFonts w:ascii="Verdana" w:hAnsi="Verdana"/>
          <w:noProof/>
          <w:sz w:val="20"/>
          <w:szCs w:val="20"/>
        </w:rPr>
        <w:t xml:space="preserve">по </w:t>
      </w:r>
      <w:r w:rsidRPr="00B82685">
        <w:rPr>
          <w:rFonts w:ascii="Verdana" w:hAnsi="Verdana"/>
          <w:noProof/>
          <w:sz w:val="20"/>
          <w:szCs w:val="20"/>
        </w:rPr>
        <w:t>активно</w:t>
      </w:r>
      <w:r>
        <w:rPr>
          <w:rFonts w:ascii="Verdana" w:hAnsi="Verdana"/>
          <w:noProof/>
          <w:sz w:val="20"/>
          <w:szCs w:val="20"/>
        </w:rPr>
        <w:t xml:space="preserve">м послу </w:t>
      </w:r>
      <w:r>
        <w:rPr>
          <w:rFonts w:ascii="Verdana" w:hAnsi="Verdana"/>
          <w:noProof/>
          <w:sz w:val="20"/>
          <w:szCs w:val="20"/>
          <w:lang w:val="sr-Cyrl-CS"/>
        </w:rPr>
        <w:t xml:space="preserve">и у самопридржају </w:t>
      </w:r>
      <w:r>
        <w:rPr>
          <w:rFonts w:ascii="Verdana" w:hAnsi="Verdana"/>
          <w:noProof/>
          <w:sz w:val="20"/>
          <w:szCs w:val="20"/>
        </w:rPr>
        <w:t xml:space="preserve">на дан 31.12.2015. године </w:t>
      </w:r>
      <w:r>
        <w:rPr>
          <w:rFonts w:ascii="Verdana" w:hAnsi="Verdana"/>
          <w:noProof/>
          <w:sz w:val="20"/>
          <w:szCs w:val="20"/>
          <w:lang w:val="sr-Cyrl-RS"/>
        </w:rPr>
        <w:t>(</w:t>
      </w:r>
      <w:r w:rsidRPr="00B82685">
        <w:rPr>
          <w:rFonts w:ascii="Verdana" w:hAnsi="Verdana"/>
          <w:noProof/>
          <w:sz w:val="20"/>
          <w:szCs w:val="20"/>
        </w:rPr>
        <w:t xml:space="preserve">у </w:t>
      </w:r>
      <w:r>
        <w:rPr>
          <w:rFonts w:ascii="Verdana" w:hAnsi="Verdana"/>
          <w:noProof/>
          <w:sz w:val="20"/>
          <w:szCs w:val="20"/>
        </w:rPr>
        <w:t xml:space="preserve">хиљадама </w:t>
      </w:r>
      <w:r w:rsidRPr="00B82685">
        <w:rPr>
          <w:rFonts w:ascii="Verdana" w:hAnsi="Verdana"/>
          <w:noProof/>
          <w:sz w:val="20"/>
          <w:szCs w:val="20"/>
        </w:rPr>
        <w:t>динар</w:t>
      </w:r>
      <w:r>
        <w:rPr>
          <w:rFonts w:ascii="Verdana" w:hAnsi="Verdana"/>
          <w:noProof/>
          <w:sz w:val="20"/>
          <w:szCs w:val="20"/>
        </w:rPr>
        <w:t>а</w:t>
      </w:r>
      <w:r>
        <w:rPr>
          <w:rFonts w:ascii="Verdana" w:hAnsi="Verdana"/>
          <w:noProof/>
          <w:sz w:val="20"/>
          <w:szCs w:val="20"/>
          <w:lang w:val="sr-Cyrl-RS"/>
        </w:rPr>
        <w:t xml:space="preserve">) </w:t>
      </w:r>
      <w:r w:rsidRPr="00B82685">
        <w:rPr>
          <w:rFonts w:ascii="Verdana" w:hAnsi="Verdana"/>
          <w:noProof/>
          <w:sz w:val="20"/>
          <w:szCs w:val="20"/>
        </w:rPr>
        <w:t>:</w:t>
      </w:r>
    </w:p>
    <w:p w:rsidR="00A03C95" w:rsidRPr="00EE316A" w:rsidRDefault="00A03C95" w:rsidP="00A03C95">
      <w:pPr>
        <w:spacing w:after="240" w:line="240" w:lineRule="auto"/>
        <w:jc w:val="both"/>
        <w:rPr>
          <w:rFonts w:ascii="Verdana" w:hAnsi="Verdana"/>
          <w:noProof/>
          <w:sz w:val="20"/>
          <w:szCs w:val="20"/>
          <w:lang w:val="sr-Cyrl-CS"/>
        </w:rPr>
      </w:pPr>
      <w:r w:rsidRPr="00EE316A">
        <w:rPr>
          <w:rFonts w:ascii="Verdana" w:hAnsi="Verdana"/>
          <w:noProof/>
          <w:sz w:val="20"/>
          <w:szCs w:val="20"/>
          <w:lang w:val="sr-Latn-RS" w:eastAsia="sr-Latn-RS"/>
        </w:rPr>
        <w:drawing>
          <wp:inline distT="0" distB="0" distL="0" distR="0" wp14:anchorId="0D251E81" wp14:editId="640FEE56">
            <wp:extent cx="5772647" cy="3355450"/>
            <wp:effectExtent l="0" t="0" r="0" b="0"/>
            <wp:docPr id="45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76083" cy="3357447"/>
                    </a:xfrm>
                    <a:prstGeom prst="rect">
                      <a:avLst/>
                    </a:prstGeom>
                    <a:noFill/>
                    <a:ln>
                      <a:noFill/>
                    </a:ln>
                  </pic:spPr>
                </pic:pic>
              </a:graphicData>
            </a:graphic>
          </wp:inline>
        </w:drawing>
      </w:r>
    </w:p>
    <w:p w:rsidR="00A03C95" w:rsidRDefault="00A03C95" w:rsidP="00A03C95">
      <w:pPr>
        <w:spacing w:after="0"/>
        <w:jc w:val="both"/>
        <w:rPr>
          <w:rFonts w:ascii="Verdana" w:hAnsi="Verdana"/>
          <w:noProof/>
          <w:sz w:val="20"/>
          <w:szCs w:val="20"/>
          <w:lang w:val="sr-Cyrl-CS"/>
        </w:rPr>
      </w:pPr>
      <w:r w:rsidRPr="00732702">
        <w:rPr>
          <w:noProof/>
          <w:lang w:val="sr-Latn-RS" w:eastAsia="sr-Latn-RS"/>
        </w:rPr>
        <w:drawing>
          <wp:inline distT="0" distB="0" distL="0" distR="0" wp14:anchorId="52375147" wp14:editId="2F35EA2F">
            <wp:extent cx="5724940" cy="3244133"/>
            <wp:effectExtent l="0" t="0" r="0" b="0"/>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37829" cy="3251436"/>
                    </a:xfrm>
                    <a:prstGeom prst="rect">
                      <a:avLst/>
                    </a:prstGeom>
                    <a:noFill/>
                    <a:ln>
                      <a:noFill/>
                    </a:ln>
                  </pic:spPr>
                </pic:pic>
              </a:graphicData>
            </a:graphic>
          </wp:inline>
        </w:drawing>
      </w:r>
    </w:p>
    <w:p w:rsidR="00A03C95" w:rsidRPr="00A03C95" w:rsidRDefault="00A03C95" w:rsidP="00A03C95">
      <w:pPr>
        <w:spacing w:after="0"/>
        <w:jc w:val="both"/>
        <w:rPr>
          <w:rFonts w:ascii="Verdana" w:hAnsi="Verdana"/>
          <w:noProof/>
          <w:sz w:val="20"/>
          <w:szCs w:val="20"/>
          <w:lang w:val="sr-Latn-RS"/>
        </w:rPr>
      </w:pPr>
    </w:p>
    <w:p w:rsidR="00A03C95" w:rsidRPr="00A03C95" w:rsidRDefault="00A03C95" w:rsidP="00860C32">
      <w:pPr>
        <w:pStyle w:val="Heading1"/>
        <w:numPr>
          <w:ilvl w:val="2"/>
          <w:numId w:val="43"/>
        </w:numPr>
      </w:pPr>
      <w:bookmarkStart w:id="18" w:name="_Toc445975023"/>
      <w:r w:rsidRPr="00843492">
        <w:t>Укупно резервисане штете у самопридржају Друштва</w:t>
      </w:r>
      <w:bookmarkEnd w:id="18"/>
      <w:r w:rsidRPr="00843492">
        <w:t xml:space="preserve"> </w:t>
      </w:r>
    </w:p>
    <w:p w:rsidR="00A03C95" w:rsidRPr="00A03C95" w:rsidRDefault="00A03C95" w:rsidP="00A03C95">
      <w:pPr>
        <w:spacing w:before="120" w:after="120" w:line="240" w:lineRule="auto"/>
        <w:ind w:firstLine="720"/>
        <w:jc w:val="both"/>
        <w:rPr>
          <w:rStyle w:val="Hyperlink"/>
          <w:rFonts w:ascii="Verdana" w:hAnsi="Verdana"/>
          <w:color w:val="auto"/>
          <w:sz w:val="20"/>
          <w:szCs w:val="20"/>
          <w:lang w:val="sr-Cyrl-CS"/>
        </w:rPr>
      </w:pPr>
      <w:r w:rsidRPr="00A03C95">
        <w:rPr>
          <w:rStyle w:val="Hyperlink"/>
          <w:rFonts w:ascii="Verdana" w:hAnsi="Verdana"/>
          <w:color w:val="auto"/>
          <w:sz w:val="20"/>
          <w:szCs w:val="20"/>
        </w:rPr>
        <w:t xml:space="preserve">Укупно резервисане штете у самопридржају </w:t>
      </w:r>
      <w:r w:rsidR="009F606F">
        <w:rPr>
          <w:rStyle w:val="Hyperlink"/>
          <w:rFonts w:ascii="Verdana" w:hAnsi="Verdana"/>
          <w:color w:val="auto"/>
          <w:sz w:val="20"/>
          <w:szCs w:val="20"/>
          <w:lang w:val="sr-Cyrl-RS"/>
        </w:rPr>
        <w:t>Друштва</w:t>
      </w:r>
      <w:r w:rsidRPr="00A03C95">
        <w:rPr>
          <w:rStyle w:val="Hyperlink"/>
          <w:rFonts w:ascii="Verdana" w:hAnsi="Verdana"/>
          <w:color w:val="auto"/>
          <w:sz w:val="20"/>
          <w:szCs w:val="20"/>
          <w:lang w:val="sr-Cyrl-CS"/>
        </w:rPr>
        <w:t>,</w:t>
      </w:r>
      <w:r w:rsidRPr="00A03C95">
        <w:rPr>
          <w:rStyle w:val="Hyperlink"/>
          <w:rFonts w:ascii="Verdana" w:hAnsi="Verdana"/>
          <w:color w:val="auto"/>
          <w:sz w:val="20"/>
          <w:szCs w:val="20"/>
        </w:rPr>
        <w:t xml:space="preserve"> укључујући настале непријављене штете и резервације за трошкове ликвидације</w:t>
      </w:r>
      <w:r w:rsidRPr="00A03C95">
        <w:rPr>
          <w:rStyle w:val="Hyperlink"/>
          <w:rFonts w:ascii="Verdana" w:hAnsi="Verdana"/>
          <w:color w:val="auto"/>
          <w:sz w:val="20"/>
          <w:szCs w:val="20"/>
          <w:lang w:val="sr-Cyrl-CS"/>
        </w:rPr>
        <w:t>,</w:t>
      </w:r>
      <w:r w:rsidRPr="00A03C95">
        <w:rPr>
          <w:rStyle w:val="Hyperlink"/>
          <w:rFonts w:ascii="Verdana" w:hAnsi="Verdana"/>
          <w:color w:val="auto"/>
          <w:sz w:val="20"/>
          <w:szCs w:val="20"/>
        </w:rPr>
        <w:t xml:space="preserve"> на дан 31.12.2015. године износе 451.463 хиљада динара и мање су за 116.664 хиљада динара односно 20,53% у односу на исти период претходне године.</w:t>
      </w:r>
    </w:p>
    <w:p w:rsidR="00A03C95" w:rsidRPr="00A03C95" w:rsidRDefault="00A03C95" w:rsidP="00A03C95">
      <w:pPr>
        <w:spacing w:before="120" w:after="120" w:line="240" w:lineRule="auto"/>
        <w:ind w:firstLine="720"/>
        <w:jc w:val="both"/>
        <w:rPr>
          <w:rStyle w:val="Hyperlink"/>
          <w:rFonts w:ascii="Verdana" w:hAnsi="Verdana"/>
          <w:color w:val="auto"/>
          <w:sz w:val="20"/>
          <w:szCs w:val="20"/>
        </w:rPr>
      </w:pPr>
      <w:r w:rsidRPr="00A03C95">
        <w:rPr>
          <w:rStyle w:val="Hyperlink"/>
          <w:rFonts w:ascii="Verdana" w:hAnsi="Verdana"/>
          <w:color w:val="auto"/>
          <w:sz w:val="20"/>
          <w:szCs w:val="20"/>
        </w:rPr>
        <w:t>Укупно резервисане штете у самопридржају Дунава Ре на дан 31.12.2015. године чине:</w:t>
      </w:r>
    </w:p>
    <w:p w:rsidR="00A03C95" w:rsidRPr="008C35FB" w:rsidRDefault="00A03C95" w:rsidP="00A03C95">
      <w:pPr>
        <w:pStyle w:val="ListParagraph"/>
        <w:numPr>
          <w:ilvl w:val="0"/>
          <w:numId w:val="23"/>
        </w:numPr>
        <w:spacing w:before="120" w:after="120" w:line="240" w:lineRule="auto"/>
        <w:ind w:left="1276"/>
        <w:contextualSpacing w:val="0"/>
        <w:jc w:val="both"/>
        <w:rPr>
          <w:rFonts w:ascii="Verdana" w:hAnsi="Verdana"/>
          <w:sz w:val="20"/>
          <w:szCs w:val="20"/>
        </w:rPr>
      </w:pPr>
      <w:r w:rsidRPr="008C35FB">
        <w:rPr>
          <w:rFonts w:ascii="Verdana" w:hAnsi="Verdana"/>
          <w:sz w:val="20"/>
          <w:szCs w:val="20"/>
        </w:rPr>
        <w:t xml:space="preserve">Резервисане пријављене штете у самопридржају Дунава Ре у износу </w:t>
      </w:r>
      <w:r>
        <w:rPr>
          <w:rFonts w:ascii="Verdana" w:hAnsi="Verdana"/>
          <w:sz w:val="20"/>
          <w:szCs w:val="20"/>
          <w:lang w:val="sr-Cyrl-CS"/>
        </w:rPr>
        <w:t xml:space="preserve">од </w:t>
      </w:r>
      <w:r w:rsidRPr="008C35FB">
        <w:rPr>
          <w:rFonts w:ascii="Verdana" w:hAnsi="Verdana"/>
          <w:sz w:val="20"/>
          <w:szCs w:val="20"/>
        </w:rPr>
        <w:t>311.831</w:t>
      </w:r>
      <w:r>
        <w:rPr>
          <w:rFonts w:ascii="Verdana" w:hAnsi="Verdana"/>
          <w:sz w:val="20"/>
          <w:szCs w:val="20"/>
        </w:rPr>
        <w:t xml:space="preserve"> хиљад</w:t>
      </w:r>
      <w:r>
        <w:rPr>
          <w:rFonts w:ascii="Verdana" w:hAnsi="Verdana"/>
          <w:sz w:val="20"/>
          <w:szCs w:val="20"/>
          <w:lang w:val="sr-Cyrl-CS"/>
        </w:rPr>
        <w:t>а</w:t>
      </w:r>
      <w:r w:rsidRPr="008C35FB">
        <w:rPr>
          <w:rFonts w:ascii="Verdana" w:hAnsi="Verdana"/>
          <w:sz w:val="20"/>
          <w:szCs w:val="20"/>
        </w:rPr>
        <w:t xml:space="preserve"> динара, </w:t>
      </w:r>
    </w:p>
    <w:p w:rsidR="00A03C95" w:rsidRPr="008C35FB" w:rsidRDefault="00A03C95" w:rsidP="00A03C95">
      <w:pPr>
        <w:pStyle w:val="ListParagraph"/>
        <w:numPr>
          <w:ilvl w:val="0"/>
          <w:numId w:val="23"/>
        </w:numPr>
        <w:spacing w:before="120" w:after="120" w:line="240" w:lineRule="auto"/>
        <w:ind w:left="1276"/>
        <w:contextualSpacing w:val="0"/>
        <w:jc w:val="both"/>
        <w:rPr>
          <w:rFonts w:ascii="Verdana" w:hAnsi="Verdana"/>
          <w:sz w:val="20"/>
          <w:szCs w:val="20"/>
        </w:rPr>
      </w:pPr>
      <w:r w:rsidRPr="008C35FB">
        <w:rPr>
          <w:rFonts w:ascii="Verdana" w:hAnsi="Verdana"/>
          <w:sz w:val="20"/>
          <w:szCs w:val="20"/>
        </w:rPr>
        <w:t xml:space="preserve">Резервације за настале непријављене штете укључујући и трошкове ликвидације у износу </w:t>
      </w:r>
      <w:r>
        <w:rPr>
          <w:rFonts w:ascii="Verdana" w:hAnsi="Verdana"/>
          <w:sz w:val="20"/>
          <w:szCs w:val="20"/>
          <w:lang w:val="sr-Cyrl-CS"/>
        </w:rPr>
        <w:t xml:space="preserve">од </w:t>
      </w:r>
      <w:r>
        <w:rPr>
          <w:rFonts w:ascii="Verdana" w:hAnsi="Verdana"/>
          <w:sz w:val="20"/>
          <w:szCs w:val="20"/>
        </w:rPr>
        <w:t>130.301</w:t>
      </w:r>
      <w:r w:rsidRPr="008C35FB">
        <w:rPr>
          <w:rFonts w:ascii="Verdana" w:hAnsi="Verdana"/>
          <w:sz w:val="20"/>
          <w:szCs w:val="20"/>
        </w:rPr>
        <w:t xml:space="preserve"> хиљада динара и</w:t>
      </w:r>
    </w:p>
    <w:p w:rsidR="00A03C95" w:rsidRPr="0055284A" w:rsidRDefault="00A03C95" w:rsidP="00A03C95">
      <w:pPr>
        <w:pStyle w:val="ListParagraph"/>
        <w:numPr>
          <w:ilvl w:val="0"/>
          <w:numId w:val="23"/>
        </w:numPr>
        <w:spacing w:before="120" w:after="120" w:line="240" w:lineRule="auto"/>
        <w:ind w:left="1276"/>
        <w:contextualSpacing w:val="0"/>
        <w:jc w:val="both"/>
        <w:rPr>
          <w:rFonts w:ascii="Verdana" w:hAnsi="Verdana"/>
          <w:sz w:val="20"/>
          <w:szCs w:val="20"/>
        </w:rPr>
      </w:pPr>
      <w:r w:rsidRPr="00544BAC">
        <w:rPr>
          <w:rFonts w:ascii="Verdana" w:hAnsi="Verdana"/>
          <w:sz w:val="20"/>
          <w:szCs w:val="20"/>
        </w:rPr>
        <w:t xml:space="preserve">Резервације за трошкове ликвидације штета у износу </w:t>
      </w:r>
      <w:r>
        <w:rPr>
          <w:rFonts w:ascii="Verdana" w:hAnsi="Verdana"/>
          <w:sz w:val="20"/>
          <w:szCs w:val="20"/>
          <w:lang w:val="sr-Cyrl-CS"/>
        </w:rPr>
        <w:t xml:space="preserve">од </w:t>
      </w:r>
      <w:r w:rsidRPr="00544BAC">
        <w:rPr>
          <w:rFonts w:ascii="Verdana" w:hAnsi="Verdana"/>
          <w:sz w:val="20"/>
          <w:szCs w:val="20"/>
        </w:rPr>
        <w:t>9.331 хиљада динара.</w:t>
      </w:r>
    </w:p>
    <w:p w:rsidR="00F365CC" w:rsidRPr="00F365CC" w:rsidRDefault="00F365CC" w:rsidP="00A03C95">
      <w:pPr>
        <w:pStyle w:val="ListParagraph"/>
        <w:spacing w:before="120" w:after="120" w:line="240" w:lineRule="auto"/>
        <w:ind w:left="1276"/>
        <w:contextualSpacing w:val="0"/>
        <w:jc w:val="both"/>
        <w:rPr>
          <w:rStyle w:val="Hyperlink"/>
          <w:rFonts w:ascii="Verdana" w:hAnsi="Verdana"/>
          <w:sz w:val="20"/>
          <w:szCs w:val="20"/>
          <w:lang w:val="sr-Latn-RS"/>
        </w:rPr>
      </w:pPr>
    </w:p>
    <w:bookmarkEnd w:id="14"/>
    <w:p w:rsidR="00A03C95" w:rsidRPr="00A03C95" w:rsidRDefault="00A03C95" w:rsidP="00A03C95">
      <w:pPr>
        <w:pStyle w:val="ListParagraph"/>
        <w:numPr>
          <w:ilvl w:val="1"/>
          <w:numId w:val="43"/>
        </w:numPr>
        <w:spacing w:before="240" w:after="240" w:line="240" w:lineRule="auto"/>
        <w:ind w:left="1418" w:hanging="567"/>
        <w:jc w:val="both"/>
        <w:rPr>
          <w:rFonts w:ascii="Verdana" w:hAnsi="Verdana"/>
          <w:b/>
          <w:sz w:val="20"/>
          <w:szCs w:val="20"/>
        </w:rPr>
      </w:pPr>
      <w:r w:rsidRPr="00A03C95">
        <w:rPr>
          <w:rFonts w:ascii="Verdana" w:hAnsi="Verdana"/>
          <w:b/>
          <w:sz w:val="20"/>
          <w:szCs w:val="20"/>
        </w:rPr>
        <w:t>Додатне информације</w:t>
      </w:r>
    </w:p>
    <w:p w:rsidR="00A03C95" w:rsidRPr="009D2D9B" w:rsidRDefault="00A03C95" w:rsidP="00A03C95">
      <w:pPr>
        <w:pStyle w:val="ListParagraph"/>
        <w:spacing w:before="240" w:after="240" w:line="240" w:lineRule="auto"/>
        <w:jc w:val="both"/>
        <w:rPr>
          <w:rFonts w:ascii="Verdana" w:hAnsi="Verdana"/>
          <w:b/>
          <w:sz w:val="20"/>
          <w:szCs w:val="20"/>
        </w:rPr>
      </w:pPr>
    </w:p>
    <w:p w:rsidR="00A03C95" w:rsidRDefault="00A03C95" w:rsidP="00A03C95">
      <w:pPr>
        <w:pStyle w:val="ListParagraph"/>
        <w:spacing w:before="240" w:after="240" w:line="240" w:lineRule="auto"/>
        <w:ind w:left="1418"/>
        <w:jc w:val="both"/>
        <w:rPr>
          <w:rFonts w:ascii="Verdana" w:eastAsia="Times New Roman" w:hAnsi="Verdana" w:cs="Tahoma"/>
          <w:b/>
          <w:i/>
          <w:noProof/>
          <w:sz w:val="20"/>
          <w:szCs w:val="20"/>
          <w:lang w:eastAsia="ar-SA"/>
        </w:rPr>
      </w:pPr>
    </w:p>
    <w:p w:rsidR="00A03C95" w:rsidRPr="00A03C95" w:rsidRDefault="00A03C95" w:rsidP="00A03C95">
      <w:pPr>
        <w:pStyle w:val="ListParagraph"/>
        <w:numPr>
          <w:ilvl w:val="2"/>
          <w:numId w:val="43"/>
        </w:numPr>
        <w:spacing w:before="240" w:after="240" w:line="240" w:lineRule="auto"/>
        <w:ind w:left="1418" w:hanging="698"/>
        <w:jc w:val="both"/>
        <w:rPr>
          <w:rFonts w:ascii="Verdana" w:eastAsia="Times New Roman" w:hAnsi="Verdana" w:cs="Tahoma"/>
          <w:b/>
          <w:i/>
          <w:noProof/>
          <w:sz w:val="20"/>
          <w:szCs w:val="20"/>
          <w:lang w:eastAsia="ar-SA"/>
        </w:rPr>
      </w:pPr>
      <w:r w:rsidRPr="00A03C95">
        <w:rPr>
          <w:rFonts w:ascii="Verdana" w:eastAsia="Times New Roman" w:hAnsi="Verdana" w:cs="Tahoma"/>
          <w:b/>
          <w:i/>
          <w:noProof/>
          <w:sz w:val="20"/>
          <w:szCs w:val="20"/>
          <w:lang w:val="sr-Cyrl-CS" w:eastAsia="ar-SA"/>
        </w:rPr>
        <w:t>М</w:t>
      </w:r>
      <w:r w:rsidRPr="00A03C95">
        <w:rPr>
          <w:rFonts w:ascii="Verdana" w:eastAsia="Times New Roman" w:hAnsi="Verdana" w:cs="Tahoma"/>
          <w:b/>
          <w:i/>
          <w:noProof/>
          <w:sz w:val="20"/>
          <w:szCs w:val="20"/>
          <w:lang w:eastAsia="ar-SA"/>
        </w:rPr>
        <w:t>еродавни резултат у самопридржају Друштва на дан 31.12.2015. године</w:t>
      </w:r>
    </w:p>
    <w:p w:rsidR="00A03C95"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9D2D9B">
        <w:rPr>
          <w:rFonts w:ascii="Verdana" w:eastAsia="Times New Roman" w:hAnsi="Verdana" w:cs="Tahoma"/>
          <w:noProof/>
          <w:sz w:val="20"/>
          <w:szCs w:val="20"/>
          <w:lang w:eastAsia="ar-SA"/>
        </w:rPr>
        <w:t xml:space="preserve">Меродавни резултат у самопридржају Друштва остварен у периоду 01.01.2015 – 31.12.2015. године износи 189.726 хиљадa динара, а рацио штета у самопридржају </w:t>
      </w:r>
      <w:r>
        <w:rPr>
          <w:rFonts w:ascii="Verdana" w:eastAsia="Times New Roman" w:hAnsi="Verdana" w:cs="Tahoma"/>
          <w:noProof/>
          <w:sz w:val="20"/>
          <w:szCs w:val="20"/>
          <w:lang w:val="sr-Cyrl-CS" w:eastAsia="ar-SA"/>
        </w:rPr>
        <w:t xml:space="preserve">је </w:t>
      </w:r>
      <w:r w:rsidRPr="009D2D9B">
        <w:rPr>
          <w:rFonts w:ascii="Verdana" w:eastAsia="Times New Roman" w:hAnsi="Verdana" w:cs="Tahoma"/>
          <w:noProof/>
          <w:sz w:val="20"/>
          <w:szCs w:val="20"/>
          <w:lang w:eastAsia="ar-SA"/>
        </w:rPr>
        <w:t>54,67%. Остварени комбиновани рацио у самопридржају Друштва</w:t>
      </w:r>
      <w:r>
        <w:rPr>
          <w:rFonts w:ascii="Verdana" w:eastAsia="Times New Roman" w:hAnsi="Verdana" w:cs="Tahoma"/>
          <w:noProof/>
          <w:sz w:val="20"/>
          <w:szCs w:val="20"/>
          <w:lang w:val="sr-Cyrl-RS" w:eastAsia="ar-SA"/>
        </w:rPr>
        <w:t xml:space="preserve"> </w:t>
      </w:r>
      <w:r w:rsidRPr="009D2D9B">
        <w:rPr>
          <w:rFonts w:ascii="Verdana" w:eastAsia="Times New Roman" w:hAnsi="Verdana" w:cs="Tahoma"/>
          <w:noProof/>
          <w:sz w:val="20"/>
          <w:szCs w:val="20"/>
          <w:lang w:eastAsia="ar-SA"/>
        </w:rPr>
        <w:t xml:space="preserve">износи </w:t>
      </w:r>
      <w:r>
        <w:rPr>
          <w:rFonts w:ascii="Verdana" w:eastAsia="Times New Roman" w:hAnsi="Verdana" w:cs="Tahoma"/>
          <w:noProof/>
          <w:sz w:val="20"/>
          <w:szCs w:val="20"/>
          <w:lang w:eastAsia="ar-SA"/>
        </w:rPr>
        <w:t>78,71%</w:t>
      </w:r>
      <w:r>
        <w:rPr>
          <w:rFonts w:ascii="Verdana" w:eastAsia="Times New Roman" w:hAnsi="Verdana" w:cs="Tahoma"/>
          <w:noProof/>
          <w:sz w:val="20"/>
          <w:szCs w:val="20"/>
          <w:lang w:val="sr-Cyrl-CS" w:eastAsia="ar-SA"/>
        </w:rPr>
        <w:t xml:space="preserve"> .</w:t>
      </w:r>
    </w:p>
    <w:p w:rsidR="00A03C95" w:rsidRPr="00DC735B"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DC735B">
        <w:rPr>
          <w:rFonts w:ascii="Verdana" w:eastAsia="Times New Roman" w:hAnsi="Verdana" w:cs="Tahoma"/>
          <w:noProof/>
          <w:sz w:val="20"/>
          <w:szCs w:val="20"/>
          <w:lang w:val="sr-Cyrl-CS" w:eastAsia="ar-SA"/>
        </w:rPr>
        <w:t>К</w:t>
      </w:r>
      <w:r w:rsidRPr="00DC735B">
        <w:rPr>
          <w:rFonts w:ascii="Verdana" w:eastAsia="Times New Roman" w:hAnsi="Verdana" w:cs="Tahoma"/>
          <w:noProof/>
          <w:sz w:val="20"/>
          <w:szCs w:val="20"/>
          <w:lang w:eastAsia="ar-SA"/>
        </w:rPr>
        <w:t xml:space="preserve">омбиновани рацио </w:t>
      </w:r>
      <w:r w:rsidRPr="00DC735B">
        <w:rPr>
          <w:rFonts w:ascii="Verdana" w:eastAsia="Times New Roman" w:hAnsi="Verdana" w:cs="Tahoma"/>
          <w:noProof/>
          <w:sz w:val="20"/>
          <w:szCs w:val="20"/>
          <w:lang w:val="sr-Cyrl-CS" w:eastAsia="ar-SA"/>
        </w:rPr>
        <w:t>у самопридржају (изнад 100%) остварен је у следећим врстама :</w:t>
      </w:r>
    </w:p>
    <w:p w:rsidR="00A03C95" w:rsidRPr="00DC735B" w:rsidRDefault="00A03C95" w:rsidP="00A03C95">
      <w:pPr>
        <w:pStyle w:val="ListParagraph"/>
        <w:numPr>
          <w:ilvl w:val="0"/>
          <w:numId w:val="42"/>
        </w:numPr>
        <w:spacing w:before="120" w:after="120" w:line="240" w:lineRule="auto"/>
        <w:jc w:val="both"/>
        <w:rPr>
          <w:rFonts w:ascii="Verdana" w:eastAsia="Times New Roman" w:hAnsi="Verdana" w:cs="Tahoma"/>
          <w:noProof/>
          <w:sz w:val="20"/>
          <w:szCs w:val="20"/>
          <w:lang w:eastAsia="ar-SA"/>
        </w:rPr>
      </w:pPr>
      <w:r w:rsidRPr="00DC735B">
        <w:rPr>
          <w:rFonts w:ascii="Verdana" w:eastAsia="Times New Roman" w:hAnsi="Verdana" w:cs="Tahoma"/>
          <w:noProof/>
          <w:sz w:val="20"/>
          <w:szCs w:val="20"/>
          <w:lang w:val="sr-Cyrl-CS" w:eastAsia="ar-SA"/>
        </w:rPr>
        <w:t>осигурање имовине од пожара и других опасности (123,89%)</w:t>
      </w:r>
    </w:p>
    <w:p w:rsidR="00A03C95" w:rsidRPr="00DC735B" w:rsidRDefault="00A03C95" w:rsidP="00A03C95">
      <w:pPr>
        <w:pStyle w:val="ListParagraph"/>
        <w:numPr>
          <w:ilvl w:val="0"/>
          <w:numId w:val="42"/>
        </w:numPr>
        <w:spacing w:before="120" w:after="120" w:line="240" w:lineRule="auto"/>
        <w:jc w:val="both"/>
        <w:rPr>
          <w:rFonts w:ascii="Verdana" w:eastAsia="Times New Roman" w:hAnsi="Verdana" w:cs="Tahoma"/>
          <w:noProof/>
          <w:sz w:val="20"/>
          <w:szCs w:val="20"/>
          <w:lang w:eastAsia="ar-SA"/>
        </w:rPr>
      </w:pPr>
      <w:r w:rsidRPr="00DC735B">
        <w:rPr>
          <w:rFonts w:ascii="Verdana" w:eastAsia="Times New Roman" w:hAnsi="Verdana" w:cs="Tahoma"/>
          <w:noProof/>
          <w:sz w:val="20"/>
          <w:szCs w:val="20"/>
          <w:lang w:val="sr-Cyrl-CS" w:eastAsia="ar-SA"/>
        </w:rPr>
        <w:t>осигурање аутоодговорности (105,13%)</w:t>
      </w:r>
    </w:p>
    <w:p w:rsidR="00A03C95" w:rsidRPr="00DC735B" w:rsidRDefault="00A03C95" w:rsidP="00A03C95">
      <w:pPr>
        <w:pStyle w:val="ListParagraph"/>
        <w:numPr>
          <w:ilvl w:val="0"/>
          <w:numId w:val="42"/>
        </w:numPr>
        <w:spacing w:before="120" w:after="120" w:line="240" w:lineRule="auto"/>
        <w:jc w:val="both"/>
        <w:rPr>
          <w:rFonts w:ascii="Verdana" w:eastAsia="Times New Roman" w:hAnsi="Verdana" w:cs="Tahoma"/>
          <w:noProof/>
          <w:sz w:val="20"/>
          <w:szCs w:val="20"/>
          <w:lang w:eastAsia="ar-SA"/>
        </w:rPr>
      </w:pPr>
      <w:r w:rsidRPr="00DC735B">
        <w:rPr>
          <w:rFonts w:ascii="Verdana" w:eastAsia="Times New Roman" w:hAnsi="Verdana" w:cs="Tahoma"/>
          <w:noProof/>
          <w:sz w:val="20"/>
          <w:szCs w:val="20"/>
          <w:lang w:val="sr-Cyrl-CS" w:eastAsia="ar-SA"/>
        </w:rPr>
        <w:t>осигурање од опште одговорности (246,19%) .</w:t>
      </w:r>
    </w:p>
    <w:p w:rsidR="00A03C95" w:rsidRPr="00DC735B" w:rsidRDefault="00A03C95" w:rsidP="00A03C95">
      <w:pPr>
        <w:spacing w:before="120" w:after="120" w:line="240" w:lineRule="auto"/>
        <w:jc w:val="both"/>
        <w:rPr>
          <w:rFonts w:ascii="Verdana" w:eastAsia="Times New Roman" w:hAnsi="Verdana" w:cs="Tahoma"/>
          <w:noProof/>
          <w:sz w:val="20"/>
          <w:szCs w:val="20"/>
          <w:lang w:val="sr-Cyrl-CS" w:eastAsia="ar-SA"/>
        </w:rPr>
      </w:pPr>
      <w:r w:rsidRPr="00DC735B">
        <w:rPr>
          <w:rFonts w:ascii="Verdana" w:eastAsia="Times New Roman" w:hAnsi="Verdana" w:cs="Tahoma"/>
          <w:noProof/>
          <w:sz w:val="20"/>
          <w:szCs w:val="20"/>
          <w:lang w:val="sr-Cyrl-CS" w:eastAsia="ar-SA"/>
        </w:rPr>
        <w:t>Овако висок комбиновани рацио у врстама осигурања 08, 10 и 13 остварен је пре свега због високог рација штета.</w:t>
      </w:r>
    </w:p>
    <w:p w:rsidR="00A03C95" w:rsidRPr="00DC735B" w:rsidRDefault="00A03C95" w:rsidP="00A03C95">
      <w:pPr>
        <w:pStyle w:val="ListParagraph"/>
        <w:spacing w:before="120" w:after="120" w:line="240" w:lineRule="auto"/>
        <w:ind w:left="1440"/>
        <w:jc w:val="both"/>
        <w:rPr>
          <w:rFonts w:ascii="Verdana" w:eastAsia="Times New Roman" w:hAnsi="Verdana" w:cs="Tahoma"/>
          <w:noProof/>
          <w:sz w:val="20"/>
          <w:szCs w:val="20"/>
          <w:lang w:eastAsia="ar-SA"/>
        </w:rPr>
      </w:pPr>
    </w:p>
    <w:p w:rsidR="00A03C95" w:rsidRPr="00DC735B" w:rsidRDefault="00A03C95" w:rsidP="00A03C95">
      <w:pPr>
        <w:pStyle w:val="ListParagraph"/>
        <w:numPr>
          <w:ilvl w:val="0"/>
          <w:numId w:val="24"/>
        </w:numPr>
        <w:spacing w:before="120" w:after="120" w:line="240" w:lineRule="auto"/>
        <w:ind w:left="0" w:firstLine="720"/>
        <w:jc w:val="both"/>
        <w:rPr>
          <w:rFonts w:ascii="Verdana" w:eastAsia="Times New Roman" w:hAnsi="Verdana" w:cs="Tahoma"/>
          <w:b/>
          <w:noProof/>
          <w:sz w:val="20"/>
          <w:szCs w:val="20"/>
          <w:lang w:eastAsia="ar-SA"/>
        </w:rPr>
      </w:pPr>
      <w:r w:rsidRPr="00DC735B">
        <w:rPr>
          <w:rFonts w:ascii="Verdana" w:eastAsia="Times New Roman" w:hAnsi="Verdana" w:cs="Tahoma"/>
          <w:b/>
          <w:noProof/>
          <w:sz w:val="20"/>
          <w:szCs w:val="20"/>
          <w:lang w:eastAsia="ar-SA"/>
        </w:rPr>
        <w:t>Врста 08:</w:t>
      </w:r>
    </w:p>
    <w:p w:rsidR="00A03C95" w:rsidRPr="00DC735B"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DC735B">
        <w:rPr>
          <w:rFonts w:ascii="Verdana" w:eastAsia="Times New Roman" w:hAnsi="Verdana" w:cs="Tahoma"/>
          <w:noProof/>
          <w:sz w:val="20"/>
          <w:szCs w:val="20"/>
          <w:lang w:val="sr-Cyrl-CS" w:eastAsia="ar-SA"/>
        </w:rPr>
        <w:t>У осигурању од пожара и других опасности в</w:t>
      </w:r>
      <w:r w:rsidRPr="00DC735B">
        <w:rPr>
          <w:rFonts w:ascii="Verdana" w:eastAsia="Times New Roman" w:hAnsi="Verdana" w:cs="Tahoma"/>
          <w:noProof/>
          <w:sz w:val="20"/>
          <w:szCs w:val="20"/>
          <w:lang w:eastAsia="ar-SA"/>
        </w:rPr>
        <w:t xml:space="preserve">исок рацио штета проузрокован је </w:t>
      </w:r>
      <w:r w:rsidRPr="00DC735B">
        <w:rPr>
          <w:rFonts w:ascii="Verdana" w:eastAsia="Times New Roman" w:hAnsi="Verdana" w:cs="Tahoma"/>
          <w:noProof/>
          <w:sz w:val="20"/>
          <w:szCs w:val="20"/>
          <w:lang w:val="sr-Cyrl-CS" w:eastAsia="ar-SA"/>
        </w:rPr>
        <w:t xml:space="preserve">једним штетним догађајем по пожару у Макишу. Ово је највећи штетни догађај у порфељу Друштва у последњих 15 година (од поплава 1999. године). </w:t>
      </w:r>
    </w:p>
    <w:p w:rsidR="00A03C95" w:rsidRPr="00DC735B"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DC735B">
        <w:rPr>
          <w:rFonts w:ascii="Verdana" w:eastAsia="Times New Roman" w:hAnsi="Verdana" w:cs="Tahoma"/>
          <w:noProof/>
          <w:sz w:val="20"/>
          <w:szCs w:val="20"/>
          <w:lang w:eastAsia="ar-SA"/>
        </w:rPr>
        <w:t xml:space="preserve">По </w:t>
      </w:r>
      <w:r w:rsidRPr="00DC735B">
        <w:rPr>
          <w:rFonts w:ascii="Verdana" w:eastAsia="Times New Roman" w:hAnsi="Verdana" w:cs="Tahoma"/>
          <w:noProof/>
          <w:sz w:val="20"/>
          <w:szCs w:val="20"/>
          <w:lang w:val="sr-Cyrl-CS" w:eastAsia="ar-SA"/>
        </w:rPr>
        <w:t>у</w:t>
      </w:r>
      <w:r w:rsidRPr="00DC735B">
        <w:rPr>
          <w:rFonts w:ascii="Verdana" w:eastAsia="Times New Roman" w:hAnsi="Verdana" w:cs="Tahoma"/>
          <w:noProof/>
          <w:sz w:val="20"/>
          <w:szCs w:val="20"/>
          <w:lang w:eastAsia="ar-SA"/>
        </w:rPr>
        <w:t xml:space="preserve">говорима </w:t>
      </w:r>
      <w:r w:rsidRPr="00DC735B">
        <w:rPr>
          <w:rFonts w:ascii="Verdana" w:eastAsia="Times New Roman" w:hAnsi="Verdana" w:cs="Tahoma"/>
          <w:noProof/>
          <w:sz w:val="20"/>
          <w:szCs w:val="20"/>
          <w:lang w:val="sr-Cyrl-CS" w:eastAsia="ar-SA"/>
        </w:rPr>
        <w:t xml:space="preserve">које је активирао овај штетни догађај у </w:t>
      </w:r>
      <w:r w:rsidRPr="00DC735B">
        <w:rPr>
          <w:rFonts w:ascii="Verdana" w:eastAsia="Times New Roman" w:hAnsi="Verdana" w:cs="Tahoma"/>
          <w:noProof/>
          <w:sz w:val="20"/>
          <w:szCs w:val="20"/>
          <w:lang w:eastAsia="ar-SA"/>
        </w:rPr>
        <w:t>период</w:t>
      </w:r>
      <w:r w:rsidRPr="00DC735B">
        <w:rPr>
          <w:rFonts w:ascii="Verdana" w:eastAsia="Times New Roman" w:hAnsi="Verdana" w:cs="Tahoma"/>
          <w:noProof/>
          <w:sz w:val="20"/>
          <w:szCs w:val="20"/>
          <w:lang w:val="sr-Cyrl-CS" w:eastAsia="ar-SA"/>
        </w:rPr>
        <w:t>у</w:t>
      </w:r>
      <w:r w:rsidRPr="00DC735B">
        <w:rPr>
          <w:rFonts w:ascii="Verdana" w:eastAsia="Times New Roman" w:hAnsi="Verdana" w:cs="Tahoma"/>
          <w:noProof/>
          <w:sz w:val="20"/>
          <w:szCs w:val="20"/>
          <w:lang w:eastAsia="ar-SA"/>
        </w:rPr>
        <w:t xml:space="preserve"> </w:t>
      </w:r>
      <w:r w:rsidRPr="00DC735B">
        <w:rPr>
          <w:rFonts w:ascii="Verdana" w:eastAsia="Times New Roman" w:hAnsi="Verdana" w:cs="Tahoma"/>
          <w:noProof/>
          <w:sz w:val="20"/>
          <w:szCs w:val="20"/>
          <w:lang w:val="sr-Cyrl-CS" w:eastAsia="ar-SA"/>
        </w:rPr>
        <w:t xml:space="preserve">од </w:t>
      </w:r>
      <w:r w:rsidRPr="00DC735B">
        <w:rPr>
          <w:rFonts w:ascii="Verdana" w:eastAsia="Times New Roman" w:hAnsi="Verdana" w:cs="Tahoma"/>
          <w:noProof/>
          <w:sz w:val="20"/>
          <w:szCs w:val="20"/>
          <w:lang w:eastAsia="ar-SA"/>
        </w:rPr>
        <w:t>01.01.2015</w:t>
      </w:r>
      <w:r w:rsidRPr="00DC735B">
        <w:rPr>
          <w:rFonts w:ascii="Verdana" w:eastAsia="Times New Roman" w:hAnsi="Verdana" w:cs="Tahoma"/>
          <w:noProof/>
          <w:sz w:val="20"/>
          <w:szCs w:val="20"/>
          <w:lang w:val="sr-Cyrl-CS" w:eastAsia="ar-SA"/>
        </w:rPr>
        <w:t xml:space="preserve">. до </w:t>
      </w:r>
      <w:r w:rsidRPr="00DC735B">
        <w:rPr>
          <w:rFonts w:ascii="Verdana" w:eastAsia="Times New Roman" w:hAnsi="Verdana" w:cs="Tahoma"/>
          <w:noProof/>
          <w:sz w:val="20"/>
          <w:szCs w:val="20"/>
          <w:lang w:eastAsia="ar-SA"/>
        </w:rPr>
        <w:t xml:space="preserve">31.12.2015. године ликвидирано </w:t>
      </w:r>
      <w:r w:rsidRPr="00DC735B">
        <w:rPr>
          <w:rFonts w:ascii="Verdana" w:eastAsia="Times New Roman" w:hAnsi="Verdana" w:cs="Tahoma"/>
          <w:noProof/>
          <w:sz w:val="20"/>
          <w:szCs w:val="20"/>
          <w:lang w:val="sr-Cyrl-CS" w:eastAsia="ar-SA"/>
        </w:rPr>
        <w:t xml:space="preserve">је </w:t>
      </w:r>
      <w:r w:rsidRPr="00DC735B">
        <w:rPr>
          <w:rFonts w:ascii="Verdana" w:eastAsia="Times New Roman" w:hAnsi="Verdana" w:cs="Tahoma"/>
          <w:noProof/>
          <w:sz w:val="20"/>
          <w:szCs w:val="20"/>
          <w:lang w:eastAsia="ar-SA"/>
        </w:rPr>
        <w:t xml:space="preserve">активних штета у износу </w:t>
      </w:r>
      <w:r w:rsidRPr="00DC735B">
        <w:rPr>
          <w:rFonts w:ascii="Verdana" w:eastAsia="Times New Roman" w:hAnsi="Verdana" w:cs="Tahoma"/>
          <w:noProof/>
          <w:sz w:val="20"/>
          <w:szCs w:val="20"/>
          <w:lang w:val="sr-Cyrl-CS" w:eastAsia="ar-SA"/>
        </w:rPr>
        <w:t xml:space="preserve">од </w:t>
      </w:r>
      <w:r w:rsidRPr="00DC735B">
        <w:rPr>
          <w:rFonts w:ascii="Verdana" w:eastAsia="Times New Roman" w:hAnsi="Verdana" w:cs="Tahoma"/>
          <w:noProof/>
          <w:sz w:val="20"/>
          <w:szCs w:val="20"/>
          <w:lang w:eastAsia="ar-SA"/>
        </w:rPr>
        <w:t>1.900.190 хиљада динара,</w:t>
      </w:r>
      <w:r w:rsidRPr="00DC735B">
        <w:rPr>
          <w:rFonts w:ascii="Verdana" w:eastAsia="Times New Roman" w:hAnsi="Verdana" w:cs="Tahoma"/>
          <w:noProof/>
          <w:sz w:val="20"/>
          <w:szCs w:val="20"/>
          <w:lang w:val="sr-Cyrl-CS" w:eastAsia="ar-SA"/>
        </w:rPr>
        <w:t xml:space="preserve"> а</w:t>
      </w:r>
      <w:r w:rsidRPr="00DC735B">
        <w:rPr>
          <w:rFonts w:ascii="Verdana" w:eastAsia="Times New Roman" w:hAnsi="Verdana" w:cs="Tahoma"/>
          <w:noProof/>
          <w:sz w:val="20"/>
          <w:szCs w:val="20"/>
          <w:lang w:eastAsia="ar-SA"/>
        </w:rPr>
        <w:t xml:space="preserve"> у самопридржају 92.023 хиљад</w:t>
      </w:r>
      <w:r w:rsidRPr="00DC735B">
        <w:rPr>
          <w:rFonts w:ascii="Verdana" w:eastAsia="Times New Roman" w:hAnsi="Verdana" w:cs="Tahoma"/>
          <w:noProof/>
          <w:sz w:val="20"/>
          <w:szCs w:val="20"/>
          <w:lang w:val="sr-Cyrl-CS" w:eastAsia="ar-SA"/>
        </w:rPr>
        <w:t>е</w:t>
      </w:r>
      <w:r w:rsidRPr="00DC735B">
        <w:rPr>
          <w:rFonts w:ascii="Verdana" w:eastAsia="Times New Roman" w:hAnsi="Verdana" w:cs="Tahoma"/>
          <w:noProof/>
          <w:sz w:val="20"/>
          <w:szCs w:val="20"/>
          <w:lang w:eastAsia="ar-SA"/>
        </w:rPr>
        <w:t xml:space="preserve"> динара</w:t>
      </w:r>
      <w:r w:rsidRPr="00DC735B">
        <w:rPr>
          <w:rFonts w:ascii="Verdana" w:eastAsia="Times New Roman" w:hAnsi="Verdana" w:cs="Tahoma"/>
          <w:noProof/>
          <w:sz w:val="20"/>
          <w:szCs w:val="20"/>
          <w:lang w:val="sr-Cyrl-CS" w:eastAsia="ar-SA"/>
        </w:rPr>
        <w:t xml:space="preserve">. </w:t>
      </w:r>
    </w:p>
    <w:p w:rsidR="00A03C95" w:rsidRPr="00DC735B"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DC735B">
        <w:rPr>
          <w:rFonts w:ascii="Verdana" w:eastAsia="Times New Roman" w:hAnsi="Verdana" w:cs="Tahoma"/>
          <w:noProof/>
          <w:sz w:val="20"/>
          <w:szCs w:val="20"/>
          <w:lang w:eastAsia="ar-SA"/>
        </w:rPr>
        <w:t>Резервисане штете на дан 31.12.2015. године по наведеном штетном догађају износе 65.340 хиљада динара активно, у самопридржају Дунава Ре 1.650 хиљада динара.</w:t>
      </w:r>
    </w:p>
    <w:p w:rsidR="00A03C95" w:rsidRPr="00DC735B"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DC735B">
        <w:rPr>
          <w:rFonts w:ascii="Verdana" w:eastAsia="Times New Roman" w:hAnsi="Verdana" w:cs="Tahoma"/>
          <w:noProof/>
          <w:sz w:val="20"/>
          <w:szCs w:val="20"/>
          <w:lang w:val="sr-Cyrl-CS" w:eastAsia="ar-SA"/>
        </w:rPr>
        <w:t xml:space="preserve">Комбиновани рацио у самопридржају Друштва у овој врсти осигурања је знатно повољнији у односу на укупан по активном послу (294,88%). </w:t>
      </w:r>
    </w:p>
    <w:p w:rsidR="00A03C95"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DC735B">
        <w:rPr>
          <w:rFonts w:ascii="Verdana" w:eastAsia="Times New Roman" w:hAnsi="Verdana" w:cs="Tahoma"/>
          <w:noProof/>
          <w:sz w:val="20"/>
          <w:szCs w:val="20"/>
          <w:lang w:val="sr-Cyrl-CS" w:eastAsia="ar-SA"/>
        </w:rPr>
        <w:t xml:space="preserve">Искључивањем штета по наведеном штетном догађају у овој врсти осигурања комбиновани рацио у самопридржају би износио знатно испод 100% </w:t>
      </w:r>
      <w:r w:rsidR="00C96F13">
        <w:rPr>
          <w:rFonts w:ascii="Verdana" w:eastAsia="Times New Roman" w:hAnsi="Verdana" w:cs="Tahoma"/>
          <w:noProof/>
          <w:sz w:val="20"/>
          <w:szCs w:val="20"/>
          <w:lang w:val="sr-Cyrl-CS" w:eastAsia="ar-SA"/>
        </w:rPr>
        <w:t>односно</w:t>
      </w:r>
      <w:r w:rsidRPr="00DC735B">
        <w:rPr>
          <w:rFonts w:ascii="Verdana" w:eastAsia="Times New Roman" w:hAnsi="Verdana" w:cs="Tahoma"/>
          <w:noProof/>
          <w:sz w:val="20"/>
          <w:szCs w:val="20"/>
          <w:lang w:val="sr-Cyrl-CS" w:eastAsia="ar-SA"/>
        </w:rPr>
        <w:t xml:space="preserve"> 43,30% .</w:t>
      </w:r>
    </w:p>
    <w:p w:rsidR="00A03C95" w:rsidRPr="00013105" w:rsidRDefault="00A03C95" w:rsidP="00A03C95">
      <w:pPr>
        <w:pStyle w:val="ListParagraph"/>
        <w:numPr>
          <w:ilvl w:val="0"/>
          <w:numId w:val="24"/>
        </w:numPr>
        <w:spacing w:before="120" w:after="120" w:line="240" w:lineRule="auto"/>
        <w:ind w:left="0" w:firstLine="720"/>
        <w:jc w:val="both"/>
        <w:rPr>
          <w:rFonts w:ascii="Verdana" w:eastAsia="Times New Roman" w:hAnsi="Verdana" w:cs="Tahoma"/>
          <w:b/>
          <w:noProof/>
          <w:sz w:val="20"/>
          <w:szCs w:val="20"/>
          <w:lang w:eastAsia="ar-SA"/>
        </w:rPr>
      </w:pPr>
      <w:r w:rsidRPr="00013105">
        <w:rPr>
          <w:rFonts w:ascii="Verdana" w:eastAsia="Times New Roman" w:hAnsi="Verdana" w:cs="Tahoma"/>
          <w:b/>
          <w:noProof/>
          <w:sz w:val="20"/>
          <w:szCs w:val="20"/>
          <w:lang w:eastAsia="ar-SA"/>
        </w:rPr>
        <w:t xml:space="preserve">Врста </w:t>
      </w:r>
      <w:r w:rsidRPr="00013105">
        <w:rPr>
          <w:rFonts w:ascii="Verdana" w:eastAsia="Times New Roman" w:hAnsi="Verdana" w:cs="Tahoma"/>
          <w:b/>
          <w:noProof/>
          <w:sz w:val="20"/>
          <w:szCs w:val="20"/>
          <w:lang w:val="sr-Cyrl-CS" w:eastAsia="ar-SA"/>
        </w:rPr>
        <w:t>10</w:t>
      </w:r>
      <w:r w:rsidRPr="00013105">
        <w:rPr>
          <w:rFonts w:ascii="Verdana" w:eastAsia="Times New Roman" w:hAnsi="Verdana" w:cs="Tahoma"/>
          <w:b/>
          <w:noProof/>
          <w:sz w:val="20"/>
          <w:szCs w:val="20"/>
          <w:lang w:eastAsia="ar-SA"/>
        </w:rPr>
        <w:t>:</w:t>
      </w:r>
    </w:p>
    <w:p w:rsidR="004A3420" w:rsidRDefault="00A03C95" w:rsidP="00A03C95">
      <w:pPr>
        <w:spacing w:before="120" w:after="120" w:line="240" w:lineRule="auto"/>
        <w:ind w:firstLine="720"/>
        <w:jc w:val="both"/>
        <w:rPr>
          <w:rFonts w:ascii="Verdana" w:eastAsia="Times New Roman" w:hAnsi="Verdana" w:cs="Tahoma"/>
          <w:noProof/>
          <w:sz w:val="20"/>
          <w:szCs w:val="20"/>
          <w:lang w:val="sr-Cyrl-CS" w:eastAsia="ar-SA"/>
        </w:rPr>
      </w:pPr>
      <w:r w:rsidRPr="00013105">
        <w:rPr>
          <w:rFonts w:ascii="Verdana" w:eastAsia="Times New Roman" w:hAnsi="Verdana" w:cs="Tahoma"/>
          <w:noProof/>
          <w:sz w:val="20"/>
          <w:szCs w:val="20"/>
          <w:lang w:val="sr-Cyrl-CS" w:eastAsia="ar-SA"/>
        </w:rPr>
        <w:t xml:space="preserve">У осигурању аутоодговорности дошло је до значајног повећања ове резервације због промене методе обрачуна резервације насталих непријављених штета </w:t>
      </w:r>
      <w:r w:rsidR="004A3420">
        <w:rPr>
          <w:rFonts w:ascii="Verdana" w:eastAsia="Times New Roman" w:hAnsi="Verdana" w:cs="Tahoma"/>
          <w:noProof/>
          <w:sz w:val="20"/>
          <w:szCs w:val="20"/>
          <w:lang w:val="sr-Cyrl-CS" w:eastAsia="ar-SA"/>
        </w:rPr>
        <w:t xml:space="preserve">, са паушалног </w:t>
      </w:r>
      <w:r w:rsidRPr="00013105">
        <w:rPr>
          <w:rFonts w:ascii="Verdana" w:eastAsia="Times New Roman" w:hAnsi="Verdana" w:cs="Tahoma"/>
          <w:noProof/>
          <w:sz w:val="20"/>
          <w:szCs w:val="20"/>
          <w:lang w:val="sr-Cyrl-CS" w:eastAsia="ar-SA"/>
        </w:rPr>
        <w:t xml:space="preserve">по </w:t>
      </w:r>
      <w:r w:rsidRPr="00013105">
        <w:rPr>
          <w:rFonts w:ascii="Verdana" w:eastAsia="Times New Roman" w:hAnsi="Verdana" w:cs="Tahoma"/>
          <w:noProof/>
          <w:sz w:val="20"/>
          <w:szCs w:val="20"/>
          <w:lang w:val="sr-Latn-CS" w:eastAsia="ar-SA"/>
        </w:rPr>
        <w:t xml:space="preserve">Chain ladder </w:t>
      </w:r>
      <w:r w:rsidRPr="00013105">
        <w:rPr>
          <w:rFonts w:ascii="Verdana" w:eastAsia="Times New Roman" w:hAnsi="Verdana" w:cs="Tahoma"/>
          <w:noProof/>
          <w:sz w:val="20"/>
          <w:szCs w:val="20"/>
          <w:lang w:val="sr-Cyrl-CS" w:eastAsia="ar-SA"/>
        </w:rPr>
        <w:t>метод</w:t>
      </w:r>
      <w:r w:rsidR="004A3420">
        <w:rPr>
          <w:rFonts w:ascii="Verdana" w:eastAsia="Times New Roman" w:hAnsi="Verdana" w:cs="Tahoma"/>
          <w:noProof/>
          <w:sz w:val="20"/>
          <w:szCs w:val="20"/>
          <w:lang w:val="sr-Latn-RS" w:eastAsia="ar-SA"/>
        </w:rPr>
        <w:t>.</w:t>
      </w:r>
      <w:r w:rsidRPr="00013105">
        <w:rPr>
          <w:rFonts w:ascii="Verdana" w:eastAsia="Times New Roman" w:hAnsi="Verdana" w:cs="Tahoma"/>
          <w:noProof/>
          <w:sz w:val="20"/>
          <w:szCs w:val="20"/>
          <w:lang w:val="sr-Cyrl-CS" w:eastAsia="ar-SA"/>
        </w:rPr>
        <w:t xml:space="preserve"> </w:t>
      </w:r>
    </w:p>
    <w:p w:rsidR="00A03C95" w:rsidRPr="00013105" w:rsidRDefault="00A03C95" w:rsidP="004A3420">
      <w:pPr>
        <w:spacing w:before="120" w:after="120" w:line="240" w:lineRule="auto"/>
        <w:ind w:firstLine="720"/>
        <w:jc w:val="both"/>
        <w:rPr>
          <w:rFonts w:ascii="Verdana" w:eastAsia="Times New Roman" w:hAnsi="Verdana" w:cs="Tahoma"/>
          <w:noProof/>
          <w:sz w:val="20"/>
          <w:szCs w:val="20"/>
          <w:lang w:val="sr-Cyrl-CS" w:eastAsia="ar-SA"/>
        </w:rPr>
      </w:pPr>
      <w:r w:rsidRPr="00013105">
        <w:rPr>
          <w:rFonts w:ascii="Verdana" w:eastAsia="Times New Roman" w:hAnsi="Verdana" w:cs="Tahoma"/>
          <w:noProof/>
          <w:sz w:val="20"/>
          <w:szCs w:val="20"/>
          <w:lang w:val="sr-Cyrl-CS" w:eastAsia="ar-SA"/>
        </w:rPr>
        <w:t xml:space="preserve">Применом </w:t>
      </w:r>
      <w:r w:rsidRPr="00013105">
        <w:rPr>
          <w:rFonts w:ascii="Verdana" w:eastAsia="Times New Roman" w:hAnsi="Verdana" w:cs="Tahoma"/>
          <w:noProof/>
          <w:sz w:val="20"/>
          <w:szCs w:val="20"/>
          <w:lang w:val="sr-Latn-CS" w:eastAsia="ar-SA"/>
        </w:rPr>
        <w:t xml:space="preserve">Chain ladder </w:t>
      </w:r>
      <w:r w:rsidRPr="00013105">
        <w:rPr>
          <w:rFonts w:ascii="Verdana" w:eastAsia="Times New Roman" w:hAnsi="Verdana" w:cs="Tahoma"/>
          <w:noProof/>
          <w:sz w:val="20"/>
          <w:szCs w:val="20"/>
          <w:lang w:val="sr-Cyrl-CS" w:eastAsia="ar-SA"/>
        </w:rPr>
        <w:t xml:space="preserve">методе износ </w:t>
      </w:r>
      <w:r w:rsidR="00085307">
        <w:rPr>
          <w:rFonts w:ascii="Verdana" w:eastAsia="Times New Roman" w:hAnsi="Verdana" w:cs="Tahoma"/>
          <w:noProof/>
          <w:sz w:val="20"/>
          <w:szCs w:val="20"/>
          <w:lang w:val="sr-Cyrl-CS" w:eastAsia="ar-SA"/>
        </w:rPr>
        <w:t xml:space="preserve">укупних </w:t>
      </w:r>
      <w:r w:rsidR="004A3420">
        <w:rPr>
          <w:rFonts w:ascii="Verdana" w:eastAsia="Times New Roman" w:hAnsi="Verdana" w:cs="Tahoma"/>
          <w:noProof/>
          <w:sz w:val="20"/>
          <w:szCs w:val="20"/>
          <w:lang w:val="sr-Cyrl-CS" w:eastAsia="ar-SA"/>
        </w:rPr>
        <w:t>резервисаних насталих непријављених штета у самопридржају у</w:t>
      </w:r>
      <w:r w:rsidRPr="00013105">
        <w:rPr>
          <w:rFonts w:ascii="Verdana" w:eastAsia="Times New Roman" w:hAnsi="Verdana" w:cs="Tahoma"/>
          <w:noProof/>
          <w:sz w:val="20"/>
          <w:szCs w:val="20"/>
          <w:lang w:val="sr-Cyrl-CS" w:eastAsia="ar-SA"/>
        </w:rPr>
        <w:t xml:space="preserve"> врсти 10 на</w:t>
      </w:r>
      <w:r w:rsidR="004A3420">
        <w:rPr>
          <w:rFonts w:ascii="Verdana" w:eastAsia="Times New Roman" w:hAnsi="Verdana" w:cs="Tahoma"/>
          <w:noProof/>
          <w:sz w:val="20"/>
          <w:szCs w:val="20"/>
          <w:lang w:val="sr-Cyrl-CS" w:eastAsia="ar-SA"/>
        </w:rPr>
        <w:t xml:space="preserve"> дан 31.12.2015. године износи </w:t>
      </w:r>
      <w:r w:rsidR="00726CBE">
        <w:rPr>
          <w:rFonts w:ascii="Verdana" w:eastAsia="Times New Roman" w:hAnsi="Verdana" w:cs="Tahoma"/>
          <w:noProof/>
          <w:sz w:val="20"/>
          <w:szCs w:val="20"/>
          <w:lang w:val="sr-Cyrl-CS" w:eastAsia="ar-SA"/>
        </w:rPr>
        <w:t>33.882</w:t>
      </w:r>
      <w:r w:rsidRPr="00013105">
        <w:rPr>
          <w:rFonts w:ascii="Verdana" w:eastAsia="Times New Roman" w:hAnsi="Verdana" w:cs="Tahoma"/>
          <w:noProof/>
          <w:sz w:val="20"/>
          <w:szCs w:val="20"/>
          <w:lang w:val="sr-Cyrl-CS" w:eastAsia="ar-SA"/>
        </w:rPr>
        <w:t xml:space="preserve"> хиљад</w:t>
      </w:r>
      <w:r w:rsidR="004A3420">
        <w:rPr>
          <w:rFonts w:ascii="Verdana" w:eastAsia="Times New Roman" w:hAnsi="Verdana" w:cs="Tahoma"/>
          <w:noProof/>
          <w:sz w:val="20"/>
          <w:szCs w:val="20"/>
          <w:lang w:val="sr-Cyrl-CS" w:eastAsia="ar-SA"/>
        </w:rPr>
        <w:t>а</w:t>
      </w:r>
      <w:r w:rsidRPr="00013105">
        <w:rPr>
          <w:rFonts w:ascii="Verdana" w:eastAsia="Times New Roman" w:hAnsi="Verdana" w:cs="Tahoma"/>
          <w:noProof/>
          <w:sz w:val="20"/>
          <w:szCs w:val="20"/>
          <w:lang w:val="sr-Cyrl-CS" w:eastAsia="ar-SA"/>
        </w:rPr>
        <w:t xml:space="preserve"> динара, </w:t>
      </w:r>
      <w:r w:rsidR="004A3420">
        <w:rPr>
          <w:rFonts w:ascii="Verdana" w:eastAsia="Times New Roman" w:hAnsi="Verdana" w:cs="Tahoma"/>
          <w:noProof/>
          <w:sz w:val="20"/>
          <w:szCs w:val="20"/>
          <w:lang w:val="sr-Cyrl-CS" w:eastAsia="ar-SA"/>
        </w:rPr>
        <w:t xml:space="preserve">што је за </w:t>
      </w:r>
      <w:r w:rsidR="00726CBE">
        <w:rPr>
          <w:rFonts w:ascii="Verdana" w:eastAsia="Times New Roman" w:hAnsi="Verdana" w:cs="Tahoma"/>
          <w:noProof/>
          <w:sz w:val="20"/>
          <w:szCs w:val="20"/>
          <w:lang w:val="sr-Cyrl-CS" w:eastAsia="ar-SA"/>
        </w:rPr>
        <w:t>26.516</w:t>
      </w:r>
      <w:r w:rsidR="004A3420">
        <w:rPr>
          <w:rFonts w:ascii="Verdana" w:eastAsia="Times New Roman" w:hAnsi="Verdana" w:cs="Tahoma"/>
          <w:noProof/>
          <w:sz w:val="20"/>
          <w:szCs w:val="20"/>
          <w:lang w:val="sr-Cyrl-CS" w:eastAsia="ar-SA"/>
        </w:rPr>
        <w:t xml:space="preserve"> хиљада динара веће од </w:t>
      </w:r>
      <w:r w:rsidR="004A3420" w:rsidRPr="00013105">
        <w:rPr>
          <w:rFonts w:ascii="Verdana" w:eastAsia="Times New Roman" w:hAnsi="Verdana" w:cs="Tahoma"/>
          <w:noProof/>
          <w:sz w:val="20"/>
          <w:szCs w:val="20"/>
          <w:lang w:val="sr-Cyrl-CS" w:eastAsia="ar-SA"/>
        </w:rPr>
        <w:t>износ</w:t>
      </w:r>
      <w:r w:rsidR="004A3420">
        <w:rPr>
          <w:rFonts w:ascii="Verdana" w:eastAsia="Times New Roman" w:hAnsi="Verdana" w:cs="Tahoma"/>
          <w:noProof/>
          <w:sz w:val="20"/>
          <w:szCs w:val="20"/>
          <w:lang w:val="sr-Cyrl-CS" w:eastAsia="ar-SA"/>
        </w:rPr>
        <w:t>а</w:t>
      </w:r>
      <w:r w:rsidR="004A3420" w:rsidRPr="00013105">
        <w:rPr>
          <w:rFonts w:ascii="Verdana" w:eastAsia="Times New Roman" w:hAnsi="Verdana" w:cs="Tahoma"/>
          <w:noProof/>
          <w:sz w:val="20"/>
          <w:szCs w:val="20"/>
          <w:lang w:val="sr-Cyrl-CS" w:eastAsia="ar-SA"/>
        </w:rPr>
        <w:t xml:space="preserve"> </w:t>
      </w:r>
      <w:r w:rsidR="004A3420">
        <w:rPr>
          <w:rFonts w:ascii="Verdana" w:eastAsia="Times New Roman" w:hAnsi="Verdana" w:cs="Tahoma"/>
          <w:noProof/>
          <w:sz w:val="20"/>
          <w:szCs w:val="20"/>
          <w:lang w:val="sr-Cyrl-CS" w:eastAsia="ar-SA"/>
        </w:rPr>
        <w:t>резервисаних насталих непријављених штета на дан 31.12.2014</w:t>
      </w:r>
      <w:r w:rsidR="004A3420" w:rsidRPr="00013105">
        <w:rPr>
          <w:rFonts w:ascii="Verdana" w:eastAsia="Times New Roman" w:hAnsi="Verdana" w:cs="Tahoma"/>
          <w:noProof/>
          <w:sz w:val="20"/>
          <w:szCs w:val="20"/>
          <w:lang w:val="sr-Cyrl-CS" w:eastAsia="ar-SA"/>
        </w:rPr>
        <w:t>. године</w:t>
      </w:r>
      <w:r w:rsidR="004A3420">
        <w:rPr>
          <w:rFonts w:ascii="Verdana" w:eastAsia="Times New Roman" w:hAnsi="Verdana" w:cs="Tahoma"/>
          <w:noProof/>
          <w:sz w:val="20"/>
          <w:szCs w:val="20"/>
          <w:lang w:val="sr-Cyrl-CS" w:eastAsia="ar-SA"/>
        </w:rPr>
        <w:t xml:space="preserve"> када су износиле 7.</w:t>
      </w:r>
      <w:r w:rsidR="00085307">
        <w:rPr>
          <w:rFonts w:ascii="Verdana" w:eastAsia="Times New Roman" w:hAnsi="Verdana" w:cs="Tahoma"/>
          <w:noProof/>
          <w:sz w:val="20"/>
          <w:szCs w:val="20"/>
          <w:lang w:val="sr-Cyrl-CS" w:eastAsia="ar-SA"/>
        </w:rPr>
        <w:t>366</w:t>
      </w:r>
      <w:r w:rsidR="004A3420">
        <w:rPr>
          <w:rFonts w:ascii="Verdana" w:eastAsia="Times New Roman" w:hAnsi="Verdana" w:cs="Tahoma"/>
          <w:noProof/>
          <w:sz w:val="20"/>
          <w:szCs w:val="20"/>
          <w:lang w:val="sr-Cyrl-CS" w:eastAsia="ar-SA"/>
        </w:rPr>
        <w:t xml:space="preserve"> хиљада динара обрачунатих по паушалном методу. </w:t>
      </w:r>
      <w:r w:rsidRPr="00013105">
        <w:rPr>
          <w:rFonts w:ascii="Verdana" w:eastAsia="Times New Roman" w:hAnsi="Verdana" w:cs="Tahoma"/>
          <w:noProof/>
          <w:sz w:val="20"/>
          <w:szCs w:val="20"/>
          <w:lang w:val="sr-Cyrl-CS" w:eastAsia="ar-SA"/>
        </w:rPr>
        <w:t xml:space="preserve">   </w:t>
      </w:r>
    </w:p>
    <w:p w:rsidR="00A03C95" w:rsidRPr="00013105" w:rsidRDefault="00A03C95" w:rsidP="00F365CC">
      <w:pPr>
        <w:spacing w:before="120" w:after="120" w:line="240" w:lineRule="auto"/>
        <w:ind w:firstLine="720"/>
        <w:jc w:val="both"/>
        <w:rPr>
          <w:rFonts w:ascii="Verdana" w:eastAsia="Times New Roman" w:hAnsi="Verdana" w:cs="Tahoma"/>
          <w:noProof/>
          <w:sz w:val="20"/>
          <w:szCs w:val="20"/>
          <w:lang w:val="sr-Cyrl-CS" w:eastAsia="ar-SA"/>
        </w:rPr>
      </w:pPr>
      <w:r w:rsidRPr="00013105">
        <w:rPr>
          <w:rFonts w:ascii="Verdana" w:eastAsia="Times New Roman" w:hAnsi="Verdana" w:cs="Tahoma"/>
          <w:noProof/>
          <w:sz w:val="20"/>
          <w:szCs w:val="20"/>
          <w:lang w:val="sr-Cyrl-CS" w:eastAsia="ar-SA"/>
        </w:rPr>
        <w:t xml:space="preserve">И поред тога комбиновани рацио у саморидржају није значајно изнад 100% , а очекује се да ће се у наредној пословној години уједначити ниво резервација чиме ће рацио бити повољнији.   </w:t>
      </w:r>
      <w:r w:rsidRPr="00013105">
        <w:rPr>
          <w:rFonts w:ascii="Verdana" w:eastAsia="Times New Roman" w:hAnsi="Verdana" w:cs="Tahoma"/>
          <w:noProof/>
          <w:sz w:val="20"/>
          <w:szCs w:val="20"/>
          <w:lang w:eastAsia="ar-SA"/>
        </w:rPr>
        <w:t xml:space="preserve"> </w:t>
      </w:r>
    </w:p>
    <w:p w:rsidR="00A03C95" w:rsidRPr="00C760DA" w:rsidRDefault="00A03C95" w:rsidP="00F365CC">
      <w:pPr>
        <w:pStyle w:val="ListParagraph"/>
        <w:numPr>
          <w:ilvl w:val="0"/>
          <w:numId w:val="25"/>
        </w:numPr>
        <w:spacing w:before="120" w:after="120" w:line="240" w:lineRule="auto"/>
        <w:ind w:left="0" w:firstLine="720"/>
        <w:jc w:val="both"/>
        <w:rPr>
          <w:rFonts w:ascii="Verdana" w:eastAsia="Times New Roman" w:hAnsi="Verdana" w:cs="Tahoma"/>
          <w:b/>
          <w:noProof/>
          <w:sz w:val="20"/>
          <w:szCs w:val="20"/>
          <w:lang w:eastAsia="ar-SA"/>
        </w:rPr>
      </w:pPr>
      <w:r w:rsidRPr="00C760DA">
        <w:rPr>
          <w:rFonts w:ascii="Verdana" w:eastAsia="Times New Roman" w:hAnsi="Verdana" w:cs="Tahoma"/>
          <w:b/>
          <w:noProof/>
          <w:sz w:val="20"/>
          <w:szCs w:val="20"/>
          <w:lang w:eastAsia="ar-SA"/>
        </w:rPr>
        <w:t>Врста 13:</w:t>
      </w:r>
    </w:p>
    <w:p w:rsidR="00860C32" w:rsidRDefault="00A03C95" w:rsidP="00F365CC">
      <w:pPr>
        <w:spacing w:before="120" w:after="120" w:line="240" w:lineRule="auto"/>
        <w:ind w:firstLine="720"/>
        <w:jc w:val="both"/>
        <w:rPr>
          <w:rFonts w:ascii="Verdana" w:eastAsia="Times New Roman" w:hAnsi="Verdana" w:cs="Tahoma"/>
          <w:noProof/>
          <w:sz w:val="20"/>
          <w:szCs w:val="20"/>
          <w:lang w:val="sr-Latn-RS" w:eastAsia="ar-SA"/>
        </w:rPr>
      </w:pPr>
      <w:r w:rsidRPr="00C760DA">
        <w:rPr>
          <w:rFonts w:ascii="Verdana" w:eastAsia="Times New Roman" w:hAnsi="Verdana" w:cs="Tahoma"/>
          <w:noProof/>
          <w:sz w:val="20"/>
          <w:szCs w:val="20"/>
          <w:lang w:eastAsia="ar-SA"/>
        </w:rPr>
        <w:t xml:space="preserve">Висок рацио штета проузрокован је првенствено резервацијом новопријављене штете за осигураника Комерцијална банка по </w:t>
      </w:r>
      <w:r w:rsidRPr="00C760DA">
        <w:rPr>
          <w:rFonts w:ascii="Verdana" w:eastAsia="Times New Roman" w:hAnsi="Verdana" w:cs="Tahoma"/>
          <w:noProof/>
          <w:sz w:val="20"/>
          <w:szCs w:val="20"/>
          <w:lang w:val="sr-Cyrl-CS" w:eastAsia="ar-SA"/>
        </w:rPr>
        <w:t>у</w:t>
      </w:r>
      <w:r w:rsidRPr="00C760DA">
        <w:rPr>
          <w:rFonts w:ascii="Verdana" w:eastAsia="Times New Roman" w:hAnsi="Verdana" w:cs="Tahoma"/>
          <w:noProof/>
          <w:sz w:val="20"/>
          <w:szCs w:val="20"/>
          <w:lang w:eastAsia="ar-SA"/>
        </w:rPr>
        <w:t>говору о реосигурању одговорности (BBB&amp;DO)</w:t>
      </w:r>
      <w:r w:rsidRPr="00C760DA">
        <w:rPr>
          <w:rFonts w:ascii="Verdana" w:eastAsia="Times New Roman" w:hAnsi="Verdana" w:cs="Tahoma"/>
          <w:noProof/>
          <w:sz w:val="20"/>
          <w:szCs w:val="20"/>
          <w:lang w:val="sr-Cyrl-CS" w:eastAsia="ar-SA"/>
        </w:rPr>
        <w:t xml:space="preserve"> закљученим</w:t>
      </w:r>
      <w:r w:rsidRPr="00C760DA">
        <w:rPr>
          <w:rFonts w:ascii="Verdana" w:eastAsia="Times New Roman" w:hAnsi="Verdana" w:cs="Tahoma"/>
          <w:noProof/>
          <w:sz w:val="20"/>
          <w:szCs w:val="20"/>
          <w:lang w:eastAsia="ar-SA"/>
        </w:rPr>
        <w:t xml:space="preserve"> са Дунав осигурањем за 2013. годину. </w:t>
      </w:r>
      <w:r w:rsidRPr="00C760DA">
        <w:rPr>
          <w:rFonts w:ascii="Verdana" w:eastAsia="Times New Roman" w:hAnsi="Verdana" w:cs="Tahoma"/>
          <w:noProof/>
          <w:sz w:val="20"/>
          <w:szCs w:val="20"/>
          <w:lang w:val="sr-Cyrl-CS" w:eastAsia="ar-SA"/>
        </w:rPr>
        <w:t>Ш</w:t>
      </w:r>
      <w:r w:rsidRPr="00C760DA">
        <w:rPr>
          <w:rFonts w:ascii="Verdana" w:eastAsia="Times New Roman" w:hAnsi="Verdana" w:cs="Tahoma"/>
          <w:noProof/>
          <w:sz w:val="20"/>
          <w:szCs w:val="20"/>
          <w:lang w:eastAsia="ar-SA"/>
        </w:rPr>
        <w:t xml:space="preserve">тета је на дан 31.12.2015. године резервисана у износу </w:t>
      </w:r>
      <w:r w:rsidRPr="00C760DA">
        <w:rPr>
          <w:rFonts w:ascii="Verdana" w:eastAsia="Times New Roman" w:hAnsi="Verdana" w:cs="Tahoma"/>
          <w:noProof/>
          <w:sz w:val="20"/>
          <w:szCs w:val="20"/>
          <w:lang w:val="sr-Cyrl-CS" w:eastAsia="ar-SA"/>
        </w:rPr>
        <w:t xml:space="preserve">од </w:t>
      </w:r>
      <w:r w:rsidRPr="00C760DA">
        <w:rPr>
          <w:rFonts w:ascii="Verdana" w:eastAsia="Times New Roman" w:hAnsi="Verdana" w:cs="Tahoma"/>
          <w:noProof/>
          <w:sz w:val="20"/>
          <w:szCs w:val="20"/>
          <w:lang w:eastAsia="ar-SA"/>
        </w:rPr>
        <w:t>144.859 хиљада динара</w:t>
      </w:r>
      <w:r w:rsidRPr="00C760DA">
        <w:rPr>
          <w:rFonts w:ascii="Verdana" w:eastAsia="Times New Roman" w:hAnsi="Verdana" w:cs="Tahoma"/>
          <w:noProof/>
          <w:sz w:val="20"/>
          <w:szCs w:val="20"/>
          <w:lang w:val="sr-Cyrl-CS" w:eastAsia="ar-SA"/>
        </w:rPr>
        <w:t xml:space="preserve"> активно</w:t>
      </w:r>
      <w:r w:rsidRPr="00C760DA">
        <w:rPr>
          <w:rFonts w:ascii="Verdana" w:eastAsia="Times New Roman" w:hAnsi="Verdana" w:cs="Tahoma"/>
          <w:noProof/>
          <w:sz w:val="20"/>
          <w:szCs w:val="20"/>
          <w:lang w:eastAsia="ar-SA"/>
        </w:rPr>
        <w:t xml:space="preserve">, односно 8.521 хиљада динара у самопридржају </w:t>
      </w:r>
      <w:r w:rsidRPr="00C760DA">
        <w:rPr>
          <w:rFonts w:ascii="Verdana" w:eastAsia="Times New Roman" w:hAnsi="Verdana" w:cs="Tahoma"/>
          <w:noProof/>
          <w:sz w:val="20"/>
          <w:szCs w:val="20"/>
          <w:lang w:val="sr-Cyrl-CS" w:eastAsia="ar-SA"/>
        </w:rPr>
        <w:t xml:space="preserve">Друштва. Иако је у самопридржају Друштва задржано свега 5,88% ова штета је због укупног ниског ниво премије у самопридржају врсте утицала на исказивање негативног рација штета и комбинованог рација у самопридржају. </w:t>
      </w:r>
    </w:p>
    <w:p w:rsidR="00F365CC" w:rsidRDefault="00A03C95" w:rsidP="00F365CC">
      <w:pPr>
        <w:spacing w:before="120" w:after="120" w:line="240" w:lineRule="auto"/>
        <w:ind w:firstLine="720"/>
        <w:jc w:val="both"/>
        <w:rPr>
          <w:rFonts w:ascii="Verdana" w:eastAsia="Times New Roman" w:hAnsi="Verdana" w:cs="Tahoma"/>
          <w:noProof/>
          <w:sz w:val="20"/>
          <w:szCs w:val="20"/>
          <w:lang w:val="sr-Latn-RS" w:eastAsia="ar-SA"/>
        </w:rPr>
      </w:pPr>
      <w:r w:rsidRPr="00C760DA">
        <w:rPr>
          <w:rFonts w:ascii="Verdana" w:eastAsia="Times New Roman" w:hAnsi="Verdana" w:cs="Tahoma"/>
          <w:noProof/>
          <w:sz w:val="20"/>
          <w:szCs w:val="20"/>
          <w:lang w:val="sr-Cyrl-CS" w:eastAsia="ar-SA"/>
        </w:rPr>
        <w:t xml:space="preserve">Рацио штета у самопридржају једино је код ове врсте осигурања негативан (изнад 100%).  </w:t>
      </w:r>
    </w:p>
    <w:p w:rsidR="00A03C95" w:rsidRDefault="00A03C95" w:rsidP="00F365CC">
      <w:pPr>
        <w:spacing w:before="120" w:after="120" w:line="240" w:lineRule="auto"/>
        <w:jc w:val="both"/>
        <w:rPr>
          <w:rFonts w:ascii="Verdana" w:eastAsia="Times New Roman" w:hAnsi="Verdana" w:cs="Tahoma"/>
          <w:noProof/>
          <w:sz w:val="20"/>
          <w:szCs w:val="20"/>
          <w:lang w:val="sr-Latn-RS" w:eastAsia="ar-SA"/>
        </w:rPr>
      </w:pPr>
      <w:r w:rsidRPr="00C760DA">
        <w:rPr>
          <w:rFonts w:ascii="Verdana" w:eastAsia="Times New Roman" w:hAnsi="Verdana" w:cs="Tahoma"/>
          <w:noProof/>
          <w:sz w:val="20"/>
          <w:szCs w:val="20"/>
          <w:lang w:val="sr-Cyrl-CS" w:eastAsia="ar-SA"/>
        </w:rPr>
        <w:t xml:space="preserve">   </w:t>
      </w:r>
      <w:r w:rsidRPr="00544BAC">
        <w:rPr>
          <w:noProof/>
          <w:lang w:val="sr-Latn-RS" w:eastAsia="sr-Latn-RS"/>
        </w:rPr>
        <w:drawing>
          <wp:inline distT="0" distB="0" distL="0" distR="0" wp14:anchorId="4265DB4D" wp14:editId="589AE4B9">
            <wp:extent cx="5565913" cy="5367129"/>
            <wp:effectExtent l="0" t="0" r="0" b="508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569228" cy="5370325"/>
                    </a:xfrm>
                    <a:prstGeom prst="rect">
                      <a:avLst/>
                    </a:prstGeom>
                    <a:noFill/>
                    <a:ln>
                      <a:noFill/>
                    </a:ln>
                  </pic:spPr>
                </pic:pic>
              </a:graphicData>
            </a:graphic>
          </wp:inline>
        </w:drawing>
      </w:r>
    </w:p>
    <w:p w:rsidR="00BE0556" w:rsidRPr="00BE0556" w:rsidRDefault="00BE0556" w:rsidP="00F365CC">
      <w:pPr>
        <w:spacing w:before="120" w:after="120" w:line="240" w:lineRule="auto"/>
        <w:jc w:val="both"/>
        <w:rPr>
          <w:rFonts w:ascii="Verdana" w:eastAsia="Times New Roman" w:hAnsi="Verdana" w:cs="Tahoma"/>
          <w:noProof/>
          <w:sz w:val="20"/>
          <w:szCs w:val="20"/>
          <w:lang w:val="sr-Latn-RS" w:eastAsia="ar-SA"/>
        </w:rPr>
      </w:pPr>
    </w:p>
    <w:p w:rsidR="00A03C95" w:rsidRPr="00F365CC" w:rsidRDefault="00A03C95" w:rsidP="00F365CC">
      <w:pPr>
        <w:pStyle w:val="ListParagraph"/>
        <w:numPr>
          <w:ilvl w:val="2"/>
          <w:numId w:val="43"/>
        </w:numPr>
        <w:spacing w:before="240" w:after="240" w:line="240" w:lineRule="auto"/>
        <w:jc w:val="both"/>
        <w:rPr>
          <w:rFonts w:ascii="Verdana" w:eastAsia="Times New Roman" w:hAnsi="Verdana" w:cs="Tahoma"/>
          <w:b/>
          <w:i/>
          <w:noProof/>
          <w:sz w:val="20"/>
          <w:szCs w:val="20"/>
          <w:lang w:eastAsia="ar-SA"/>
        </w:rPr>
      </w:pPr>
      <w:r w:rsidRPr="00F365CC">
        <w:rPr>
          <w:rFonts w:ascii="Verdana" w:eastAsia="Times New Roman" w:hAnsi="Verdana" w:cs="Tahoma"/>
          <w:b/>
          <w:i/>
          <w:noProof/>
          <w:sz w:val="20"/>
          <w:szCs w:val="20"/>
          <w:lang w:eastAsia="ar-SA"/>
        </w:rPr>
        <w:t>Меродавни резултат у самопридржају Друштва на дан 31.12.2015. године без ефекта штета насталих услед пожара у Макишу</w:t>
      </w:r>
    </w:p>
    <w:p w:rsidR="00A03C95" w:rsidRPr="00AD6279" w:rsidRDefault="00A03C95" w:rsidP="00A03C95">
      <w:pPr>
        <w:pStyle w:val="ListParagraph"/>
        <w:spacing w:before="240" w:after="240" w:line="240" w:lineRule="auto"/>
        <w:ind w:left="0" w:firstLine="720"/>
        <w:jc w:val="both"/>
        <w:rPr>
          <w:rFonts w:ascii="Verdana" w:eastAsia="Times New Roman" w:hAnsi="Verdana" w:cs="Tahoma"/>
          <w:b/>
          <w:i/>
          <w:noProof/>
          <w:sz w:val="20"/>
          <w:szCs w:val="20"/>
          <w:lang w:eastAsia="ar-SA"/>
        </w:rPr>
      </w:pPr>
    </w:p>
    <w:p w:rsidR="00A03C95" w:rsidRPr="00AD6279"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AD6279">
        <w:rPr>
          <w:rFonts w:ascii="Verdana" w:eastAsia="Times New Roman" w:hAnsi="Verdana" w:cs="Tahoma"/>
          <w:noProof/>
          <w:sz w:val="20"/>
          <w:szCs w:val="20"/>
          <w:lang w:eastAsia="ar-SA"/>
        </w:rPr>
        <w:t xml:space="preserve">Ако се изузме ефекат штета насталих услед пожара у Макишу, меродавни резултат, рацио штета и комбиновани рацио </w:t>
      </w:r>
      <w:r>
        <w:rPr>
          <w:rFonts w:ascii="Verdana" w:eastAsia="Times New Roman" w:hAnsi="Verdana" w:cs="Tahoma"/>
          <w:noProof/>
          <w:sz w:val="20"/>
          <w:szCs w:val="20"/>
          <w:lang w:val="sr-Cyrl-RS" w:eastAsia="ar-SA"/>
        </w:rPr>
        <w:t xml:space="preserve">били би </w:t>
      </w:r>
      <w:r w:rsidRPr="00AD6279">
        <w:rPr>
          <w:rFonts w:ascii="Verdana" w:eastAsia="Times New Roman" w:hAnsi="Verdana" w:cs="Tahoma"/>
          <w:noProof/>
          <w:sz w:val="20"/>
          <w:szCs w:val="20"/>
          <w:lang w:eastAsia="ar-SA"/>
        </w:rPr>
        <w:t xml:space="preserve">знатно повољнији, и активно и у самопридржају Друштва. </w:t>
      </w:r>
    </w:p>
    <w:p w:rsidR="00A03C95" w:rsidRPr="00AD6279" w:rsidRDefault="00A03C95" w:rsidP="00A03C95">
      <w:pPr>
        <w:spacing w:before="120" w:after="120" w:line="240" w:lineRule="auto"/>
        <w:ind w:firstLine="720"/>
        <w:jc w:val="both"/>
        <w:rPr>
          <w:rFonts w:ascii="Verdana" w:eastAsia="Times New Roman" w:hAnsi="Verdana" w:cs="Tahoma"/>
          <w:noProof/>
          <w:sz w:val="20"/>
          <w:szCs w:val="20"/>
          <w:lang w:eastAsia="ar-SA"/>
        </w:rPr>
      </w:pPr>
      <w:r w:rsidRPr="00AD6279">
        <w:rPr>
          <w:rFonts w:ascii="Verdana" w:eastAsia="Times New Roman" w:hAnsi="Verdana" w:cs="Tahoma"/>
          <w:noProof/>
          <w:sz w:val="20"/>
          <w:szCs w:val="20"/>
          <w:lang w:eastAsia="ar-SA"/>
        </w:rPr>
        <w:t>Тако, ако се изузму ликвидиране и резервисане штете у Макишу добијају се следеће вредности:</w:t>
      </w:r>
    </w:p>
    <w:p w:rsidR="00A03C95" w:rsidRPr="00AD6279" w:rsidRDefault="00A03C95" w:rsidP="00A03C95">
      <w:pPr>
        <w:pStyle w:val="ListParagraph"/>
        <w:numPr>
          <w:ilvl w:val="0"/>
          <w:numId w:val="27"/>
        </w:numPr>
        <w:spacing w:before="120" w:after="120" w:line="240" w:lineRule="auto"/>
        <w:ind w:left="0" w:firstLine="720"/>
        <w:contextualSpacing w:val="0"/>
        <w:jc w:val="both"/>
        <w:rPr>
          <w:rFonts w:ascii="Verdana" w:eastAsia="Times New Roman" w:hAnsi="Verdana" w:cs="Tahoma"/>
          <w:noProof/>
          <w:sz w:val="20"/>
          <w:szCs w:val="20"/>
          <w:lang w:eastAsia="ar-SA"/>
        </w:rPr>
      </w:pPr>
      <w:r w:rsidRPr="00AD6279">
        <w:rPr>
          <w:rFonts w:ascii="Verdana" w:eastAsia="Times New Roman" w:hAnsi="Verdana" w:cs="Tahoma"/>
          <w:noProof/>
          <w:sz w:val="20"/>
          <w:szCs w:val="20"/>
          <w:lang w:eastAsia="ar-SA"/>
        </w:rPr>
        <w:t xml:space="preserve">Меродавни резултат у самопридржају Друштва: 263.152 хиљада динара, </w:t>
      </w:r>
    </w:p>
    <w:p w:rsidR="00A03C95" w:rsidRPr="00AD6279" w:rsidRDefault="00A03C95" w:rsidP="00A03C95">
      <w:pPr>
        <w:pStyle w:val="ListParagraph"/>
        <w:numPr>
          <w:ilvl w:val="0"/>
          <w:numId w:val="27"/>
        </w:numPr>
        <w:spacing w:before="120" w:after="120" w:line="240" w:lineRule="auto"/>
        <w:ind w:left="0" w:firstLine="720"/>
        <w:contextualSpacing w:val="0"/>
        <w:jc w:val="both"/>
        <w:rPr>
          <w:rFonts w:ascii="Verdana" w:eastAsia="Times New Roman" w:hAnsi="Verdana" w:cs="Tahoma"/>
          <w:noProof/>
          <w:sz w:val="20"/>
          <w:szCs w:val="20"/>
          <w:lang w:eastAsia="ar-SA"/>
        </w:rPr>
      </w:pPr>
      <w:r w:rsidRPr="00AD6279">
        <w:rPr>
          <w:rFonts w:ascii="Verdana" w:eastAsia="Times New Roman" w:hAnsi="Verdana" w:cs="Tahoma"/>
          <w:noProof/>
          <w:sz w:val="20"/>
          <w:szCs w:val="20"/>
          <w:lang w:eastAsia="ar-SA"/>
        </w:rPr>
        <w:t>Рацио штета: 37,12%,</w:t>
      </w:r>
    </w:p>
    <w:p w:rsidR="00A03C95" w:rsidRPr="004B7E55" w:rsidRDefault="00A03C95" w:rsidP="00A03C95">
      <w:pPr>
        <w:pStyle w:val="ListParagraph"/>
        <w:numPr>
          <w:ilvl w:val="0"/>
          <w:numId w:val="27"/>
        </w:numPr>
        <w:spacing w:before="120" w:after="120" w:line="240" w:lineRule="auto"/>
        <w:ind w:left="0" w:firstLine="720"/>
        <w:contextualSpacing w:val="0"/>
        <w:jc w:val="both"/>
        <w:rPr>
          <w:rFonts w:ascii="Verdana" w:eastAsia="Times New Roman" w:hAnsi="Verdana" w:cs="Tahoma"/>
          <w:noProof/>
          <w:sz w:val="20"/>
          <w:szCs w:val="20"/>
          <w:lang w:eastAsia="ar-SA"/>
        </w:rPr>
      </w:pPr>
      <w:r w:rsidRPr="004B7E55">
        <w:rPr>
          <w:rFonts w:ascii="Verdana" w:eastAsia="Times New Roman" w:hAnsi="Verdana" w:cs="Tahoma"/>
          <w:noProof/>
          <w:sz w:val="20"/>
          <w:szCs w:val="20"/>
          <w:lang w:eastAsia="ar-SA"/>
        </w:rPr>
        <w:t>Комбиновани рацио у самопридржају Друштва: 61,16%.</w:t>
      </w:r>
    </w:p>
    <w:p w:rsidR="00A03C95" w:rsidRPr="00A03C95" w:rsidRDefault="00A03C95" w:rsidP="00A03C95">
      <w:pPr>
        <w:rPr>
          <w:lang w:val="sr-Latn-RS" w:eastAsia="ar-SA"/>
        </w:rPr>
      </w:pPr>
      <w:r w:rsidRPr="00400A09">
        <w:rPr>
          <w:noProof/>
          <w:lang w:val="sr-Latn-RS" w:eastAsia="sr-Latn-RS"/>
        </w:rPr>
        <w:drawing>
          <wp:inline distT="0" distB="0" distL="0" distR="0" wp14:anchorId="49457F8C" wp14:editId="0A3AFEBF">
            <wp:extent cx="5732891" cy="5104737"/>
            <wp:effectExtent l="0" t="0" r="127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736304" cy="5107776"/>
                    </a:xfrm>
                    <a:prstGeom prst="rect">
                      <a:avLst/>
                    </a:prstGeom>
                    <a:noFill/>
                    <a:ln>
                      <a:noFill/>
                    </a:ln>
                  </pic:spPr>
                </pic:pic>
              </a:graphicData>
            </a:graphic>
          </wp:inline>
        </w:drawing>
      </w:r>
    </w:p>
    <w:p w:rsidR="00A6789A" w:rsidRDefault="00A6789A" w:rsidP="00FA1BCB">
      <w:pPr>
        <w:rPr>
          <w:highlight w:val="lightGray"/>
          <w:lang w:val="sr-Cyrl-CS" w:eastAsia="ar-SA"/>
        </w:rPr>
      </w:pPr>
    </w:p>
    <w:p w:rsidR="00704FAB" w:rsidRDefault="008E0AE8" w:rsidP="00860C32">
      <w:pPr>
        <w:pStyle w:val="Heading1"/>
        <w:numPr>
          <w:ilvl w:val="0"/>
          <w:numId w:val="28"/>
        </w:numPr>
      </w:pPr>
      <w:bookmarkStart w:id="19" w:name="_Toc445975024"/>
      <w:r w:rsidRPr="00A6789A">
        <w:t>ФИНАНСИЈСКО ПОСЛОВАЊЕ ДРУШТВА У 201</w:t>
      </w:r>
      <w:r w:rsidR="00676032" w:rsidRPr="00A6789A">
        <w:t>5</w:t>
      </w:r>
      <w:r w:rsidRPr="00A6789A">
        <w:t>. ГОДИНИ</w:t>
      </w:r>
      <w:bookmarkEnd w:id="19"/>
    </w:p>
    <w:p w:rsidR="001B5D26" w:rsidRPr="00704FAB" w:rsidRDefault="00DC51FA" w:rsidP="00860C32">
      <w:pPr>
        <w:pStyle w:val="Heading1"/>
        <w:numPr>
          <w:ilvl w:val="1"/>
          <w:numId w:val="28"/>
        </w:numPr>
      </w:pPr>
      <w:bookmarkStart w:id="20" w:name="_Toc445975025"/>
      <w:r w:rsidRPr="00704FAB">
        <w:t>УКУПНА АКТИВА</w:t>
      </w:r>
      <w:r w:rsidR="00492321" w:rsidRPr="00704FAB">
        <w:t xml:space="preserve"> НА ДАН 31.12.201</w:t>
      </w:r>
      <w:r w:rsidR="00676032" w:rsidRPr="00704FAB">
        <w:t>5</w:t>
      </w:r>
      <w:r w:rsidR="00492321" w:rsidRPr="00704FAB">
        <w:t>.</w:t>
      </w:r>
      <w:bookmarkEnd w:id="20"/>
      <w:r w:rsidR="0046210A" w:rsidRPr="00704FAB">
        <w:t xml:space="preserve"> </w:t>
      </w:r>
    </w:p>
    <w:p w:rsidR="00D31DE3" w:rsidRPr="00676032" w:rsidRDefault="00D31DE3" w:rsidP="0069486B">
      <w:pPr>
        <w:spacing w:before="120" w:after="0"/>
        <w:ind w:firstLine="284"/>
        <w:jc w:val="both"/>
        <w:rPr>
          <w:rStyle w:val="Hyperlink"/>
          <w:noProof/>
          <w:color w:val="FF0000"/>
          <w:sz w:val="20"/>
          <w:szCs w:val="20"/>
          <w:lang w:val="sr-Cyrl-CS"/>
        </w:rPr>
      </w:pPr>
      <w:r w:rsidRPr="004A0500">
        <w:rPr>
          <w:rStyle w:val="Hyperlink"/>
          <w:noProof/>
          <w:color w:val="auto"/>
          <w:sz w:val="20"/>
          <w:szCs w:val="20"/>
          <w:lang w:val="sr-Cyrl-CS"/>
        </w:rPr>
        <w:t xml:space="preserve">Укупна актива износи </w:t>
      </w:r>
      <w:r w:rsidR="00676032" w:rsidRPr="004A0500">
        <w:rPr>
          <w:rStyle w:val="Hyperlink"/>
          <w:noProof/>
          <w:color w:val="auto"/>
          <w:sz w:val="20"/>
          <w:szCs w:val="20"/>
          <w:lang w:val="sr-Cyrl-CS"/>
        </w:rPr>
        <w:t>4.777.902</w:t>
      </w:r>
      <w:r w:rsidRPr="004A0500">
        <w:rPr>
          <w:rStyle w:val="Hyperlink"/>
          <w:noProof/>
          <w:color w:val="auto"/>
          <w:sz w:val="20"/>
          <w:szCs w:val="20"/>
          <w:lang w:val="sr-Cyrl-CS"/>
        </w:rPr>
        <w:t xml:space="preserve"> хиљада динара и за </w:t>
      </w:r>
      <w:r w:rsidR="004A0500" w:rsidRPr="004A0500">
        <w:rPr>
          <w:rStyle w:val="Hyperlink"/>
          <w:noProof/>
          <w:color w:val="auto"/>
          <w:sz w:val="20"/>
          <w:szCs w:val="20"/>
          <w:lang w:val="sr-Cyrl-CS"/>
        </w:rPr>
        <w:t>13,85</w:t>
      </w:r>
      <w:r w:rsidRPr="004A0500">
        <w:rPr>
          <w:rStyle w:val="Hyperlink"/>
          <w:noProof/>
          <w:color w:val="auto"/>
          <w:sz w:val="20"/>
          <w:szCs w:val="20"/>
          <w:lang w:val="sr-Cyrl-CS"/>
        </w:rPr>
        <w:t xml:space="preserve">% је </w:t>
      </w:r>
      <w:r w:rsidR="00676032" w:rsidRPr="004A0500">
        <w:rPr>
          <w:rStyle w:val="Hyperlink"/>
          <w:noProof/>
          <w:color w:val="auto"/>
          <w:sz w:val="20"/>
          <w:szCs w:val="20"/>
          <w:lang w:val="sr-Cyrl-CS"/>
        </w:rPr>
        <w:t>већа</w:t>
      </w:r>
      <w:r w:rsidRPr="004A0500">
        <w:rPr>
          <w:rStyle w:val="Hyperlink"/>
          <w:noProof/>
          <w:color w:val="auto"/>
          <w:sz w:val="20"/>
          <w:szCs w:val="20"/>
          <w:lang w:val="sr-Cyrl-CS"/>
        </w:rPr>
        <w:t xml:space="preserve"> него прошле године</w:t>
      </w:r>
      <w:r w:rsidRPr="00676032">
        <w:rPr>
          <w:rStyle w:val="Hyperlink"/>
          <w:noProof/>
          <w:color w:val="FF0000"/>
          <w:sz w:val="20"/>
          <w:szCs w:val="20"/>
          <w:lang w:val="sr-Cyrl-CS"/>
        </w:rPr>
        <w:t xml:space="preserve">. </w:t>
      </w:r>
    </w:p>
    <w:p w:rsidR="00D31DE3" w:rsidRPr="00C32150" w:rsidRDefault="00C031DE" w:rsidP="00D31DE3">
      <w:pPr>
        <w:spacing w:after="80" w:line="240" w:lineRule="auto"/>
        <w:ind w:firstLine="284"/>
        <w:jc w:val="right"/>
        <w:rPr>
          <w:noProof/>
          <w:sz w:val="18"/>
          <w:szCs w:val="18"/>
          <w:lang w:val="sr-Cyrl-CS" w:eastAsia="ar-SA"/>
        </w:rPr>
      </w:pPr>
      <w:r w:rsidRPr="00BF3CDE">
        <w:rPr>
          <w:rStyle w:val="Hyperlink"/>
          <w:noProof/>
          <w:color w:val="auto"/>
          <w:sz w:val="20"/>
          <w:szCs w:val="20"/>
          <w:lang w:val="sr-Cyrl-CS"/>
        </w:rPr>
        <w:t xml:space="preserve">  </w:t>
      </w:r>
      <w:r w:rsidR="00D31DE3" w:rsidRPr="00C32150">
        <w:rPr>
          <w:noProof/>
          <w:sz w:val="18"/>
          <w:szCs w:val="18"/>
          <w:lang w:val="sr-Cyrl-CS" w:eastAsia="ar-SA"/>
        </w:rPr>
        <w:t>У 000 РСД</w:t>
      </w:r>
    </w:p>
    <w:tbl>
      <w:tblPr>
        <w:tblW w:w="8840" w:type="dxa"/>
        <w:tblInd w:w="108" w:type="dxa"/>
        <w:tblLook w:val="04A0" w:firstRow="1" w:lastRow="0" w:firstColumn="1" w:lastColumn="0" w:noHBand="0" w:noVBand="1"/>
      </w:tblPr>
      <w:tblGrid>
        <w:gridCol w:w="615"/>
        <w:gridCol w:w="3637"/>
        <w:gridCol w:w="1624"/>
        <w:gridCol w:w="1624"/>
        <w:gridCol w:w="1340"/>
      </w:tblGrid>
      <w:tr w:rsidR="00676032" w:rsidRPr="00676032" w:rsidTr="00AB36FB">
        <w:trPr>
          <w:trHeight w:val="465"/>
        </w:trPr>
        <w:tc>
          <w:tcPr>
            <w:tcW w:w="615"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Р.Б.</w:t>
            </w:r>
          </w:p>
        </w:tc>
        <w:tc>
          <w:tcPr>
            <w:tcW w:w="3637"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КАТЕГОРИЈА</w:t>
            </w:r>
          </w:p>
        </w:tc>
        <w:tc>
          <w:tcPr>
            <w:tcW w:w="1624"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Стање                 31.12. 2014.</w:t>
            </w:r>
          </w:p>
        </w:tc>
        <w:tc>
          <w:tcPr>
            <w:tcW w:w="1624"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Стање                 31.12. 2015.</w:t>
            </w:r>
          </w:p>
        </w:tc>
        <w:tc>
          <w:tcPr>
            <w:tcW w:w="1340"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Индекс 15/14</w:t>
            </w:r>
          </w:p>
        </w:tc>
      </w:tr>
      <w:tr w:rsidR="00676032" w:rsidRPr="00676032" w:rsidTr="00AB36FB">
        <w:trPr>
          <w:trHeight w:val="315"/>
        </w:trPr>
        <w:tc>
          <w:tcPr>
            <w:tcW w:w="615"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w:t>
            </w:r>
          </w:p>
        </w:tc>
        <w:tc>
          <w:tcPr>
            <w:tcW w:w="3637"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Нематеријална улагања</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6.160</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4.478</w:t>
            </w:r>
          </w:p>
        </w:tc>
        <w:tc>
          <w:tcPr>
            <w:tcW w:w="1340"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72,69</w:t>
            </w:r>
          </w:p>
        </w:tc>
      </w:tr>
      <w:tr w:rsidR="00676032" w:rsidRPr="00676032" w:rsidTr="00AB36FB">
        <w:trPr>
          <w:trHeight w:val="300"/>
        </w:trPr>
        <w:tc>
          <w:tcPr>
            <w:tcW w:w="615"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2</w:t>
            </w:r>
          </w:p>
        </w:tc>
        <w:tc>
          <w:tcPr>
            <w:tcW w:w="3637" w:type="dxa"/>
            <w:tcBorders>
              <w:top w:val="nil"/>
              <w:left w:val="nil"/>
              <w:bottom w:val="nil"/>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Софтвер и остала права</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16.369</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18.952</w:t>
            </w:r>
          </w:p>
        </w:tc>
        <w:tc>
          <w:tcPr>
            <w:tcW w:w="1340"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115,78</w:t>
            </w:r>
          </w:p>
        </w:tc>
      </w:tr>
      <w:tr w:rsidR="00676032" w:rsidRPr="00676032" w:rsidTr="00AB36FB">
        <w:trPr>
          <w:trHeight w:val="300"/>
        </w:trPr>
        <w:tc>
          <w:tcPr>
            <w:tcW w:w="615"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3</w:t>
            </w:r>
          </w:p>
        </w:tc>
        <w:tc>
          <w:tcPr>
            <w:tcW w:w="3637"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Некретнине, постројења и опрема</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9.135</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9.816</w:t>
            </w:r>
          </w:p>
        </w:tc>
        <w:tc>
          <w:tcPr>
            <w:tcW w:w="1340"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107,45</w:t>
            </w:r>
          </w:p>
        </w:tc>
      </w:tr>
      <w:tr w:rsidR="00676032" w:rsidRPr="00676032" w:rsidTr="00AB36FB">
        <w:trPr>
          <w:trHeight w:val="315"/>
        </w:trPr>
        <w:tc>
          <w:tcPr>
            <w:tcW w:w="615" w:type="dxa"/>
            <w:tcBorders>
              <w:top w:val="nil"/>
              <w:left w:val="nil"/>
              <w:bottom w:val="double" w:sz="6" w:space="0" w:color="538DD5"/>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4</w:t>
            </w:r>
          </w:p>
        </w:tc>
        <w:tc>
          <w:tcPr>
            <w:tcW w:w="3637" w:type="dxa"/>
            <w:tcBorders>
              <w:top w:val="nil"/>
              <w:left w:val="nil"/>
              <w:bottom w:val="double" w:sz="6" w:space="0" w:color="538DD5"/>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Дугорочни финансијски пласмани</w:t>
            </w:r>
          </w:p>
        </w:tc>
        <w:tc>
          <w:tcPr>
            <w:tcW w:w="1624" w:type="dxa"/>
            <w:tcBorders>
              <w:top w:val="nil"/>
              <w:left w:val="nil"/>
              <w:bottom w:val="double" w:sz="6" w:space="0" w:color="538DD5"/>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276.448</w:t>
            </w:r>
          </w:p>
        </w:tc>
        <w:tc>
          <w:tcPr>
            <w:tcW w:w="1624" w:type="dxa"/>
            <w:tcBorders>
              <w:top w:val="nil"/>
              <w:left w:val="nil"/>
              <w:bottom w:val="double" w:sz="6" w:space="0" w:color="538DD5"/>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276</w:t>
            </w:r>
            <w:r w:rsidR="004A0500">
              <w:rPr>
                <w:rFonts w:ascii="Verdana" w:eastAsia="Times New Roman" w:hAnsi="Verdana" w:cs="Times New Roman"/>
                <w:color w:val="000000"/>
                <w:sz w:val="18"/>
                <w:szCs w:val="18"/>
                <w:lang w:val="sr-Cyrl-CS" w:eastAsia="sr-Latn-RS"/>
              </w:rPr>
              <w:t>.</w:t>
            </w:r>
            <w:r w:rsidRPr="00676032">
              <w:rPr>
                <w:rFonts w:ascii="Verdana" w:eastAsia="Times New Roman" w:hAnsi="Verdana" w:cs="Times New Roman"/>
                <w:color w:val="000000"/>
                <w:sz w:val="18"/>
                <w:szCs w:val="18"/>
                <w:lang w:val="sr-Cyrl-CS" w:eastAsia="sr-Latn-RS"/>
              </w:rPr>
              <w:t>569</w:t>
            </w:r>
          </w:p>
        </w:tc>
        <w:tc>
          <w:tcPr>
            <w:tcW w:w="1340" w:type="dxa"/>
            <w:tcBorders>
              <w:top w:val="nil"/>
              <w:left w:val="nil"/>
              <w:bottom w:val="double" w:sz="6" w:space="0" w:color="538DD5"/>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100,04</w:t>
            </w:r>
          </w:p>
        </w:tc>
      </w:tr>
      <w:tr w:rsidR="00676032" w:rsidRPr="00676032" w:rsidTr="00AB36FB">
        <w:trPr>
          <w:trHeight w:val="330"/>
        </w:trPr>
        <w:tc>
          <w:tcPr>
            <w:tcW w:w="615"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color w:val="000000"/>
                <w:lang w:val="sr-Latn-RS" w:eastAsia="sr-Latn-RS"/>
              </w:rPr>
            </w:pPr>
            <w:r w:rsidRPr="00676032">
              <w:rPr>
                <w:rFonts w:ascii="Verdana" w:eastAsia="Times New Roman" w:hAnsi="Verdana" w:cs="Times New Roman"/>
                <w:color w:val="000000"/>
                <w:lang w:val="sr-Latn-RS" w:eastAsia="sr-Latn-RS"/>
              </w:rPr>
              <w:t> </w:t>
            </w:r>
          </w:p>
        </w:tc>
        <w:tc>
          <w:tcPr>
            <w:tcW w:w="3637"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Стална имовина</w:t>
            </w:r>
          </w:p>
        </w:tc>
        <w:tc>
          <w:tcPr>
            <w:tcW w:w="1624"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308.112</w:t>
            </w:r>
          </w:p>
        </w:tc>
        <w:tc>
          <w:tcPr>
            <w:tcW w:w="1624"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309.815</w:t>
            </w:r>
          </w:p>
        </w:tc>
        <w:tc>
          <w:tcPr>
            <w:tcW w:w="1340" w:type="dxa"/>
            <w:tcBorders>
              <w:top w:val="nil"/>
              <w:left w:val="nil"/>
              <w:bottom w:val="double" w:sz="6" w:space="0" w:color="4F81BD"/>
              <w:right w:val="nil"/>
            </w:tcBorders>
            <w:shd w:val="clear" w:color="auto" w:fill="auto"/>
            <w:vAlign w:val="center"/>
            <w:hideMark/>
          </w:tcPr>
          <w:p w:rsidR="00676032" w:rsidRPr="004A0500" w:rsidRDefault="004A0500" w:rsidP="00676032">
            <w:pPr>
              <w:spacing w:after="0" w:line="240" w:lineRule="auto"/>
              <w:jc w:val="center"/>
              <w:rPr>
                <w:rFonts w:ascii="Verdana" w:eastAsia="Times New Roman" w:hAnsi="Verdana" w:cs="Times New Roman"/>
                <w:b/>
                <w:bCs/>
                <w:color w:val="000000"/>
                <w:sz w:val="18"/>
                <w:szCs w:val="18"/>
                <w:lang w:val="sr-Cyrl-RS" w:eastAsia="sr-Latn-RS"/>
              </w:rPr>
            </w:pPr>
            <w:r>
              <w:rPr>
                <w:rFonts w:ascii="Verdana" w:eastAsia="Times New Roman" w:hAnsi="Verdana" w:cs="Times New Roman"/>
                <w:b/>
                <w:bCs/>
                <w:color w:val="000000"/>
                <w:sz w:val="18"/>
                <w:szCs w:val="18"/>
                <w:lang w:val="sr-Cyrl-RS" w:eastAsia="sr-Latn-RS"/>
              </w:rPr>
              <w:t>100,55</w:t>
            </w:r>
          </w:p>
        </w:tc>
      </w:tr>
      <w:tr w:rsidR="00676032" w:rsidRPr="00676032" w:rsidTr="00AB36FB">
        <w:trPr>
          <w:trHeight w:val="315"/>
        </w:trPr>
        <w:tc>
          <w:tcPr>
            <w:tcW w:w="615"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5</w:t>
            </w:r>
          </w:p>
        </w:tc>
        <w:tc>
          <w:tcPr>
            <w:tcW w:w="3637"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Залихе</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260</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1.091</w:t>
            </w:r>
          </w:p>
        </w:tc>
        <w:tc>
          <w:tcPr>
            <w:tcW w:w="1340" w:type="dxa"/>
            <w:tcBorders>
              <w:top w:val="nil"/>
              <w:left w:val="nil"/>
              <w:bottom w:val="nil"/>
              <w:right w:val="nil"/>
            </w:tcBorders>
            <w:shd w:val="clear" w:color="000000" w:fill="DBE5F1"/>
            <w:noWrap/>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 xml:space="preserve">    419,62      </w:t>
            </w:r>
          </w:p>
        </w:tc>
      </w:tr>
      <w:tr w:rsidR="00676032" w:rsidRPr="00676032" w:rsidTr="00AB36FB">
        <w:trPr>
          <w:trHeight w:val="300"/>
        </w:trPr>
        <w:tc>
          <w:tcPr>
            <w:tcW w:w="615"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6</w:t>
            </w:r>
          </w:p>
        </w:tc>
        <w:tc>
          <w:tcPr>
            <w:tcW w:w="3637" w:type="dxa"/>
            <w:tcBorders>
              <w:top w:val="nil"/>
              <w:left w:val="nil"/>
              <w:bottom w:val="nil"/>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Потраживања</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618.372</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858.827</w:t>
            </w:r>
          </w:p>
        </w:tc>
        <w:tc>
          <w:tcPr>
            <w:tcW w:w="1340" w:type="dxa"/>
            <w:tcBorders>
              <w:top w:val="nil"/>
              <w:left w:val="nil"/>
              <w:bottom w:val="nil"/>
              <w:right w:val="nil"/>
            </w:tcBorders>
            <w:shd w:val="clear" w:color="auto" w:fill="auto"/>
            <w:noWrap/>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 xml:space="preserve">    138,89      </w:t>
            </w:r>
          </w:p>
        </w:tc>
      </w:tr>
      <w:tr w:rsidR="00676032" w:rsidRPr="00676032" w:rsidTr="00AB36FB">
        <w:trPr>
          <w:trHeight w:val="450"/>
        </w:trPr>
        <w:tc>
          <w:tcPr>
            <w:tcW w:w="615"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7</w:t>
            </w:r>
          </w:p>
        </w:tc>
        <w:tc>
          <w:tcPr>
            <w:tcW w:w="3637"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Потраживања за више плаћен порез на добитак</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54.549</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0</w:t>
            </w:r>
          </w:p>
        </w:tc>
        <w:tc>
          <w:tcPr>
            <w:tcW w:w="1340" w:type="dxa"/>
            <w:tcBorders>
              <w:top w:val="nil"/>
              <w:left w:val="nil"/>
              <w:bottom w:val="nil"/>
              <w:right w:val="nil"/>
            </w:tcBorders>
            <w:shd w:val="clear" w:color="000000" w:fill="DBE5F1"/>
            <w:noWrap/>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 xml:space="preserve">           -        </w:t>
            </w:r>
          </w:p>
        </w:tc>
      </w:tr>
      <w:tr w:rsidR="00676032" w:rsidRPr="00676032" w:rsidTr="00AB36FB">
        <w:trPr>
          <w:trHeight w:val="300"/>
        </w:trPr>
        <w:tc>
          <w:tcPr>
            <w:tcW w:w="615"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8</w:t>
            </w:r>
          </w:p>
        </w:tc>
        <w:tc>
          <w:tcPr>
            <w:tcW w:w="3637" w:type="dxa"/>
            <w:tcBorders>
              <w:top w:val="nil"/>
              <w:left w:val="nil"/>
              <w:bottom w:val="nil"/>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Финансијски пласмани</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1.008.490</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1.402.764</w:t>
            </w:r>
          </w:p>
        </w:tc>
        <w:tc>
          <w:tcPr>
            <w:tcW w:w="1340" w:type="dxa"/>
            <w:tcBorders>
              <w:top w:val="nil"/>
              <w:left w:val="nil"/>
              <w:bottom w:val="nil"/>
              <w:right w:val="nil"/>
            </w:tcBorders>
            <w:shd w:val="clear" w:color="auto" w:fill="auto"/>
            <w:noWrap/>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 xml:space="preserve">    139,10      </w:t>
            </w:r>
          </w:p>
        </w:tc>
      </w:tr>
      <w:tr w:rsidR="00676032" w:rsidRPr="00676032" w:rsidTr="00AB36FB">
        <w:trPr>
          <w:trHeight w:val="300"/>
        </w:trPr>
        <w:tc>
          <w:tcPr>
            <w:tcW w:w="615"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9</w:t>
            </w:r>
          </w:p>
        </w:tc>
        <w:tc>
          <w:tcPr>
            <w:tcW w:w="3637"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Готовина и гот. еквиваленти</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842.881</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382.642</w:t>
            </w:r>
          </w:p>
        </w:tc>
        <w:tc>
          <w:tcPr>
            <w:tcW w:w="1340" w:type="dxa"/>
            <w:tcBorders>
              <w:top w:val="nil"/>
              <w:left w:val="nil"/>
              <w:bottom w:val="nil"/>
              <w:right w:val="nil"/>
            </w:tcBorders>
            <w:shd w:val="clear" w:color="000000" w:fill="DBE5F1"/>
            <w:noWrap/>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 xml:space="preserve">      45,40      </w:t>
            </w:r>
          </w:p>
        </w:tc>
      </w:tr>
      <w:tr w:rsidR="00676032" w:rsidRPr="00676032" w:rsidTr="00AB36FB">
        <w:trPr>
          <w:trHeight w:val="300"/>
        </w:trPr>
        <w:tc>
          <w:tcPr>
            <w:tcW w:w="615"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10</w:t>
            </w:r>
          </w:p>
        </w:tc>
        <w:tc>
          <w:tcPr>
            <w:tcW w:w="3637" w:type="dxa"/>
            <w:tcBorders>
              <w:top w:val="nil"/>
              <w:left w:val="nil"/>
              <w:bottom w:val="nil"/>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АВР</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9.260</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17.716</w:t>
            </w:r>
          </w:p>
        </w:tc>
        <w:tc>
          <w:tcPr>
            <w:tcW w:w="1340" w:type="dxa"/>
            <w:tcBorders>
              <w:top w:val="nil"/>
              <w:left w:val="nil"/>
              <w:bottom w:val="nil"/>
              <w:right w:val="nil"/>
            </w:tcBorders>
            <w:shd w:val="clear" w:color="auto" w:fill="auto"/>
            <w:noWrap/>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 xml:space="preserve">    191,32      </w:t>
            </w:r>
          </w:p>
        </w:tc>
      </w:tr>
      <w:tr w:rsidR="00676032" w:rsidRPr="00676032" w:rsidTr="00AB36FB">
        <w:trPr>
          <w:trHeight w:val="300"/>
        </w:trPr>
        <w:tc>
          <w:tcPr>
            <w:tcW w:w="615"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11</w:t>
            </w:r>
          </w:p>
        </w:tc>
        <w:tc>
          <w:tcPr>
            <w:tcW w:w="3637"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Пасивна преносна премија</w:t>
            </w:r>
          </w:p>
        </w:tc>
        <w:tc>
          <w:tcPr>
            <w:tcW w:w="1624" w:type="dxa"/>
            <w:tcBorders>
              <w:top w:val="nil"/>
              <w:left w:val="nil"/>
              <w:bottom w:val="nil"/>
              <w:right w:val="nil"/>
            </w:tcBorders>
            <w:shd w:val="clear" w:color="000000" w:fill="DCE6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328.031</w:t>
            </w:r>
          </w:p>
        </w:tc>
        <w:tc>
          <w:tcPr>
            <w:tcW w:w="1624" w:type="dxa"/>
            <w:tcBorders>
              <w:top w:val="nil"/>
              <w:left w:val="nil"/>
              <w:bottom w:val="nil"/>
              <w:right w:val="nil"/>
            </w:tcBorders>
            <w:shd w:val="clear" w:color="000000" w:fill="DBE5F1"/>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372.473</w:t>
            </w:r>
          </w:p>
        </w:tc>
        <w:tc>
          <w:tcPr>
            <w:tcW w:w="1340" w:type="dxa"/>
            <w:tcBorders>
              <w:top w:val="nil"/>
              <w:left w:val="nil"/>
              <w:bottom w:val="nil"/>
              <w:right w:val="nil"/>
            </w:tcBorders>
            <w:shd w:val="clear" w:color="000000" w:fill="DBE5F1"/>
            <w:noWrap/>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 xml:space="preserve">    113,55      </w:t>
            </w:r>
          </w:p>
        </w:tc>
      </w:tr>
      <w:tr w:rsidR="00676032" w:rsidRPr="00676032" w:rsidTr="00AB36FB">
        <w:trPr>
          <w:trHeight w:val="300"/>
        </w:trPr>
        <w:tc>
          <w:tcPr>
            <w:tcW w:w="615"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12</w:t>
            </w:r>
          </w:p>
        </w:tc>
        <w:tc>
          <w:tcPr>
            <w:tcW w:w="3637" w:type="dxa"/>
            <w:tcBorders>
              <w:top w:val="nil"/>
              <w:left w:val="nil"/>
              <w:bottom w:val="nil"/>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Пасивне резервисане штете</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1.009.578</w:t>
            </w:r>
          </w:p>
        </w:tc>
        <w:tc>
          <w:tcPr>
            <w:tcW w:w="1624" w:type="dxa"/>
            <w:tcBorders>
              <w:top w:val="nil"/>
              <w:left w:val="nil"/>
              <w:bottom w:val="nil"/>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1.415.065</w:t>
            </w:r>
          </w:p>
        </w:tc>
        <w:tc>
          <w:tcPr>
            <w:tcW w:w="1340" w:type="dxa"/>
            <w:tcBorders>
              <w:top w:val="nil"/>
              <w:left w:val="nil"/>
              <w:bottom w:val="nil"/>
              <w:right w:val="nil"/>
            </w:tcBorders>
            <w:shd w:val="clear" w:color="auto" w:fill="auto"/>
            <w:noWrap/>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 xml:space="preserve">    140,16      </w:t>
            </w:r>
          </w:p>
        </w:tc>
      </w:tr>
      <w:tr w:rsidR="00676032" w:rsidRPr="00676032" w:rsidTr="00AB36FB">
        <w:trPr>
          <w:trHeight w:val="315"/>
        </w:trPr>
        <w:tc>
          <w:tcPr>
            <w:tcW w:w="615" w:type="dxa"/>
            <w:tcBorders>
              <w:top w:val="nil"/>
              <w:left w:val="nil"/>
              <w:bottom w:val="double" w:sz="6" w:space="0" w:color="4F81BD"/>
              <w:right w:val="nil"/>
            </w:tcBorders>
            <w:shd w:val="clear" w:color="000000" w:fill="DBE5F1"/>
            <w:vAlign w:val="center"/>
            <w:hideMark/>
          </w:tcPr>
          <w:p w:rsidR="00676032" w:rsidRPr="00676032" w:rsidRDefault="00676032" w:rsidP="00676032">
            <w:pPr>
              <w:spacing w:after="0" w:line="240" w:lineRule="auto"/>
              <w:jc w:val="center"/>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13</w:t>
            </w:r>
          </w:p>
        </w:tc>
        <w:tc>
          <w:tcPr>
            <w:tcW w:w="3637" w:type="dxa"/>
            <w:tcBorders>
              <w:top w:val="nil"/>
              <w:left w:val="nil"/>
              <w:bottom w:val="double" w:sz="6" w:space="0" w:color="4F81BD"/>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sz w:val="18"/>
                <w:szCs w:val="18"/>
                <w:lang w:val="sr-Latn-RS" w:eastAsia="sr-Latn-RS"/>
              </w:rPr>
            </w:pPr>
            <w:r w:rsidRPr="00676032">
              <w:rPr>
                <w:rFonts w:ascii="Verdana" w:eastAsia="Times New Roman" w:hAnsi="Verdana" w:cs="Times New Roman"/>
                <w:color w:val="000000"/>
                <w:sz w:val="18"/>
                <w:szCs w:val="18"/>
                <w:lang w:val="sr-Cyrl-CS" w:eastAsia="sr-Latn-RS"/>
              </w:rPr>
              <w:t>Одложена пореска средства</w:t>
            </w:r>
          </w:p>
        </w:tc>
        <w:tc>
          <w:tcPr>
            <w:tcW w:w="1624" w:type="dxa"/>
            <w:tcBorders>
              <w:top w:val="nil"/>
              <w:left w:val="nil"/>
              <w:bottom w:val="double" w:sz="6" w:space="0" w:color="4F81BD"/>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lang w:val="sr-Latn-RS" w:eastAsia="sr-Latn-RS"/>
              </w:rPr>
            </w:pPr>
            <w:r w:rsidRPr="00676032">
              <w:rPr>
                <w:rFonts w:ascii="Verdana" w:eastAsia="Times New Roman" w:hAnsi="Verdana" w:cs="Times New Roman"/>
                <w:color w:val="000000"/>
                <w:lang w:val="sr-Latn-RS" w:eastAsia="sr-Latn-RS"/>
              </w:rPr>
              <w:t> </w:t>
            </w:r>
          </w:p>
        </w:tc>
        <w:tc>
          <w:tcPr>
            <w:tcW w:w="1624" w:type="dxa"/>
            <w:tcBorders>
              <w:top w:val="nil"/>
              <w:left w:val="nil"/>
              <w:bottom w:val="double" w:sz="6" w:space="0" w:color="4F81BD"/>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lang w:val="sr-Latn-RS" w:eastAsia="sr-Latn-RS"/>
              </w:rPr>
            </w:pPr>
            <w:r w:rsidRPr="00676032">
              <w:rPr>
                <w:rFonts w:ascii="Verdana" w:eastAsia="Times New Roman" w:hAnsi="Verdana" w:cs="Times New Roman"/>
                <w:color w:val="000000"/>
                <w:lang w:val="sr-Latn-RS" w:eastAsia="sr-Latn-RS"/>
              </w:rPr>
              <w:t> </w:t>
            </w:r>
          </w:p>
        </w:tc>
        <w:tc>
          <w:tcPr>
            <w:tcW w:w="1340" w:type="dxa"/>
            <w:tcBorders>
              <w:top w:val="nil"/>
              <w:left w:val="nil"/>
              <w:bottom w:val="double" w:sz="6" w:space="0" w:color="4F81BD"/>
              <w:right w:val="nil"/>
            </w:tcBorders>
            <w:shd w:val="clear" w:color="000000" w:fill="DBE5F1"/>
            <w:vAlign w:val="center"/>
            <w:hideMark/>
          </w:tcPr>
          <w:p w:rsidR="00676032" w:rsidRPr="00676032" w:rsidRDefault="00676032" w:rsidP="00676032">
            <w:pPr>
              <w:spacing w:after="0" w:line="240" w:lineRule="auto"/>
              <w:rPr>
                <w:rFonts w:ascii="Verdana" w:eastAsia="Times New Roman" w:hAnsi="Verdana" w:cs="Times New Roman"/>
                <w:color w:val="000000"/>
                <w:lang w:val="sr-Latn-RS" w:eastAsia="sr-Latn-RS"/>
              </w:rPr>
            </w:pPr>
            <w:r w:rsidRPr="00676032">
              <w:rPr>
                <w:rFonts w:ascii="Verdana" w:eastAsia="Times New Roman" w:hAnsi="Verdana" w:cs="Times New Roman"/>
                <w:color w:val="000000"/>
                <w:lang w:val="sr-Latn-RS" w:eastAsia="sr-Latn-RS"/>
              </w:rPr>
              <w:t> </w:t>
            </w:r>
          </w:p>
        </w:tc>
      </w:tr>
      <w:tr w:rsidR="00676032" w:rsidRPr="00676032" w:rsidTr="00AB36FB">
        <w:trPr>
          <w:trHeight w:val="330"/>
        </w:trPr>
        <w:tc>
          <w:tcPr>
            <w:tcW w:w="615"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color w:val="000000"/>
                <w:lang w:val="sr-Latn-RS" w:eastAsia="sr-Latn-RS"/>
              </w:rPr>
            </w:pPr>
            <w:r w:rsidRPr="00676032">
              <w:rPr>
                <w:rFonts w:ascii="Verdana" w:eastAsia="Times New Roman" w:hAnsi="Verdana" w:cs="Times New Roman"/>
                <w:color w:val="000000"/>
                <w:lang w:val="sr-Latn-RS" w:eastAsia="sr-Latn-RS"/>
              </w:rPr>
              <w:t> </w:t>
            </w:r>
          </w:p>
        </w:tc>
        <w:tc>
          <w:tcPr>
            <w:tcW w:w="3637"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Обртна имовина</w:t>
            </w:r>
          </w:p>
        </w:tc>
        <w:tc>
          <w:tcPr>
            <w:tcW w:w="1624"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3.871.421</w:t>
            </w:r>
          </w:p>
        </w:tc>
        <w:tc>
          <w:tcPr>
            <w:tcW w:w="1624"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4.450.578</w:t>
            </w:r>
          </w:p>
        </w:tc>
        <w:tc>
          <w:tcPr>
            <w:tcW w:w="1340"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114,96</w:t>
            </w:r>
          </w:p>
        </w:tc>
      </w:tr>
      <w:tr w:rsidR="00676032" w:rsidRPr="00676032" w:rsidTr="00AB36FB">
        <w:trPr>
          <w:trHeight w:val="330"/>
        </w:trPr>
        <w:tc>
          <w:tcPr>
            <w:tcW w:w="4252" w:type="dxa"/>
            <w:gridSpan w:val="2"/>
            <w:tcBorders>
              <w:top w:val="double" w:sz="6" w:space="0" w:color="4F81BD"/>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center"/>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УКУПНА ИМОВИНА (АКТИВА)</w:t>
            </w:r>
          </w:p>
        </w:tc>
        <w:tc>
          <w:tcPr>
            <w:tcW w:w="1624"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4.196.598</w:t>
            </w:r>
          </w:p>
        </w:tc>
        <w:tc>
          <w:tcPr>
            <w:tcW w:w="1624" w:type="dxa"/>
            <w:tcBorders>
              <w:top w:val="nil"/>
              <w:left w:val="nil"/>
              <w:bottom w:val="double" w:sz="6" w:space="0" w:color="4F81BD"/>
              <w:right w:val="nil"/>
            </w:tcBorders>
            <w:shd w:val="clear" w:color="auto" w:fill="auto"/>
            <w:vAlign w:val="center"/>
            <w:hideMark/>
          </w:tcPr>
          <w:p w:rsidR="00676032" w:rsidRPr="00676032" w:rsidRDefault="00676032" w:rsidP="00676032">
            <w:pPr>
              <w:spacing w:after="0" w:line="240" w:lineRule="auto"/>
              <w:jc w:val="right"/>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4.777.902</w:t>
            </w:r>
          </w:p>
        </w:tc>
        <w:tc>
          <w:tcPr>
            <w:tcW w:w="1340" w:type="dxa"/>
            <w:tcBorders>
              <w:top w:val="nil"/>
              <w:left w:val="nil"/>
              <w:bottom w:val="double" w:sz="6" w:space="0" w:color="4F81BD"/>
              <w:right w:val="nil"/>
            </w:tcBorders>
            <w:shd w:val="clear" w:color="000000" w:fill="FFFFFF"/>
            <w:vAlign w:val="center"/>
            <w:hideMark/>
          </w:tcPr>
          <w:p w:rsidR="00676032" w:rsidRPr="00676032" w:rsidRDefault="00676032" w:rsidP="00676032">
            <w:pPr>
              <w:spacing w:after="0" w:line="240" w:lineRule="auto"/>
              <w:jc w:val="center"/>
              <w:rPr>
                <w:rFonts w:ascii="Verdana" w:eastAsia="Times New Roman" w:hAnsi="Verdana" w:cs="Times New Roman"/>
                <w:b/>
                <w:bCs/>
                <w:color w:val="000000"/>
                <w:sz w:val="18"/>
                <w:szCs w:val="18"/>
                <w:lang w:val="sr-Latn-RS" w:eastAsia="sr-Latn-RS"/>
              </w:rPr>
            </w:pPr>
            <w:r w:rsidRPr="00676032">
              <w:rPr>
                <w:rFonts w:ascii="Verdana" w:eastAsia="Times New Roman" w:hAnsi="Verdana" w:cs="Times New Roman"/>
                <w:b/>
                <w:bCs/>
                <w:color w:val="000000"/>
                <w:sz w:val="18"/>
                <w:szCs w:val="18"/>
                <w:lang w:val="sr-Cyrl-CS" w:eastAsia="sr-Latn-RS"/>
              </w:rPr>
              <w:t>113,85</w:t>
            </w:r>
          </w:p>
        </w:tc>
      </w:tr>
    </w:tbl>
    <w:p w:rsidR="00676032" w:rsidRDefault="00676032" w:rsidP="00676032">
      <w:pPr>
        <w:tabs>
          <w:tab w:val="left" w:pos="977"/>
        </w:tabs>
        <w:rPr>
          <w:noProof/>
          <w:lang w:val="sr-Latn-RS" w:eastAsia="sr-Latn-RS"/>
        </w:rPr>
      </w:pPr>
    </w:p>
    <w:p w:rsidR="00B346B3" w:rsidRPr="00676032" w:rsidRDefault="00B346B3" w:rsidP="00676032">
      <w:pPr>
        <w:tabs>
          <w:tab w:val="left" w:pos="977"/>
        </w:tabs>
        <w:rPr>
          <w:lang w:val="sr-Cyrl-CS" w:eastAsia="ar-SA"/>
        </w:rPr>
      </w:pPr>
      <w:r>
        <w:rPr>
          <w:noProof/>
          <w:lang w:val="sr-Latn-RS" w:eastAsia="sr-Latn-RS"/>
        </w:rPr>
        <w:drawing>
          <wp:inline distT="0" distB="0" distL="0" distR="0" wp14:anchorId="144B938C" wp14:editId="32681124">
            <wp:extent cx="5597719" cy="3617844"/>
            <wp:effectExtent l="0" t="0" r="22225" b="2095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D31DE3" w:rsidRPr="00BF3CDE" w:rsidRDefault="00C031DE" w:rsidP="00153DB4">
      <w:pPr>
        <w:spacing w:after="80" w:line="240" w:lineRule="auto"/>
        <w:ind w:hanging="284"/>
        <w:jc w:val="both"/>
        <w:rPr>
          <w:rStyle w:val="Hyperlink"/>
          <w:noProof/>
          <w:color w:val="auto"/>
          <w:sz w:val="20"/>
          <w:szCs w:val="20"/>
          <w:lang w:val="sr-Cyrl-CS"/>
        </w:rPr>
      </w:pPr>
      <w:r w:rsidRPr="00BF3CDE">
        <w:rPr>
          <w:rStyle w:val="Hyperlink"/>
          <w:noProof/>
          <w:color w:val="auto"/>
          <w:sz w:val="20"/>
          <w:szCs w:val="20"/>
          <w:lang w:val="sr-Cyrl-CS"/>
        </w:rPr>
        <w:t xml:space="preserve">                                                           </w:t>
      </w:r>
    </w:p>
    <w:p w:rsidR="00457DD6" w:rsidRDefault="0000684F" w:rsidP="00AB59CB">
      <w:pPr>
        <w:spacing w:before="120" w:after="120"/>
        <w:ind w:firstLine="284"/>
        <w:jc w:val="both"/>
        <w:rPr>
          <w:rStyle w:val="Hyperlink"/>
          <w:noProof/>
          <w:color w:val="auto"/>
          <w:sz w:val="20"/>
          <w:szCs w:val="20"/>
          <w:lang w:val="sr-Cyrl-CS"/>
        </w:rPr>
      </w:pPr>
      <w:r w:rsidRPr="003157EE">
        <w:rPr>
          <w:rStyle w:val="IntenseEmphasis"/>
          <w:noProof/>
          <w:lang w:val="sr-Cyrl-CS"/>
        </w:rPr>
        <w:t>Стална имовина</w:t>
      </w:r>
      <w:r w:rsidRPr="004A0500">
        <w:rPr>
          <w:rStyle w:val="Hyperlink"/>
          <w:noProof/>
          <w:color w:val="auto"/>
          <w:sz w:val="20"/>
          <w:szCs w:val="20"/>
          <w:lang w:val="sr-Cyrl-CS"/>
        </w:rPr>
        <w:t xml:space="preserve"> </w:t>
      </w:r>
      <w:r w:rsidR="004A0500">
        <w:rPr>
          <w:rStyle w:val="Hyperlink"/>
          <w:noProof/>
          <w:color w:val="auto"/>
          <w:sz w:val="20"/>
          <w:szCs w:val="20"/>
          <w:lang w:val="sr-Cyrl-CS"/>
        </w:rPr>
        <w:t xml:space="preserve"> је </w:t>
      </w:r>
      <w:r w:rsidR="004A239E">
        <w:rPr>
          <w:rStyle w:val="Hyperlink"/>
          <w:noProof/>
          <w:color w:val="auto"/>
          <w:sz w:val="20"/>
          <w:szCs w:val="20"/>
          <w:lang w:val="sr-Cyrl-CS"/>
        </w:rPr>
        <w:t>на приближно истом нивоу као и претходне године и са непромењеном стуктуром .</w:t>
      </w:r>
    </w:p>
    <w:p w:rsidR="004A0500" w:rsidRDefault="003157EE" w:rsidP="00AB59CB">
      <w:pPr>
        <w:spacing w:before="120" w:after="120"/>
        <w:ind w:firstLine="284"/>
        <w:jc w:val="both"/>
        <w:rPr>
          <w:rStyle w:val="Hyperlink"/>
          <w:noProof/>
          <w:color w:val="auto"/>
          <w:sz w:val="20"/>
          <w:szCs w:val="20"/>
          <w:lang w:val="sr-Cyrl-CS"/>
        </w:rPr>
      </w:pPr>
      <w:r w:rsidRPr="003157EE">
        <w:rPr>
          <w:rStyle w:val="Hyperlink"/>
          <w:noProof/>
          <w:color w:val="auto"/>
          <w:sz w:val="20"/>
          <w:szCs w:val="20"/>
          <w:lang w:val="sr-Cyrl-CS"/>
        </w:rPr>
        <w:t>Нематеријална улагања, софтвер и опрема су у односу на претходну годину повећана за 5%, као нето резултат обављених набавки и уплаћеног аванса по основу набавке интегрисаног информационог система, као и амортизације средстава у току 2015. године.</w:t>
      </w:r>
    </w:p>
    <w:p w:rsidR="003157EE" w:rsidRPr="004A0500" w:rsidRDefault="003157EE" w:rsidP="00AB59CB">
      <w:pPr>
        <w:spacing w:before="120" w:after="120"/>
        <w:ind w:firstLine="284"/>
        <w:jc w:val="both"/>
        <w:rPr>
          <w:rStyle w:val="Hyperlink"/>
          <w:noProof/>
          <w:color w:val="auto"/>
          <w:sz w:val="20"/>
          <w:szCs w:val="20"/>
          <w:lang w:val="sr-Cyrl-CS"/>
        </w:rPr>
      </w:pPr>
      <w:r w:rsidRPr="003157EE">
        <w:rPr>
          <w:rStyle w:val="Hyperlink"/>
          <w:noProof/>
          <w:color w:val="auto"/>
          <w:sz w:val="20"/>
          <w:szCs w:val="20"/>
          <w:lang w:val="sr-Cyrl-CS"/>
        </w:rPr>
        <w:t>Структура дугорочних финансијских пласмана се није мењала у току 2015. године, а нису забележене ни значајне тржишне осцилације у вредности исти</w:t>
      </w:r>
      <w:r>
        <w:rPr>
          <w:rStyle w:val="Hyperlink"/>
          <w:noProof/>
          <w:color w:val="auto"/>
          <w:sz w:val="20"/>
          <w:szCs w:val="20"/>
          <w:lang w:val="sr-Cyrl-CS"/>
        </w:rPr>
        <w:t>х.</w:t>
      </w:r>
    </w:p>
    <w:p w:rsidR="006047ED" w:rsidRPr="007A6345" w:rsidRDefault="006047ED" w:rsidP="006047ED">
      <w:pPr>
        <w:spacing w:before="120" w:after="120"/>
        <w:ind w:firstLine="284"/>
        <w:jc w:val="both"/>
        <w:rPr>
          <w:rStyle w:val="Hyperlink"/>
          <w:noProof/>
          <w:color w:val="auto"/>
          <w:sz w:val="20"/>
          <w:szCs w:val="20"/>
          <w:lang w:val="sr-Cyrl-CS"/>
        </w:rPr>
      </w:pPr>
      <w:r w:rsidRPr="007A6345">
        <w:rPr>
          <w:rStyle w:val="IntenseEmphasis"/>
          <w:noProof/>
          <w:lang w:val="sr-Cyrl-CS"/>
        </w:rPr>
        <w:t>Обртна имовина</w:t>
      </w:r>
      <w:r w:rsidRPr="007A6345">
        <w:rPr>
          <w:rStyle w:val="Hyperlink"/>
          <w:noProof/>
          <w:color w:val="auto"/>
          <w:sz w:val="20"/>
          <w:szCs w:val="20"/>
          <w:lang w:val="sr-Cyrl-CS"/>
        </w:rPr>
        <w:t xml:space="preserve"> је повећана у односу на претходну годину, за </w:t>
      </w:r>
      <w:r w:rsidR="004A239E" w:rsidRPr="007A6345">
        <w:rPr>
          <w:rStyle w:val="Hyperlink"/>
          <w:noProof/>
          <w:color w:val="auto"/>
          <w:sz w:val="20"/>
          <w:szCs w:val="20"/>
          <w:lang w:val="sr-Cyrl-CS"/>
        </w:rPr>
        <w:t>14,96</w:t>
      </w:r>
      <w:r w:rsidRPr="007A6345">
        <w:rPr>
          <w:rStyle w:val="Hyperlink"/>
          <w:noProof/>
          <w:color w:val="auto"/>
          <w:sz w:val="20"/>
          <w:szCs w:val="20"/>
          <w:lang w:val="sr-Cyrl-CS"/>
        </w:rPr>
        <w:t>%.</w:t>
      </w:r>
      <w:r w:rsidR="002E0051" w:rsidRPr="007A6345">
        <w:rPr>
          <w:rStyle w:val="Hyperlink"/>
          <w:noProof/>
          <w:color w:val="auto"/>
          <w:sz w:val="20"/>
          <w:szCs w:val="20"/>
          <w:lang w:val="sr-Cyrl-CS"/>
        </w:rPr>
        <w:t xml:space="preserve"> </w:t>
      </w:r>
    </w:p>
    <w:p w:rsidR="003157EE" w:rsidRDefault="003157EE" w:rsidP="002E0051">
      <w:pPr>
        <w:spacing w:before="120" w:after="120"/>
        <w:ind w:firstLine="284"/>
        <w:jc w:val="both"/>
        <w:rPr>
          <w:rStyle w:val="Hyperlink"/>
          <w:noProof/>
          <w:color w:val="auto"/>
          <w:sz w:val="20"/>
          <w:szCs w:val="20"/>
          <w:lang w:val="sr-Cyrl-CS"/>
        </w:rPr>
      </w:pPr>
      <w:r w:rsidRPr="003157EE">
        <w:rPr>
          <w:rStyle w:val="Hyperlink"/>
          <w:noProof/>
          <w:color w:val="auto"/>
          <w:sz w:val="20"/>
          <w:szCs w:val="20"/>
          <w:lang w:val="sr-Cyrl-CS"/>
        </w:rPr>
        <w:t>Укупна потраживања већа су за 38,89% у односу на претходну годину. Раст потраживања последица су већег обима пословних активности и уредније наплате (највеће учешће у укупним потраживањима имају недоспела потраживања, а смањење по основу исправке вредности је значајно мање у односу на претходну годину</w:t>
      </w:r>
    </w:p>
    <w:p w:rsidR="0097324E" w:rsidRDefault="0097324E" w:rsidP="0097324E">
      <w:pPr>
        <w:spacing w:before="120" w:after="120"/>
        <w:ind w:firstLine="284"/>
        <w:jc w:val="both"/>
        <w:rPr>
          <w:rStyle w:val="Hyperlink"/>
          <w:noProof/>
          <w:color w:val="auto"/>
          <w:sz w:val="20"/>
          <w:szCs w:val="20"/>
          <w:lang w:val="sr-Cyrl-CS"/>
        </w:rPr>
      </w:pPr>
      <w:r w:rsidRPr="0097324E">
        <w:rPr>
          <w:rStyle w:val="Hyperlink"/>
          <w:noProof/>
          <w:color w:val="auto"/>
          <w:sz w:val="20"/>
          <w:szCs w:val="20"/>
          <w:lang w:val="sr-Cyrl-CS"/>
        </w:rPr>
        <w:t>Финансијски пласмани забележили су раст од 39,10% у односу на претходну годину. У структури највеће учешће и највећи раст у односу на претходну годину (повећане су за 7 пута) имају дужничке хартије од вредности (државне хартије од вредности). Власничке хартије од вредности су забележиле пад од 14,84%, што је последица додатног обезвређења акција МТС банке (Дунав банке). Краткорочни депозити и готовина су такође забележили пад од 47,05%, а последица је реинвестирања ових средстава у државне хартије од вредности због већих приноса.</w:t>
      </w:r>
    </w:p>
    <w:p w:rsidR="00AB25B8" w:rsidRPr="007A6345" w:rsidRDefault="00AB25B8" w:rsidP="002E0051">
      <w:pPr>
        <w:spacing w:before="120" w:after="120"/>
        <w:ind w:firstLine="284"/>
        <w:jc w:val="both"/>
        <w:rPr>
          <w:rStyle w:val="Hyperlink"/>
          <w:noProof/>
          <w:color w:val="auto"/>
          <w:sz w:val="20"/>
          <w:szCs w:val="20"/>
          <w:lang w:val="sr-Cyrl-CS"/>
        </w:rPr>
      </w:pPr>
      <w:r w:rsidRPr="007A6345">
        <w:rPr>
          <w:rStyle w:val="Hyperlink"/>
          <w:noProof/>
          <w:color w:val="auto"/>
          <w:sz w:val="20"/>
          <w:szCs w:val="20"/>
          <w:lang w:val="sr-Cyrl-CS"/>
        </w:rPr>
        <w:t>Позициј</w:t>
      </w:r>
      <w:r w:rsidR="004A239E" w:rsidRPr="007A6345">
        <w:rPr>
          <w:rStyle w:val="Hyperlink"/>
          <w:noProof/>
          <w:color w:val="auto"/>
          <w:sz w:val="20"/>
          <w:szCs w:val="20"/>
          <w:lang w:val="sr-Cyrl-CS"/>
        </w:rPr>
        <w:t>а</w:t>
      </w:r>
      <w:r w:rsidRPr="007A6345">
        <w:rPr>
          <w:rStyle w:val="Hyperlink"/>
          <w:noProof/>
          <w:color w:val="auto"/>
          <w:sz w:val="20"/>
          <w:szCs w:val="20"/>
          <w:lang w:val="sr-Cyrl-CS"/>
        </w:rPr>
        <w:t xml:space="preserve"> готовине и готовинских еквивалента забележиле су пад у односу на претходну годину који је </w:t>
      </w:r>
      <w:r w:rsidR="004E1215" w:rsidRPr="007A6345">
        <w:rPr>
          <w:rStyle w:val="Hyperlink"/>
          <w:noProof/>
          <w:color w:val="auto"/>
          <w:sz w:val="20"/>
          <w:szCs w:val="20"/>
          <w:lang w:val="sr-Cyrl-CS"/>
        </w:rPr>
        <w:t xml:space="preserve">делимично </w:t>
      </w:r>
      <w:r w:rsidRPr="007A6345">
        <w:rPr>
          <w:rStyle w:val="Hyperlink"/>
          <w:noProof/>
          <w:color w:val="auto"/>
          <w:sz w:val="20"/>
          <w:szCs w:val="20"/>
          <w:lang w:val="sr-Cyrl-CS"/>
        </w:rPr>
        <w:t>резултат прекомпоновања инвестиционог портфолија у корист дугорочних финансијских пласмана.</w:t>
      </w:r>
      <w:r w:rsidR="002D2678" w:rsidRPr="007A6345">
        <w:rPr>
          <w:rStyle w:val="Hyperlink"/>
          <w:noProof/>
          <w:color w:val="auto"/>
          <w:sz w:val="20"/>
          <w:szCs w:val="20"/>
          <w:lang w:val="sr-Cyrl-CS"/>
        </w:rPr>
        <w:t xml:space="preserve"> О детаљима и структури инвестиционог портфолија биће више речи у посебном поглављу извештаја.</w:t>
      </w:r>
    </w:p>
    <w:p w:rsidR="00DE138A" w:rsidRDefault="00DE138A" w:rsidP="00DE138A">
      <w:pPr>
        <w:spacing w:after="0"/>
        <w:ind w:firstLine="567"/>
        <w:jc w:val="both"/>
        <w:rPr>
          <w:noProof/>
          <w:sz w:val="20"/>
          <w:szCs w:val="20"/>
          <w:lang w:val="sr-Latn-RS"/>
        </w:rPr>
      </w:pPr>
      <w:r w:rsidRPr="007A6345">
        <w:rPr>
          <w:noProof/>
          <w:sz w:val="20"/>
          <w:szCs w:val="20"/>
          <w:lang w:val="sr-Cyrl-CS"/>
        </w:rPr>
        <w:t xml:space="preserve">Активна временска разграничења у износу од </w:t>
      </w:r>
      <w:r w:rsidR="007A6345" w:rsidRPr="007A6345">
        <w:rPr>
          <w:noProof/>
          <w:sz w:val="20"/>
          <w:szCs w:val="20"/>
          <w:lang w:val="sr-Cyrl-CS"/>
        </w:rPr>
        <w:t>17.716</w:t>
      </w:r>
      <w:r w:rsidRPr="007A6345">
        <w:rPr>
          <w:noProof/>
          <w:sz w:val="20"/>
          <w:szCs w:val="20"/>
          <w:lang w:val="sr-Cyrl-CS"/>
        </w:rPr>
        <w:t xml:space="preserve"> хиљада динара односи се на:</w:t>
      </w:r>
    </w:p>
    <w:p w:rsidR="002157E8" w:rsidRPr="002157E8" w:rsidRDefault="002157E8" w:rsidP="00DE138A">
      <w:pPr>
        <w:spacing w:after="0"/>
        <w:ind w:firstLine="567"/>
        <w:jc w:val="both"/>
        <w:rPr>
          <w:noProof/>
          <w:sz w:val="20"/>
          <w:szCs w:val="20"/>
          <w:lang w:val="sr-Latn-RS"/>
        </w:rPr>
      </w:pPr>
    </w:p>
    <w:tbl>
      <w:tblPr>
        <w:tblW w:w="9213" w:type="dxa"/>
        <w:tblLook w:val="04A0" w:firstRow="1" w:lastRow="0" w:firstColumn="1" w:lastColumn="0" w:noHBand="0" w:noVBand="1"/>
      </w:tblPr>
      <w:tblGrid>
        <w:gridCol w:w="2562"/>
        <w:gridCol w:w="1449"/>
        <w:gridCol w:w="1292"/>
        <w:gridCol w:w="1320"/>
        <w:gridCol w:w="1292"/>
        <w:gridCol w:w="1298"/>
      </w:tblGrid>
      <w:tr w:rsidR="002157E8" w:rsidRPr="002157E8" w:rsidTr="002157E8">
        <w:trPr>
          <w:trHeight w:val="286"/>
        </w:trPr>
        <w:tc>
          <w:tcPr>
            <w:tcW w:w="2562" w:type="dxa"/>
            <w:tcBorders>
              <w:top w:val="nil"/>
              <w:left w:val="nil"/>
              <w:bottom w:val="single" w:sz="8" w:space="0" w:color="629DD1"/>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b/>
                <w:bCs/>
                <w:color w:val="000000"/>
                <w:sz w:val="18"/>
                <w:szCs w:val="18"/>
                <w:lang w:val="sr-Latn-RS" w:eastAsia="sr-Latn-RS"/>
              </w:rPr>
            </w:pPr>
            <w:r w:rsidRPr="002157E8">
              <w:rPr>
                <w:rFonts w:ascii="Verdana" w:eastAsia="Times New Roman" w:hAnsi="Verdana" w:cs="Times New Roman"/>
                <w:b/>
                <w:bCs/>
                <w:color w:val="000000"/>
                <w:sz w:val="18"/>
                <w:szCs w:val="18"/>
                <w:lang w:val="sr-Latn-RS" w:eastAsia="sr-Latn-RS"/>
              </w:rPr>
              <w:t>ОПИС</w:t>
            </w:r>
          </w:p>
        </w:tc>
        <w:tc>
          <w:tcPr>
            <w:tcW w:w="1449" w:type="dxa"/>
            <w:tcBorders>
              <w:top w:val="nil"/>
              <w:left w:val="nil"/>
              <w:bottom w:val="single" w:sz="8" w:space="0" w:color="629DD1"/>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b/>
                <w:bCs/>
                <w:color w:val="000000"/>
                <w:sz w:val="16"/>
                <w:szCs w:val="16"/>
                <w:lang w:val="sr-Latn-RS" w:eastAsia="sr-Latn-RS"/>
              </w:rPr>
            </w:pPr>
            <w:r w:rsidRPr="002157E8">
              <w:rPr>
                <w:rFonts w:ascii="Verdana" w:eastAsia="Times New Roman" w:hAnsi="Verdana" w:cs="Times New Roman"/>
                <w:b/>
                <w:bCs/>
                <w:color w:val="000000"/>
                <w:sz w:val="16"/>
                <w:szCs w:val="16"/>
                <w:lang w:val="sr-Latn-RS" w:eastAsia="sr-Latn-RS"/>
              </w:rPr>
              <w:t>2014</w:t>
            </w:r>
          </w:p>
        </w:tc>
        <w:tc>
          <w:tcPr>
            <w:tcW w:w="1292" w:type="dxa"/>
            <w:tcBorders>
              <w:top w:val="nil"/>
              <w:left w:val="nil"/>
              <w:bottom w:val="single" w:sz="8" w:space="0" w:color="629DD1"/>
              <w:right w:val="nil"/>
            </w:tcBorders>
            <w:shd w:val="clear" w:color="auto" w:fill="auto"/>
            <w:vAlign w:val="center"/>
            <w:hideMark/>
          </w:tcPr>
          <w:p w:rsidR="002157E8" w:rsidRPr="002157E8" w:rsidRDefault="002157E8" w:rsidP="002157E8">
            <w:pPr>
              <w:spacing w:after="0" w:line="240" w:lineRule="auto"/>
              <w:jc w:val="center"/>
              <w:rPr>
                <w:rFonts w:ascii="Verdana" w:eastAsia="Times New Roman" w:hAnsi="Verdana" w:cs="Times New Roman"/>
                <w:b/>
                <w:bCs/>
                <w:color w:val="000000"/>
                <w:sz w:val="16"/>
                <w:szCs w:val="16"/>
                <w:lang w:val="sr-Latn-RS" w:eastAsia="sr-Latn-RS"/>
              </w:rPr>
            </w:pPr>
            <w:r w:rsidRPr="002157E8">
              <w:rPr>
                <w:rFonts w:ascii="Verdana" w:eastAsia="Times New Roman" w:hAnsi="Verdana" w:cs="Times New Roman"/>
                <w:b/>
                <w:bCs/>
                <w:color w:val="000000"/>
                <w:sz w:val="16"/>
                <w:szCs w:val="16"/>
                <w:lang w:val="sr-Latn-RS" w:eastAsia="sr-Latn-RS"/>
              </w:rPr>
              <w:t>Структура 2014</w:t>
            </w:r>
          </w:p>
        </w:tc>
        <w:tc>
          <w:tcPr>
            <w:tcW w:w="1320" w:type="dxa"/>
            <w:tcBorders>
              <w:top w:val="nil"/>
              <w:left w:val="nil"/>
              <w:bottom w:val="single" w:sz="8" w:space="0" w:color="629DD1"/>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b/>
                <w:bCs/>
                <w:color w:val="000000"/>
                <w:sz w:val="16"/>
                <w:szCs w:val="16"/>
                <w:lang w:val="sr-Latn-RS" w:eastAsia="sr-Latn-RS"/>
              </w:rPr>
            </w:pPr>
            <w:r w:rsidRPr="002157E8">
              <w:rPr>
                <w:rFonts w:ascii="Verdana" w:eastAsia="Times New Roman" w:hAnsi="Verdana" w:cs="Times New Roman"/>
                <w:b/>
                <w:bCs/>
                <w:color w:val="000000"/>
                <w:sz w:val="16"/>
                <w:szCs w:val="16"/>
                <w:lang w:val="sr-Latn-RS" w:eastAsia="sr-Latn-RS"/>
              </w:rPr>
              <w:t>2015</w:t>
            </w:r>
          </w:p>
        </w:tc>
        <w:tc>
          <w:tcPr>
            <w:tcW w:w="1292" w:type="dxa"/>
            <w:tcBorders>
              <w:top w:val="nil"/>
              <w:left w:val="nil"/>
              <w:bottom w:val="single" w:sz="8" w:space="0" w:color="629DD1"/>
              <w:right w:val="nil"/>
            </w:tcBorders>
            <w:shd w:val="clear" w:color="auto" w:fill="auto"/>
            <w:vAlign w:val="center"/>
            <w:hideMark/>
          </w:tcPr>
          <w:p w:rsidR="002157E8" w:rsidRPr="002157E8" w:rsidRDefault="002157E8" w:rsidP="002157E8">
            <w:pPr>
              <w:spacing w:after="0" w:line="240" w:lineRule="auto"/>
              <w:jc w:val="center"/>
              <w:rPr>
                <w:rFonts w:ascii="Verdana" w:eastAsia="Times New Roman" w:hAnsi="Verdana" w:cs="Times New Roman"/>
                <w:b/>
                <w:bCs/>
                <w:color w:val="000000"/>
                <w:sz w:val="16"/>
                <w:szCs w:val="16"/>
                <w:lang w:val="sr-Latn-RS" w:eastAsia="sr-Latn-RS"/>
              </w:rPr>
            </w:pPr>
            <w:r w:rsidRPr="002157E8">
              <w:rPr>
                <w:rFonts w:ascii="Verdana" w:eastAsia="Times New Roman" w:hAnsi="Verdana" w:cs="Times New Roman"/>
                <w:b/>
                <w:bCs/>
                <w:color w:val="000000"/>
                <w:sz w:val="16"/>
                <w:szCs w:val="16"/>
                <w:lang w:val="sr-Latn-RS" w:eastAsia="sr-Latn-RS"/>
              </w:rPr>
              <w:t>Структура 2015</w:t>
            </w:r>
          </w:p>
        </w:tc>
        <w:tc>
          <w:tcPr>
            <w:tcW w:w="1298" w:type="dxa"/>
            <w:tcBorders>
              <w:top w:val="nil"/>
              <w:left w:val="nil"/>
              <w:bottom w:val="single" w:sz="8" w:space="0" w:color="629DD1"/>
              <w:right w:val="nil"/>
            </w:tcBorders>
            <w:shd w:val="clear" w:color="auto" w:fill="auto"/>
            <w:vAlign w:val="center"/>
            <w:hideMark/>
          </w:tcPr>
          <w:p w:rsidR="002157E8" w:rsidRPr="002157E8" w:rsidRDefault="002157E8" w:rsidP="002157E8">
            <w:pPr>
              <w:spacing w:after="0" w:line="240" w:lineRule="auto"/>
              <w:jc w:val="center"/>
              <w:rPr>
                <w:rFonts w:ascii="Verdana" w:eastAsia="Times New Roman" w:hAnsi="Verdana" w:cs="Times New Roman"/>
                <w:b/>
                <w:bCs/>
                <w:color w:val="000000"/>
                <w:sz w:val="16"/>
                <w:szCs w:val="16"/>
                <w:lang w:val="sr-Latn-RS" w:eastAsia="sr-Latn-RS"/>
              </w:rPr>
            </w:pPr>
            <w:r w:rsidRPr="002157E8">
              <w:rPr>
                <w:rFonts w:ascii="Verdana" w:eastAsia="Times New Roman" w:hAnsi="Verdana" w:cs="Times New Roman"/>
                <w:b/>
                <w:bCs/>
                <w:color w:val="000000"/>
                <w:sz w:val="16"/>
                <w:szCs w:val="16"/>
                <w:lang w:val="sr-Latn-RS" w:eastAsia="sr-Latn-RS"/>
              </w:rPr>
              <w:t>индекс 15/14</w:t>
            </w:r>
          </w:p>
        </w:tc>
      </w:tr>
      <w:tr w:rsidR="002157E8" w:rsidRPr="002157E8" w:rsidTr="002157E8">
        <w:trPr>
          <w:trHeight w:val="197"/>
        </w:trPr>
        <w:tc>
          <w:tcPr>
            <w:tcW w:w="2562" w:type="dxa"/>
            <w:tcBorders>
              <w:top w:val="nil"/>
              <w:left w:val="nil"/>
              <w:bottom w:val="nil"/>
              <w:right w:val="nil"/>
            </w:tcBorders>
            <w:shd w:val="clear" w:color="auto" w:fill="auto"/>
            <w:vAlign w:val="center"/>
            <w:hideMark/>
          </w:tcPr>
          <w:p w:rsidR="002157E8" w:rsidRPr="002157E8" w:rsidRDefault="002157E8" w:rsidP="002157E8">
            <w:pPr>
              <w:spacing w:after="0" w:line="240" w:lineRule="auto"/>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Унапред плаћени трошкови</w:t>
            </w:r>
          </w:p>
        </w:tc>
        <w:tc>
          <w:tcPr>
            <w:tcW w:w="1449" w:type="dxa"/>
            <w:tcBorders>
              <w:top w:val="nil"/>
              <w:left w:val="nil"/>
              <w:bottom w:val="nil"/>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 xml:space="preserve">           370      </w:t>
            </w:r>
          </w:p>
        </w:tc>
        <w:tc>
          <w:tcPr>
            <w:tcW w:w="1292" w:type="dxa"/>
            <w:tcBorders>
              <w:top w:val="nil"/>
              <w:left w:val="nil"/>
              <w:bottom w:val="nil"/>
              <w:right w:val="nil"/>
            </w:tcBorders>
            <w:shd w:val="clear" w:color="auto" w:fill="auto"/>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4,16%</w:t>
            </w:r>
          </w:p>
        </w:tc>
        <w:tc>
          <w:tcPr>
            <w:tcW w:w="1320" w:type="dxa"/>
            <w:tcBorders>
              <w:top w:val="nil"/>
              <w:left w:val="nil"/>
              <w:bottom w:val="nil"/>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 xml:space="preserve">         688      </w:t>
            </w:r>
          </w:p>
        </w:tc>
        <w:tc>
          <w:tcPr>
            <w:tcW w:w="1292" w:type="dxa"/>
            <w:tcBorders>
              <w:top w:val="nil"/>
              <w:left w:val="nil"/>
              <w:bottom w:val="nil"/>
              <w:right w:val="nil"/>
            </w:tcBorders>
            <w:shd w:val="clear" w:color="auto" w:fill="auto"/>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4,04%</w:t>
            </w:r>
          </w:p>
        </w:tc>
        <w:tc>
          <w:tcPr>
            <w:tcW w:w="1298" w:type="dxa"/>
            <w:tcBorders>
              <w:top w:val="nil"/>
              <w:left w:val="nil"/>
              <w:bottom w:val="nil"/>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 xml:space="preserve">     185,95      </w:t>
            </w:r>
          </w:p>
        </w:tc>
      </w:tr>
      <w:tr w:rsidR="002157E8" w:rsidRPr="002157E8" w:rsidTr="002157E8">
        <w:trPr>
          <w:trHeight w:val="345"/>
        </w:trPr>
        <w:tc>
          <w:tcPr>
            <w:tcW w:w="2562" w:type="dxa"/>
            <w:tcBorders>
              <w:top w:val="nil"/>
              <w:left w:val="nil"/>
              <w:bottom w:val="nil"/>
              <w:right w:val="nil"/>
            </w:tcBorders>
            <w:shd w:val="clear" w:color="auto" w:fill="auto"/>
            <w:vAlign w:val="center"/>
            <w:hideMark/>
          </w:tcPr>
          <w:p w:rsidR="002157E8" w:rsidRPr="00402D73" w:rsidRDefault="00402D73" w:rsidP="002157E8">
            <w:pPr>
              <w:spacing w:after="0" w:line="240" w:lineRule="auto"/>
              <w:rPr>
                <w:rFonts w:ascii="Verdana" w:eastAsia="Times New Roman" w:hAnsi="Verdana" w:cs="Times New Roman"/>
                <w:color w:val="000000"/>
                <w:sz w:val="18"/>
                <w:szCs w:val="18"/>
                <w:lang w:val="sr-Cyrl-RS" w:eastAsia="sr-Latn-RS"/>
              </w:rPr>
            </w:pPr>
            <w:r>
              <w:rPr>
                <w:rFonts w:ascii="Verdana" w:eastAsia="Times New Roman" w:hAnsi="Verdana" w:cs="Times New Roman"/>
                <w:color w:val="000000"/>
                <w:sz w:val="18"/>
                <w:szCs w:val="18"/>
                <w:lang w:val="sr-Cyrl-RS" w:eastAsia="sr-Latn-RS"/>
              </w:rPr>
              <w:t>Потр. за неф. приход</w:t>
            </w:r>
          </w:p>
        </w:tc>
        <w:tc>
          <w:tcPr>
            <w:tcW w:w="1449" w:type="dxa"/>
            <w:tcBorders>
              <w:top w:val="nil"/>
              <w:left w:val="nil"/>
              <w:bottom w:val="nil"/>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 xml:space="preserve">         8.890      </w:t>
            </w:r>
          </w:p>
        </w:tc>
        <w:tc>
          <w:tcPr>
            <w:tcW w:w="1292" w:type="dxa"/>
            <w:tcBorders>
              <w:top w:val="nil"/>
              <w:left w:val="nil"/>
              <w:bottom w:val="nil"/>
              <w:right w:val="nil"/>
            </w:tcBorders>
            <w:shd w:val="clear" w:color="auto" w:fill="auto"/>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96,00%</w:t>
            </w:r>
          </w:p>
        </w:tc>
        <w:tc>
          <w:tcPr>
            <w:tcW w:w="1320" w:type="dxa"/>
            <w:tcBorders>
              <w:top w:val="nil"/>
              <w:left w:val="nil"/>
              <w:bottom w:val="nil"/>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 xml:space="preserve">     17.028      </w:t>
            </w:r>
          </w:p>
        </w:tc>
        <w:tc>
          <w:tcPr>
            <w:tcW w:w="1292" w:type="dxa"/>
            <w:tcBorders>
              <w:top w:val="nil"/>
              <w:left w:val="nil"/>
              <w:bottom w:val="nil"/>
              <w:right w:val="nil"/>
            </w:tcBorders>
            <w:shd w:val="clear" w:color="auto" w:fill="auto"/>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96,12%</w:t>
            </w:r>
          </w:p>
        </w:tc>
        <w:tc>
          <w:tcPr>
            <w:tcW w:w="1298" w:type="dxa"/>
            <w:tcBorders>
              <w:top w:val="nil"/>
              <w:left w:val="nil"/>
              <w:bottom w:val="nil"/>
              <w:right w:val="nil"/>
            </w:tcBorders>
            <w:shd w:val="clear" w:color="auto" w:fill="auto"/>
            <w:noWrap/>
            <w:vAlign w:val="center"/>
            <w:hideMark/>
          </w:tcPr>
          <w:p w:rsidR="002157E8" w:rsidRPr="002157E8" w:rsidRDefault="002157E8" w:rsidP="002157E8">
            <w:pPr>
              <w:spacing w:after="0" w:line="240" w:lineRule="auto"/>
              <w:jc w:val="center"/>
              <w:rPr>
                <w:rFonts w:ascii="Verdana" w:eastAsia="Times New Roman" w:hAnsi="Verdana" w:cs="Times New Roman"/>
                <w:color w:val="000000"/>
                <w:sz w:val="18"/>
                <w:szCs w:val="18"/>
                <w:lang w:val="sr-Latn-RS" w:eastAsia="sr-Latn-RS"/>
              </w:rPr>
            </w:pPr>
            <w:r w:rsidRPr="002157E8">
              <w:rPr>
                <w:rFonts w:ascii="Verdana" w:eastAsia="Times New Roman" w:hAnsi="Verdana" w:cs="Times New Roman"/>
                <w:color w:val="000000"/>
                <w:sz w:val="18"/>
                <w:szCs w:val="18"/>
                <w:lang w:val="sr-Latn-RS" w:eastAsia="sr-Latn-RS"/>
              </w:rPr>
              <w:t xml:space="preserve">     191,54      </w:t>
            </w:r>
          </w:p>
        </w:tc>
      </w:tr>
      <w:tr w:rsidR="002157E8" w:rsidRPr="002157E8" w:rsidTr="002157E8">
        <w:trPr>
          <w:trHeight w:val="207"/>
        </w:trPr>
        <w:tc>
          <w:tcPr>
            <w:tcW w:w="2562" w:type="dxa"/>
            <w:tcBorders>
              <w:top w:val="single" w:sz="8" w:space="0" w:color="629DD1"/>
              <w:left w:val="nil"/>
              <w:bottom w:val="single" w:sz="8" w:space="0" w:color="629DD1"/>
              <w:right w:val="nil"/>
            </w:tcBorders>
            <w:shd w:val="clear" w:color="000000" w:fill="DCE6F1"/>
            <w:noWrap/>
            <w:vAlign w:val="center"/>
            <w:hideMark/>
          </w:tcPr>
          <w:p w:rsidR="002157E8" w:rsidRPr="002157E8" w:rsidRDefault="002157E8" w:rsidP="002157E8">
            <w:pPr>
              <w:spacing w:after="0" w:line="240" w:lineRule="auto"/>
              <w:jc w:val="center"/>
              <w:rPr>
                <w:rFonts w:eastAsia="Times New Roman" w:cs="Times New Roman"/>
                <w:b/>
                <w:bCs/>
                <w:color w:val="242852"/>
                <w:sz w:val="18"/>
                <w:szCs w:val="18"/>
                <w:lang w:val="sr-Latn-RS" w:eastAsia="sr-Latn-RS"/>
              </w:rPr>
            </w:pPr>
            <w:r w:rsidRPr="002157E8">
              <w:rPr>
                <w:rFonts w:eastAsia="Times New Roman" w:cs="Times New Roman"/>
                <w:b/>
                <w:bCs/>
                <w:color w:val="242852"/>
                <w:sz w:val="18"/>
                <w:szCs w:val="18"/>
                <w:lang w:val="sr-Latn-RS" w:eastAsia="sr-Latn-RS"/>
              </w:rPr>
              <w:t>УКУПНО</w:t>
            </w:r>
          </w:p>
        </w:tc>
        <w:tc>
          <w:tcPr>
            <w:tcW w:w="1449" w:type="dxa"/>
            <w:tcBorders>
              <w:top w:val="single" w:sz="8" w:space="0" w:color="629DD1"/>
              <w:left w:val="nil"/>
              <w:bottom w:val="single" w:sz="8" w:space="0" w:color="629DD1"/>
              <w:right w:val="nil"/>
            </w:tcBorders>
            <w:shd w:val="clear" w:color="000000" w:fill="DCE6F1"/>
            <w:noWrap/>
            <w:vAlign w:val="center"/>
            <w:hideMark/>
          </w:tcPr>
          <w:p w:rsidR="002157E8" w:rsidRPr="002157E8" w:rsidRDefault="002157E8" w:rsidP="002157E8">
            <w:pPr>
              <w:spacing w:after="0" w:line="240" w:lineRule="auto"/>
              <w:jc w:val="center"/>
              <w:rPr>
                <w:rFonts w:eastAsia="Times New Roman" w:cs="Times New Roman"/>
                <w:b/>
                <w:bCs/>
                <w:color w:val="242852"/>
                <w:sz w:val="18"/>
                <w:szCs w:val="18"/>
                <w:lang w:val="sr-Latn-RS" w:eastAsia="sr-Latn-RS"/>
              </w:rPr>
            </w:pPr>
            <w:r>
              <w:rPr>
                <w:rFonts w:eastAsia="Times New Roman" w:cs="Times New Roman"/>
                <w:b/>
                <w:bCs/>
                <w:color w:val="242852"/>
                <w:sz w:val="18"/>
                <w:szCs w:val="18"/>
                <w:lang w:val="sr-Latn-RS" w:eastAsia="sr-Latn-RS"/>
              </w:rPr>
              <w:t xml:space="preserve">          </w:t>
            </w:r>
            <w:r w:rsidRPr="002157E8">
              <w:rPr>
                <w:rFonts w:eastAsia="Times New Roman" w:cs="Times New Roman"/>
                <w:b/>
                <w:bCs/>
                <w:color w:val="242852"/>
                <w:sz w:val="18"/>
                <w:szCs w:val="18"/>
                <w:lang w:val="sr-Latn-RS" w:eastAsia="sr-Latn-RS"/>
              </w:rPr>
              <w:t xml:space="preserve">9.260      </w:t>
            </w:r>
          </w:p>
        </w:tc>
        <w:tc>
          <w:tcPr>
            <w:tcW w:w="1292" w:type="dxa"/>
            <w:tcBorders>
              <w:top w:val="single" w:sz="8" w:space="0" w:color="629DD1"/>
              <w:left w:val="nil"/>
              <w:bottom w:val="single" w:sz="8" w:space="0" w:color="629DD1"/>
              <w:right w:val="nil"/>
            </w:tcBorders>
            <w:shd w:val="clear" w:color="000000" w:fill="DCE6F1"/>
            <w:vAlign w:val="center"/>
            <w:hideMark/>
          </w:tcPr>
          <w:p w:rsidR="002157E8" w:rsidRPr="002157E8" w:rsidRDefault="002157E8" w:rsidP="002157E8">
            <w:pPr>
              <w:spacing w:after="0" w:line="240" w:lineRule="auto"/>
              <w:jc w:val="center"/>
              <w:rPr>
                <w:rFonts w:eastAsia="Times New Roman" w:cs="Times New Roman"/>
                <w:b/>
                <w:bCs/>
                <w:color w:val="242852"/>
                <w:sz w:val="18"/>
                <w:szCs w:val="18"/>
                <w:lang w:val="sr-Latn-RS" w:eastAsia="sr-Latn-RS"/>
              </w:rPr>
            </w:pPr>
            <w:r w:rsidRPr="002157E8">
              <w:rPr>
                <w:rFonts w:eastAsia="Times New Roman" w:cs="Times New Roman"/>
                <w:b/>
                <w:bCs/>
                <w:color w:val="242852"/>
                <w:sz w:val="18"/>
                <w:szCs w:val="18"/>
                <w:lang w:val="sr-Latn-RS" w:eastAsia="sr-Latn-RS"/>
              </w:rPr>
              <w:t>100.00%</w:t>
            </w:r>
          </w:p>
        </w:tc>
        <w:tc>
          <w:tcPr>
            <w:tcW w:w="1320" w:type="dxa"/>
            <w:tcBorders>
              <w:top w:val="single" w:sz="8" w:space="0" w:color="629DD1"/>
              <w:left w:val="nil"/>
              <w:bottom w:val="single" w:sz="8" w:space="0" w:color="629DD1"/>
              <w:right w:val="nil"/>
            </w:tcBorders>
            <w:shd w:val="clear" w:color="000000" w:fill="DCE6F1"/>
            <w:noWrap/>
            <w:vAlign w:val="center"/>
            <w:hideMark/>
          </w:tcPr>
          <w:p w:rsidR="002157E8" w:rsidRPr="002157E8" w:rsidRDefault="002157E8" w:rsidP="002157E8">
            <w:pPr>
              <w:spacing w:after="0" w:line="240" w:lineRule="auto"/>
              <w:jc w:val="center"/>
              <w:rPr>
                <w:rFonts w:eastAsia="Times New Roman" w:cs="Times New Roman"/>
                <w:b/>
                <w:bCs/>
                <w:color w:val="242852"/>
                <w:sz w:val="18"/>
                <w:szCs w:val="18"/>
                <w:lang w:val="sr-Latn-RS" w:eastAsia="sr-Latn-RS"/>
              </w:rPr>
            </w:pPr>
            <w:r w:rsidRPr="002157E8">
              <w:rPr>
                <w:rFonts w:eastAsia="Times New Roman" w:cs="Times New Roman"/>
                <w:b/>
                <w:bCs/>
                <w:color w:val="242852"/>
                <w:sz w:val="18"/>
                <w:szCs w:val="18"/>
                <w:lang w:val="sr-Latn-RS" w:eastAsia="sr-Latn-RS"/>
              </w:rPr>
              <w:t xml:space="preserve">      17.716      </w:t>
            </w:r>
          </w:p>
        </w:tc>
        <w:tc>
          <w:tcPr>
            <w:tcW w:w="1292" w:type="dxa"/>
            <w:tcBorders>
              <w:top w:val="single" w:sz="8" w:space="0" w:color="629DD1"/>
              <w:left w:val="nil"/>
              <w:bottom w:val="single" w:sz="8" w:space="0" w:color="629DD1"/>
              <w:right w:val="nil"/>
            </w:tcBorders>
            <w:shd w:val="clear" w:color="000000" w:fill="DCE6F1"/>
            <w:vAlign w:val="center"/>
            <w:hideMark/>
          </w:tcPr>
          <w:p w:rsidR="002157E8" w:rsidRPr="002157E8" w:rsidRDefault="002157E8" w:rsidP="002157E8">
            <w:pPr>
              <w:spacing w:after="0" w:line="240" w:lineRule="auto"/>
              <w:jc w:val="center"/>
              <w:rPr>
                <w:rFonts w:eastAsia="Times New Roman" w:cs="Times New Roman"/>
                <w:b/>
                <w:bCs/>
                <w:color w:val="242852"/>
                <w:sz w:val="18"/>
                <w:szCs w:val="18"/>
                <w:lang w:val="sr-Latn-RS" w:eastAsia="sr-Latn-RS"/>
              </w:rPr>
            </w:pPr>
            <w:r w:rsidRPr="002157E8">
              <w:rPr>
                <w:rFonts w:eastAsia="Times New Roman" w:cs="Times New Roman"/>
                <w:b/>
                <w:bCs/>
                <w:color w:val="242852"/>
                <w:sz w:val="18"/>
                <w:szCs w:val="18"/>
                <w:lang w:val="sr-Latn-RS" w:eastAsia="sr-Latn-RS"/>
              </w:rPr>
              <w:t>100.00%</w:t>
            </w:r>
          </w:p>
        </w:tc>
        <w:tc>
          <w:tcPr>
            <w:tcW w:w="1298" w:type="dxa"/>
            <w:tcBorders>
              <w:top w:val="single" w:sz="8" w:space="0" w:color="629DD1"/>
              <w:left w:val="nil"/>
              <w:bottom w:val="single" w:sz="8" w:space="0" w:color="629DD1"/>
              <w:right w:val="nil"/>
            </w:tcBorders>
            <w:shd w:val="clear" w:color="000000" w:fill="DCE6F1"/>
            <w:noWrap/>
            <w:vAlign w:val="center"/>
            <w:hideMark/>
          </w:tcPr>
          <w:p w:rsidR="002157E8" w:rsidRPr="002157E8" w:rsidRDefault="002157E8" w:rsidP="002157E8">
            <w:pPr>
              <w:spacing w:after="0" w:line="240" w:lineRule="auto"/>
              <w:jc w:val="center"/>
              <w:rPr>
                <w:rFonts w:eastAsia="Times New Roman" w:cs="Times New Roman"/>
                <w:b/>
                <w:bCs/>
                <w:color w:val="000000"/>
                <w:sz w:val="18"/>
                <w:szCs w:val="18"/>
                <w:lang w:val="sr-Latn-RS" w:eastAsia="sr-Latn-RS"/>
              </w:rPr>
            </w:pPr>
            <w:r w:rsidRPr="002157E8">
              <w:rPr>
                <w:rFonts w:eastAsia="Times New Roman" w:cs="Times New Roman"/>
                <w:b/>
                <w:bCs/>
                <w:color w:val="000000"/>
                <w:sz w:val="18"/>
                <w:szCs w:val="18"/>
                <w:lang w:val="sr-Latn-RS" w:eastAsia="sr-Latn-RS"/>
              </w:rPr>
              <w:t xml:space="preserve">      191,32      </w:t>
            </w:r>
          </w:p>
        </w:tc>
      </w:tr>
    </w:tbl>
    <w:p w:rsidR="002157E8" w:rsidRDefault="002157E8" w:rsidP="00DE138A">
      <w:pPr>
        <w:spacing w:after="0"/>
        <w:ind w:firstLine="567"/>
        <w:jc w:val="both"/>
        <w:rPr>
          <w:noProof/>
          <w:sz w:val="20"/>
          <w:szCs w:val="20"/>
          <w:lang w:val="sr-Latn-RS"/>
        </w:rPr>
      </w:pPr>
    </w:p>
    <w:p w:rsidR="002157E8" w:rsidRDefault="002157E8" w:rsidP="00DE138A">
      <w:pPr>
        <w:spacing w:after="0"/>
        <w:ind w:firstLine="567"/>
        <w:jc w:val="both"/>
        <w:rPr>
          <w:noProof/>
          <w:sz w:val="20"/>
          <w:szCs w:val="20"/>
          <w:lang w:val="sr-Latn-RS"/>
        </w:rPr>
      </w:pPr>
    </w:p>
    <w:p w:rsidR="002157E8" w:rsidRPr="002157E8" w:rsidRDefault="002157E8" w:rsidP="00DE138A">
      <w:pPr>
        <w:spacing w:after="0"/>
        <w:ind w:firstLine="567"/>
        <w:jc w:val="both"/>
        <w:rPr>
          <w:noProof/>
          <w:color w:val="FF0000"/>
          <w:sz w:val="20"/>
          <w:szCs w:val="20"/>
          <w:lang w:val="sr-Latn-RS"/>
        </w:rPr>
      </w:pPr>
    </w:p>
    <w:p w:rsidR="003157EE" w:rsidRPr="003157EE" w:rsidRDefault="003157EE" w:rsidP="003157EE">
      <w:pPr>
        <w:pStyle w:val="ListParagraph"/>
        <w:keepNext/>
        <w:numPr>
          <w:ilvl w:val="0"/>
          <w:numId w:val="6"/>
        </w:numPr>
        <w:suppressAutoHyphens/>
        <w:spacing w:after="0" w:line="240" w:lineRule="auto"/>
        <w:contextualSpacing w:val="0"/>
        <w:outlineLvl w:val="0"/>
        <w:rPr>
          <w:rFonts w:asciiTheme="majorHAnsi" w:eastAsia="Times New Roman" w:hAnsiTheme="majorHAnsi" w:cs="Tahoma"/>
          <w:b/>
          <w:bCs/>
          <w:i/>
          <w:noProof/>
          <w:vanish/>
          <w:color w:val="4F81BD"/>
          <w:szCs w:val="18"/>
          <w:lang w:val="sr-Cyrl-CS" w:eastAsia="ar-SA"/>
        </w:rPr>
      </w:pPr>
      <w:bookmarkStart w:id="21" w:name="_Toc445554683"/>
      <w:bookmarkStart w:id="22" w:name="_Toc445879730"/>
      <w:bookmarkStart w:id="23" w:name="_Toc445975026"/>
      <w:bookmarkEnd w:id="21"/>
      <w:bookmarkEnd w:id="22"/>
      <w:bookmarkEnd w:id="23"/>
    </w:p>
    <w:p w:rsidR="003157EE" w:rsidRPr="003157EE" w:rsidRDefault="003157EE" w:rsidP="003157EE">
      <w:pPr>
        <w:pStyle w:val="ListParagraph"/>
        <w:keepNext/>
        <w:numPr>
          <w:ilvl w:val="0"/>
          <w:numId w:val="6"/>
        </w:numPr>
        <w:suppressAutoHyphens/>
        <w:spacing w:after="0" w:line="240" w:lineRule="auto"/>
        <w:contextualSpacing w:val="0"/>
        <w:outlineLvl w:val="0"/>
        <w:rPr>
          <w:rFonts w:asciiTheme="majorHAnsi" w:eastAsia="Times New Roman" w:hAnsiTheme="majorHAnsi" w:cs="Tahoma"/>
          <w:b/>
          <w:bCs/>
          <w:i/>
          <w:noProof/>
          <w:vanish/>
          <w:color w:val="4F81BD"/>
          <w:szCs w:val="18"/>
          <w:lang w:val="sr-Cyrl-CS" w:eastAsia="ar-SA"/>
        </w:rPr>
      </w:pPr>
      <w:bookmarkStart w:id="24" w:name="_Toc445554684"/>
      <w:bookmarkStart w:id="25" w:name="_Toc445879731"/>
      <w:bookmarkStart w:id="26" w:name="_Toc445975027"/>
      <w:bookmarkEnd w:id="24"/>
      <w:bookmarkEnd w:id="25"/>
      <w:bookmarkEnd w:id="26"/>
    </w:p>
    <w:p w:rsidR="003157EE" w:rsidRPr="003157EE" w:rsidRDefault="003157EE" w:rsidP="003157EE">
      <w:pPr>
        <w:pStyle w:val="ListParagraph"/>
        <w:keepNext/>
        <w:numPr>
          <w:ilvl w:val="1"/>
          <w:numId w:val="6"/>
        </w:numPr>
        <w:suppressAutoHyphens/>
        <w:spacing w:after="0" w:line="240" w:lineRule="auto"/>
        <w:contextualSpacing w:val="0"/>
        <w:outlineLvl w:val="0"/>
        <w:rPr>
          <w:rFonts w:asciiTheme="majorHAnsi" w:eastAsia="Times New Roman" w:hAnsiTheme="majorHAnsi" w:cs="Tahoma"/>
          <w:b/>
          <w:bCs/>
          <w:i/>
          <w:noProof/>
          <w:vanish/>
          <w:color w:val="4F81BD"/>
          <w:szCs w:val="18"/>
          <w:lang w:val="sr-Cyrl-CS" w:eastAsia="ar-SA"/>
        </w:rPr>
      </w:pPr>
      <w:bookmarkStart w:id="27" w:name="_Toc445554685"/>
      <w:bookmarkStart w:id="28" w:name="_Toc445879732"/>
      <w:bookmarkStart w:id="29" w:name="_Toc445975028"/>
      <w:bookmarkEnd w:id="27"/>
      <w:bookmarkEnd w:id="28"/>
      <w:bookmarkEnd w:id="29"/>
    </w:p>
    <w:p w:rsidR="00DC51FA" w:rsidRPr="00BF3CDE" w:rsidRDefault="00DC51FA" w:rsidP="00860C32">
      <w:pPr>
        <w:pStyle w:val="Heading1"/>
        <w:numPr>
          <w:ilvl w:val="2"/>
          <w:numId w:val="6"/>
        </w:numPr>
      </w:pPr>
      <w:bookmarkStart w:id="30" w:name="_Toc445975029"/>
      <w:r w:rsidRPr="00BF3CDE">
        <w:t>Потраживања и исправка</w:t>
      </w:r>
      <w:r w:rsidR="00823927" w:rsidRPr="00BF3CDE">
        <w:t xml:space="preserve"> вредности</w:t>
      </w:r>
      <w:r w:rsidRPr="00BF3CDE">
        <w:t xml:space="preserve"> потраживања</w:t>
      </w:r>
      <w:bookmarkEnd w:id="30"/>
    </w:p>
    <w:p w:rsidR="00F4582D" w:rsidRPr="00BF3CDE" w:rsidRDefault="00F4582D" w:rsidP="00F4582D">
      <w:pPr>
        <w:ind w:firstLine="567"/>
        <w:jc w:val="both"/>
        <w:rPr>
          <w:noProof/>
          <w:sz w:val="2"/>
          <w:szCs w:val="2"/>
          <w:highlight w:val="yellow"/>
          <w:lang w:val="sr-Cyrl-CS"/>
        </w:rPr>
      </w:pPr>
    </w:p>
    <w:p w:rsidR="007066DD" w:rsidRDefault="007066DD" w:rsidP="00054041">
      <w:pPr>
        <w:spacing w:before="120" w:after="60"/>
        <w:ind w:firstLine="284"/>
        <w:jc w:val="both"/>
        <w:rPr>
          <w:rStyle w:val="Hyperlink"/>
          <w:noProof/>
          <w:color w:val="auto"/>
          <w:sz w:val="20"/>
          <w:lang w:val="sr-Cyrl-CS"/>
        </w:rPr>
      </w:pPr>
    </w:p>
    <w:p w:rsidR="00054041" w:rsidRDefault="008E4D7D" w:rsidP="00054041">
      <w:pPr>
        <w:spacing w:before="120" w:after="60"/>
        <w:ind w:firstLine="284"/>
        <w:jc w:val="both"/>
        <w:rPr>
          <w:rStyle w:val="Hyperlink"/>
          <w:noProof/>
          <w:color w:val="auto"/>
          <w:sz w:val="20"/>
          <w:lang w:val="sr-Cyrl-CS"/>
        </w:rPr>
      </w:pPr>
      <w:r w:rsidRPr="00BF3CDE">
        <w:rPr>
          <w:rStyle w:val="Hyperlink"/>
          <w:noProof/>
          <w:color w:val="auto"/>
          <w:sz w:val="20"/>
          <w:lang w:val="sr-Cyrl-CS"/>
        </w:rPr>
        <w:t>Потраживања на дан 31.12.201</w:t>
      </w:r>
      <w:r w:rsidR="00054041">
        <w:rPr>
          <w:rStyle w:val="Hyperlink"/>
          <w:noProof/>
          <w:color w:val="auto"/>
          <w:sz w:val="20"/>
          <w:lang w:val="sr-Latn-RS"/>
        </w:rPr>
        <w:t>5</w:t>
      </w:r>
      <w:r w:rsidRPr="00BF3CDE">
        <w:rPr>
          <w:rStyle w:val="Hyperlink"/>
          <w:noProof/>
          <w:color w:val="auto"/>
          <w:sz w:val="20"/>
          <w:lang w:val="sr-Cyrl-CS"/>
        </w:rPr>
        <w:t xml:space="preserve">. године у билансу стања исказана су у  нето износу од </w:t>
      </w:r>
      <w:r w:rsidR="00054041">
        <w:rPr>
          <w:rStyle w:val="Hyperlink"/>
          <w:noProof/>
          <w:color w:val="auto"/>
          <w:sz w:val="20"/>
          <w:lang w:val="sr-Latn-RS"/>
        </w:rPr>
        <w:t>858.827</w:t>
      </w:r>
      <w:r w:rsidR="00054041">
        <w:rPr>
          <w:rStyle w:val="Hyperlink"/>
          <w:noProof/>
          <w:color w:val="auto"/>
          <w:sz w:val="20"/>
          <w:lang w:val="sr-Cyrl-CS"/>
        </w:rPr>
        <w:t xml:space="preserve"> хиљада динара</w:t>
      </w:r>
      <w:r w:rsidR="00054041">
        <w:rPr>
          <w:rStyle w:val="Hyperlink"/>
          <w:noProof/>
          <w:color w:val="auto"/>
          <w:sz w:val="20"/>
          <w:lang w:val="sr-Latn-RS"/>
        </w:rPr>
        <w:t xml:space="preserve">, </w:t>
      </w:r>
      <w:r w:rsidRPr="00BF3CDE">
        <w:rPr>
          <w:rStyle w:val="Hyperlink"/>
          <w:noProof/>
          <w:color w:val="auto"/>
          <w:sz w:val="20"/>
          <w:lang w:val="sr-Cyrl-CS"/>
        </w:rPr>
        <w:t xml:space="preserve">бруто вредност потраживања износи </w:t>
      </w:r>
      <w:r w:rsidR="00054041">
        <w:rPr>
          <w:rStyle w:val="Hyperlink"/>
          <w:noProof/>
          <w:color w:val="auto"/>
          <w:sz w:val="20"/>
          <w:lang w:val="sr-Latn-RS"/>
        </w:rPr>
        <w:t xml:space="preserve">1.033.442 </w:t>
      </w:r>
      <w:r w:rsidRPr="00BF3CDE">
        <w:rPr>
          <w:rStyle w:val="Hyperlink"/>
          <w:noProof/>
          <w:color w:val="auto"/>
          <w:sz w:val="20"/>
          <w:lang w:val="sr-Cyrl-CS"/>
        </w:rPr>
        <w:t xml:space="preserve">хиљаду динара, а исправка вредности потраживања </w:t>
      </w:r>
      <w:r w:rsidR="00054041">
        <w:rPr>
          <w:rStyle w:val="Hyperlink"/>
          <w:noProof/>
          <w:color w:val="auto"/>
          <w:sz w:val="20"/>
          <w:lang w:val="sr-Latn-RS"/>
        </w:rPr>
        <w:t>174.615</w:t>
      </w:r>
      <w:r w:rsidRPr="00BF3CDE">
        <w:rPr>
          <w:rStyle w:val="Hyperlink"/>
          <w:noProof/>
          <w:color w:val="auto"/>
          <w:sz w:val="20"/>
          <w:lang w:val="sr-Cyrl-CS"/>
        </w:rPr>
        <w:t xml:space="preserve"> хиљада динара.</w:t>
      </w:r>
    </w:p>
    <w:p w:rsidR="007066DD" w:rsidRDefault="007066DD" w:rsidP="00054041">
      <w:pPr>
        <w:spacing w:before="120" w:after="60"/>
        <w:ind w:firstLine="284"/>
        <w:jc w:val="both"/>
        <w:rPr>
          <w:rStyle w:val="Hyperlink"/>
          <w:noProof/>
          <w:color w:val="auto"/>
          <w:sz w:val="20"/>
          <w:lang w:val="sr-Cyrl-CS"/>
        </w:rPr>
      </w:pPr>
    </w:p>
    <w:p w:rsidR="007066DD" w:rsidRDefault="007066DD" w:rsidP="00054041">
      <w:pPr>
        <w:spacing w:before="120" w:after="60"/>
        <w:ind w:firstLine="284"/>
        <w:jc w:val="both"/>
        <w:rPr>
          <w:rStyle w:val="Hyperlink"/>
          <w:noProof/>
          <w:color w:val="auto"/>
          <w:sz w:val="20"/>
          <w:lang w:val="sr-Cyrl-CS"/>
        </w:rPr>
      </w:pPr>
    </w:p>
    <w:p w:rsidR="007066DD" w:rsidRPr="00054041" w:rsidRDefault="007066DD" w:rsidP="00054041">
      <w:pPr>
        <w:spacing w:before="120" w:after="60"/>
        <w:ind w:firstLine="284"/>
        <w:jc w:val="both"/>
        <w:rPr>
          <w:rStyle w:val="Hyperlink"/>
          <w:noProof/>
          <w:color w:val="auto"/>
          <w:sz w:val="20"/>
          <w:lang w:val="sr-Latn-RS"/>
        </w:rPr>
      </w:pPr>
    </w:p>
    <w:tbl>
      <w:tblPr>
        <w:tblW w:w="9182" w:type="dxa"/>
        <w:tblInd w:w="93" w:type="dxa"/>
        <w:tblLook w:val="04A0" w:firstRow="1" w:lastRow="0" w:firstColumn="1" w:lastColumn="0" w:noHBand="0" w:noVBand="1"/>
      </w:tblPr>
      <w:tblGrid>
        <w:gridCol w:w="4465"/>
        <w:gridCol w:w="1579"/>
        <w:gridCol w:w="1506"/>
        <w:gridCol w:w="1632"/>
      </w:tblGrid>
      <w:tr w:rsidR="00054041" w:rsidRPr="00054041" w:rsidTr="00054041">
        <w:trPr>
          <w:trHeight w:val="288"/>
        </w:trPr>
        <w:tc>
          <w:tcPr>
            <w:tcW w:w="4465" w:type="dxa"/>
            <w:vMerge w:val="restart"/>
            <w:tcBorders>
              <w:top w:val="nil"/>
              <w:left w:val="nil"/>
              <w:bottom w:val="single" w:sz="8" w:space="0" w:color="000000"/>
              <w:right w:val="nil"/>
            </w:tcBorders>
            <w:shd w:val="clear" w:color="auto" w:fill="auto"/>
            <w:noWrap/>
            <w:vAlign w:val="center"/>
            <w:hideMark/>
          </w:tcPr>
          <w:p w:rsidR="00054041" w:rsidRPr="00054041" w:rsidRDefault="00054041" w:rsidP="00054041">
            <w:pPr>
              <w:spacing w:after="0" w:line="240" w:lineRule="auto"/>
              <w:jc w:val="center"/>
              <w:rPr>
                <w:rFonts w:ascii="Calibri" w:eastAsia="Times New Roman" w:hAnsi="Calibri" w:cs="Times New Roman"/>
                <w:color w:val="000000"/>
                <w:sz w:val="18"/>
                <w:szCs w:val="18"/>
                <w:lang w:val="sr-Latn-RS" w:eastAsia="sr-Latn-RS"/>
              </w:rPr>
            </w:pPr>
            <w:r w:rsidRPr="00054041">
              <w:rPr>
                <w:rFonts w:ascii="Calibri" w:eastAsia="Times New Roman" w:hAnsi="Calibri" w:cs="Times New Roman"/>
                <w:color w:val="000000"/>
                <w:sz w:val="18"/>
                <w:szCs w:val="18"/>
                <w:lang w:val="sr-Latn-RS" w:eastAsia="sr-Latn-RS"/>
              </w:rPr>
              <w:t>Потраживања</w:t>
            </w:r>
          </w:p>
        </w:tc>
        <w:tc>
          <w:tcPr>
            <w:tcW w:w="1579" w:type="dxa"/>
            <w:vMerge w:val="restart"/>
            <w:tcBorders>
              <w:top w:val="nil"/>
              <w:left w:val="nil"/>
              <w:bottom w:val="single" w:sz="8" w:space="0" w:color="000000"/>
              <w:right w:val="nil"/>
            </w:tcBorders>
            <w:shd w:val="clear" w:color="auto" w:fill="auto"/>
            <w:noWrap/>
            <w:vAlign w:val="center"/>
            <w:hideMark/>
          </w:tcPr>
          <w:p w:rsidR="00054041" w:rsidRPr="00054041" w:rsidRDefault="00054041" w:rsidP="00054041">
            <w:pPr>
              <w:spacing w:after="0" w:line="240" w:lineRule="auto"/>
              <w:jc w:val="center"/>
              <w:rPr>
                <w:rFonts w:ascii="Calibri" w:eastAsia="Times New Roman" w:hAnsi="Calibri" w:cs="Times New Roman"/>
                <w:color w:val="000000"/>
                <w:sz w:val="18"/>
                <w:szCs w:val="18"/>
                <w:lang w:val="sr-Latn-RS" w:eastAsia="sr-Latn-RS"/>
              </w:rPr>
            </w:pPr>
            <w:r w:rsidRPr="00054041">
              <w:rPr>
                <w:rFonts w:ascii="Calibri" w:eastAsia="Times New Roman" w:hAnsi="Calibri" w:cs="Times New Roman"/>
                <w:color w:val="000000"/>
                <w:sz w:val="18"/>
                <w:szCs w:val="18"/>
                <w:lang w:val="sr-Latn-RS" w:eastAsia="sr-Latn-RS"/>
              </w:rPr>
              <w:t>Текућа година</w:t>
            </w:r>
          </w:p>
        </w:tc>
        <w:tc>
          <w:tcPr>
            <w:tcW w:w="3138" w:type="dxa"/>
            <w:gridSpan w:val="2"/>
            <w:tcBorders>
              <w:top w:val="single" w:sz="8" w:space="0" w:color="auto"/>
              <w:left w:val="nil"/>
              <w:bottom w:val="single" w:sz="4" w:space="0" w:color="auto"/>
              <w:right w:val="nil"/>
            </w:tcBorders>
            <w:shd w:val="clear" w:color="auto" w:fill="auto"/>
            <w:noWrap/>
            <w:vAlign w:val="center"/>
            <w:hideMark/>
          </w:tcPr>
          <w:p w:rsidR="00054041" w:rsidRPr="00054041" w:rsidRDefault="00054041" w:rsidP="00054041">
            <w:pPr>
              <w:spacing w:after="0" w:line="240" w:lineRule="auto"/>
              <w:jc w:val="center"/>
              <w:rPr>
                <w:rFonts w:ascii="Calibri" w:eastAsia="Times New Roman" w:hAnsi="Calibri" w:cs="Times New Roman"/>
                <w:color w:val="000000"/>
                <w:sz w:val="18"/>
                <w:szCs w:val="18"/>
                <w:lang w:val="sr-Latn-RS" w:eastAsia="sr-Latn-RS"/>
              </w:rPr>
            </w:pPr>
            <w:r w:rsidRPr="00054041">
              <w:rPr>
                <w:rFonts w:ascii="Calibri" w:eastAsia="Times New Roman" w:hAnsi="Calibri" w:cs="Times New Roman"/>
                <w:color w:val="000000"/>
                <w:sz w:val="18"/>
                <w:szCs w:val="18"/>
                <w:lang w:val="sr-Latn-RS" w:eastAsia="sr-Latn-RS"/>
              </w:rPr>
              <w:t>претходна година</w:t>
            </w:r>
          </w:p>
        </w:tc>
      </w:tr>
      <w:tr w:rsidR="00054041" w:rsidRPr="00054041" w:rsidTr="00054041">
        <w:trPr>
          <w:trHeight w:val="302"/>
        </w:trPr>
        <w:tc>
          <w:tcPr>
            <w:tcW w:w="4465" w:type="dxa"/>
            <w:vMerge/>
            <w:tcBorders>
              <w:top w:val="nil"/>
              <w:left w:val="nil"/>
              <w:bottom w:val="single" w:sz="8" w:space="0" w:color="000000"/>
              <w:right w:val="nil"/>
            </w:tcBorders>
            <w:vAlign w:val="center"/>
            <w:hideMark/>
          </w:tcPr>
          <w:p w:rsidR="00054041" w:rsidRPr="00054041" w:rsidRDefault="00054041" w:rsidP="00054041">
            <w:pPr>
              <w:spacing w:after="0" w:line="240" w:lineRule="auto"/>
              <w:rPr>
                <w:rFonts w:ascii="Calibri" w:eastAsia="Times New Roman" w:hAnsi="Calibri" w:cs="Times New Roman"/>
                <w:color w:val="000000"/>
                <w:sz w:val="18"/>
                <w:szCs w:val="18"/>
                <w:lang w:val="sr-Latn-RS" w:eastAsia="sr-Latn-RS"/>
              </w:rPr>
            </w:pPr>
          </w:p>
        </w:tc>
        <w:tc>
          <w:tcPr>
            <w:tcW w:w="1579" w:type="dxa"/>
            <w:vMerge/>
            <w:tcBorders>
              <w:top w:val="nil"/>
              <w:left w:val="nil"/>
              <w:bottom w:val="single" w:sz="8" w:space="0" w:color="000000"/>
              <w:right w:val="nil"/>
            </w:tcBorders>
            <w:vAlign w:val="center"/>
            <w:hideMark/>
          </w:tcPr>
          <w:p w:rsidR="00054041" w:rsidRPr="00054041" w:rsidRDefault="00054041" w:rsidP="00054041">
            <w:pPr>
              <w:spacing w:after="0" w:line="240" w:lineRule="auto"/>
              <w:rPr>
                <w:rFonts w:ascii="Calibri" w:eastAsia="Times New Roman" w:hAnsi="Calibri" w:cs="Times New Roman"/>
                <w:color w:val="000000"/>
                <w:sz w:val="18"/>
                <w:szCs w:val="18"/>
                <w:lang w:val="sr-Latn-RS" w:eastAsia="sr-Latn-RS"/>
              </w:rPr>
            </w:pPr>
          </w:p>
        </w:tc>
        <w:tc>
          <w:tcPr>
            <w:tcW w:w="1506" w:type="dxa"/>
            <w:tcBorders>
              <w:top w:val="nil"/>
              <w:left w:val="nil"/>
              <w:bottom w:val="single" w:sz="8" w:space="0" w:color="auto"/>
              <w:right w:val="nil"/>
            </w:tcBorders>
            <w:shd w:val="clear" w:color="auto" w:fill="auto"/>
            <w:noWrap/>
            <w:vAlign w:val="center"/>
            <w:hideMark/>
          </w:tcPr>
          <w:p w:rsidR="00054041" w:rsidRPr="00054041" w:rsidRDefault="00054041" w:rsidP="00054041">
            <w:pPr>
              <w:spacing w:after="0" w:line="240" w:lineRule="auto"/>
              <w:jc w:val="center"/>
              <w:rPr>
                <w:rFonts w:ascii="Calibri" w:eastAsia="Times New Roman" w:hAnsi="Calibri" w:cs="Times New Roman"/>
                <w:color w:val="000000"/>
                <w:sz w:val="18"/>
                <w:szCs w:val="18"/>
                <w:lang w:val="sr-Latn-RS" w:eastAsia="sr-Latn-RS"/>
              </w:rPr>
            </w:pPr>
            <w:r w:rsidRPr="00054041">
              <w:rPr>
                <w:rFonts w:ascii="Calibri" w:eastAsia="Times New Roman" w:hAnsi="Calibri" w:cs="Times New Roman"/>
                <w:color w:val="000000"/>
                <w:sz w:val="18"/>
                <w:szCs w:val="18"/>
                <w:lang w:val="sr-Latn-RS" w:eastAsia="sr-Latn-RS"/>
              </w:rPr>
              <w:t>крајње стање</w:t>
            </w:r>
          </w:p>
        </w:tc>
        <w:tc>
          <w:tcPr>
            <w:tcW w:w="1632" w:type="dxa"/>
            <w:tcBorders>
              <w:top w:val="nil"/>
              <w:left w:val="nil"/>
              <w:bottom w:val="single" w:sz="8" w:space="0" w:color="auto"/>
              <w:right w:val="nil"/>
            </w:tcBorders>
            <w:shd w:val="clear" w:color="auto" w:fill="auto"/>
            <w:noWrap/>
            <w:vAlign w:val="center"/>
            <w:hideMark/>
          </w:tcPr>
          <w:p w:rsidR="00054041" w:rsidRPr="00054041" w:rsidRDefault="00054041" w:rsidP="00054041">
            <w:pPr>
              <w:spacing w:after="0" w:line="240" w:lineRule="auto"/>
              <w:jc w:val="center"/>
              <w:rPr>
                <w:rFonts w:ascii="Calibri" w:eastAsia="Times New Roman" w:hAnsi="Calibri" w:cs="Times New Roman"/>
                <w:color w:val="000000"/>
                <w:sz w:val="18"/>
                <w:szCs w:val="18"/>
                <w:lang w:val="sr-Latn-RS" w:eastAsia="sr-Latn-RS"/>
              </w:rPr>
            </w:pPr>
            <w:r w:rsidRPr="00054041">
              <w:rPr>
                <w:rFonts w:ascii="Calibri" w:eastAsia="Times New Roman" w:hAnsi="Calibri" w:cs="Times New Roman"/>
                <w:color w:val="000000"/>
                <w:sz w:val="18"/>
                <w:szCs w:val="18"/>
                <w:lang w:val="sr-Latn-RS" w:eastAsia="sr-Latn-RS"/>
              </w:rPr>
              <w:t>почетно стање</w:t>
            </w:r>
          </w:p>
        </w:tc>
      </w:tr>
      <w:tr w:rsidR="00054041" w:rsidRPr="00054041" w:rsidTr="00054041">
        <w:trPr>
          <w:trHeight w:val="288"/>
        </w:trPr>
        <w:tc>
          <w:tcPr>
            <w:tcW w:w="4465"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Pr>
                <w:rFonts w:ascii="Calibri" w:eastAsia="Times New Roman" w:hAnsi="Calibri" w:cs="Times New Roman"/>
                <w:b/>
                <w:bCs/>
                <w:color w:val="000000"/>
                <w:sz w:val="20"/>
                <w:szCs w:val="20"/>
                <w:lang w:val="sr-Cyrl-RS" w:eastAsia="sr-Latn-RS"/>
              </w:rPr>
              <w:t>Б</w:t>
            </w:r>
            <w:r w:rsidRPr="00054041">
              <w:rPr>
                <w:rFonts w:ascii="Calibri" w:eastAsia="Times New Roman" w:hAnsi="Calibri" w:cs="Times New Roman"/>
                <w:b/>
                <w:bCs/>
                <w:color w:val="000000"/>
                <w:sz w:val="20"/>
                <w:szCs w:val="20"/>
                <w:lang w:val="sr-Latn-RS" w:eastAsia="sr-Latn-RS"/>
              </w:rPr>
              <w:t>руто вредност потраживања</w:t>
            </w:r>
          </w:p>
        </w:tc>
        <w:tc>
          <w:tcPr>
            <w:tcW w:w="1579"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jc w:val="center"/>
              <w:rPr>
                <w:rFonts w:ascii="Calibri" w:eastAsia="Times New Roman" w:hAnsi="Calibri" w:cs="Times New Roman"/>
                <w:b/>
                <w:bCs/>
                <w:color w:val="000000"/>
                <w:lang w:val="sr-Latn-RS" w:eastAsia="sr-Latn-RS"/>
              </w:rPr>
            </w:pP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jc w:val="center"/>
              <w:rPr>
                <w:rFonts w:ascii="Calibri" w:eastAsia="Times New Roman" w:hAnsi="Calibri" w:cs="Times New Roman"/>
                <w:b/>
                <w:bCs/>
                <w:color w:val="000000"/>
                <w:lang w:val="sr-Latn-RS" w:eastAsia="sr-Latn-RS"/>
              </w:rPr>
            </w:pP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jc w:val="center"/>
              <w:rPr>
                <w:rFonts w:ascii="Calibri" w:eastAsia="Times New Roman" w:hAnsi="Calibri" w:cs="Times New Roman"/>
                <w:b/>
                <w:bCs/>
                <w:color w:val="000000"/>
                <w:lang w:val="sr-Latn-RS" w:eastAsia="sr-Latn-RS"/>
              </w:rPr>
            </w:pP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За премију реосигурања</w:t>
            </w:r>
          </w:p>
        </w:tc>
        <w:tc>
          <w:tcPr>
            <w:tcW w:w="1579" w:type="dxa"/>
            <w:tcBorders>
              <w:top w:val="nil"/>
              <w:left w:val="nil"/>
              <w:bottom w:val="nil"/>
              <w:right w:val="nil"/>
            </w:tcBorders>
            <w:shd w:val="clear" w:color="auto" w:fill="auto"/>
            <w:noWrap/>
            <w:vAlign w:val="bottom"/>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719.410      </w:t>
            </w: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517.798      </w:t>
            </w: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908.107      </w:t>
            </w: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Од реосигуравача и ретроцесионара</w:t>
            </w:r>
          </w:p>
        </w:tc>
        <w:tc>
          <w:tcPr>
            <w:tcW w:w="1579" w:type="dxa"/>
            <w:tcBorders>
              <w:top w:val="nil"/>
              <w:left w:val="nil"/>
              <w:bottom w:val="nil"/>
              <w:right w:val="nil"/>
            </w:tcBorders>
            <w:shd w:val="clear" w:color="auto" w:fill="auto"/>
            <w:noWrap/>
            <w:vAlign w:val="bottom"/>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274.247      </w:t>
            </w: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275.448      </w:t>
            </w: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181.204      </w:t>
            </w: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За регресе</w:t>
            </w:r>
          </w:p>
        </w:tc>
        <w:tc>
          <w:tcPr>
            <w:tcW w:w="1579" w:type="dxa"/>
            <w:tcBorders>
              <w:top w:val="nil"/>
              <w:left w:val="nil"/>
              <w:bottom w:val="nil"/>
              <w:right w:val="nil"/>
            </w:tcBorders>
            <w:shd w:val="clear" w:color="auto" w:fill="auto"/>
            <w:noWrap/>
            <w:vAlign w:val="bottom"/>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2.037      </w:t>
            </w: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802      </w:t>
            </w: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4.756      </w:t>
            </w: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Остала потраживања</w:t>
            </w:r>
          </w:p>
        </w:tc>
        <w:tc>
          <w:tcPr>
            <w:tcW w:w="1579" w:type="dxa"/>
            <w:tcBorders>
              <w:top w:val="nil"/>
              <w:left w:val="nil"/>
              <w:bottom w:val="nil"/>
              <w:right w:val="nil"/>
            </w:tcBorders>
            <w:shd w:val="clear" w:color="auto" w:fill="auto"/>
            <w:noWrap/>
            <w:vAlign w:val="bottom"/>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37.748      </w:t>
            </w: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14.625      </w:t>
            </w: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25.123      </w:t>
            </w:r>
          </w:p>
        </w:tc>
      </w:tr>
      <w:tr w:rsidR="00054041" w:rsidRPr="00054041" w:rsidTr="00054041">
        <w:trPr>
          <w:trHeight w:val="288"/>
        </w:trPr>
        <w:tc>
          <w:tcPr>
            <w:tcW w:w="4465" w:type="dxa"/>
            <w:tcBorders>
              <w:top w:val="nil"/>
              <w:left w:val="nil"/>
              <w:bottom w:val="single" w:sz="4" w:space="0" w:color="auto"/>
              <w:right w:val="nil"/>
            </w:tcBorders>
            <w:shd w:val="clear" w:color="000000" w:fill="B8CCE4"/>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I) Свега бруто вредност потраживања</w:t>
            </w:r>
          </w:p>
        </w:tc>
        <w:tc>
          <w:tcPr>
            <w:tcW w:w="1579" w:type="dxa"/>
            <w:tcBorders>
              <w:top w:val="nil"/>
              <w:left w:val="nil"/>
              <w:bottom w:val="single" w:sz="4" w:space="0" w:color="auto"/>
              <w:right w:val="nil"/>
            </w:tcBorders>
            <w:shd w:val="clear" w:color="000000" w:fill="B8CCE4"/>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1.033.442      </w:t>
            </w:r>
          </w:p>
        </w:tc>
        <w:tc>
          <w:tcPr>
            <w:tcW w:w="1506" w:type="dxa"/>
            <w:tcBorders>
              <w:top w:val="nil"/>
              <w:left w:val="nil"/>
              <w:bottom w:val="single" w:sz="4" w:space="0" w:color="auto"/>
              <w:right w:val="nil"/>
            </w:tcBorders>
            <w:shd w:val="clear" w:color="000000" w:fill="B8CCE4"/>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808.673      </w:t>
            </w:r>
          </w:p>
        </w:tc>
        <w:tc>
          <w:tcPr>
            <w:tcW w:w="1632" w:type="dxa"/>
            <w:tcBorders>
              <w:top w:val="nil"/>
              <w:left w:val="nil"/>
              <w:bottom w:val="single" w:sz="4" w:space="0" w:color="auto"/>
              <w:right w:val="nil"/>
            </w:tcBorders>
            <w:shd w:val="clear" w:color="000000" w:fill="B8CCE4"/>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1.119.190      </w:t>
            </w: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Исправка вредности потраживања</w:t>
            </w:r>
          </w:p>
        </w:tc>
        <w:tc>
          <w:tcPr>
            <w:tcW w:w="1579"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За премију реосигурања</w:t>
            </w:r>
          </w:p>
        </w:tc>
        <w:tc>
          <w:tcPr>
            <w:tcW w:w="1579"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38.474      </w:t>
            </w: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12.390      </w:t>
            </w: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205.989      </w:t>
            </w: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Од реосигуравача и ретроцесионара</w:t>
            </w:r>
          </w:p>
        </w:tc>
        <w:tc>
          <w:tcPr>
            <w:tcW w:w="1579"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121.446      </w:t>
            </w: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2.299      </w:t>
            </w: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4.071      </w:t>
            </w: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За регресе</w:t>
            </w:r>
          </w:p>
        </w:tc>
        <w:tc>
          <w:tcPr>
            <w:tcW w:w="1579"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        </w:t>
            </w: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165.343      </w:t>
            </w: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105.065      </w:t>
            </w:r>
          </w:p>
        </w:tc>
      </w:tr>
      <w:tr w:rsidR="00054041" w:rsidRPr="00054041" w:rsidTr="00054041">
        <w:trPr>
          <w:trHeight w:val="288"/>
        </w:trPr>
        <w:tc>
          <w:tcPr>
            <w:tcW w:w="4465" w:type="dxa"/>
            <w:tcBorders>
              <w:top w:val="nil"/>
              <w:left w:val="nil"/>
              <w:bottom w:val="nil"/>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Остала потраживања</w:t>
            </w:r>
          </w:p>
        </w:tc>
        <w:tc>
          <w:tcPr>
            <w:tcW w:w="1579"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14.695      </w:t>
            </w:r>
          </w:p>
        </w:tc>
        <w:tc>
          <w:tcPr>
            <w:tcW w:w="1506"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10.269      </w:t>
            </w:r>
          </w:p>
        </w:tc>
        <w:tc>
          <w:tcPr>
            <w:tcW w:w="1632" w:type="dxa"/>
            <w:tcBorders>
              <w:top w:val="nil"/>
              <w:left w:val="nil"/>
              <w:bottom w:val="nil"/>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color w:val="000000"/>
                <w:sz w:val="20"/>
                <w:szCs w:val="20"/>
                <w:lang w:val="sr-Latn-RS" w:eastAsia="sr-Latn-RS"/>
              </w:rPr>
            </w:pPr>
            <w:r w:rsidRPr="00054041">
              <w:rPr>
                <w:rFonts w:ascii="Calibri" w:eastAsia="Times New Roman" w:hAnsi="Calibri" w:cs="Times New Roman"/>
                <w:color w:val="000000"/>
                <w:sz w:val="20"/>
                <w:szCs w:val="20"/>
                <w:lang w:val="sr-Latn-RS" w:eastAsia="sr-Latn-RS"/>
              </w:rPr>
              <w:t xml:space="preserve">              11.372      </w:t>
            </w:r>
          </w:p>
        </w:tc>
      </w:tr>
      <w:tr w:rsidR="00054041" w:rsidRPr="00054041" w:rsidTr="00054041">
        <w:trPr>
          <w:trHeight w:val="288"/>
        </w:trPr>
        <w:tc>
          <w:tcPr>
            <w:tcW w:w="4465" w:type="dxa"/>
            <w:tcBorders>
              <w:top w:val="nil"/>
              <w:left w:val="nil"/>
              <w:bottom w:val="single" w:sz="4" w:space="0" w:color="auto"/>
              <w:right w:val="nil"/>
            </w:tcBorders>
            <w:shd w:val="clear" w:color="000000" w:fill="B8CCE4"/>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II) Свега исправка вредности потраживања</w:t>
            </w:r>
          </w:p>
        </w:tc>
        <w:tc>
          <w:tcPr>
            <w:tcW w:w="1579" w:type="dxa"/>
            <w:tcBorders>
              <w:top w:val="nil"/>
              <w:left w:val="nil"/>
              <w:bottom w:val="single" w:sz="4" w:space="0" w:color="auto"/>
              <w:right w:val="nil"/>
            </w:tcBorders>
            <w:shd w:val="clear" w:color="000000" w:fill="B8CCE4"/>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174.615      </w:t>
            </w:r>
          </w:p>
        </w:tc>
        <w:tc>
          <w:tcPr>
            <w:tcW w:w="1506" w:type="dxa"/>
            <w:tcBorders>
              <w:top w:val="nil"/>
              <w:left w:val="nil"/>
              <w:bottom w:val="single" w:sz="4" w:space="0" w:color="auto"/>
              <w:right w:val="nil"/>
            </w:tcBorders>
            <w:shd w:val="clear" w:color="000000" w:fill="B8CCE4"/>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190.301      </w:t>
            </w:r>
          </w:p>
        </w:tc>
        <w:tc>
          <w:tcPr>
            <w:tcW w:w="1632" w:type="dxa"/>
            <w:tcBorders>
              <w:top w:val="nil"/>
              <w:left w:val="nil"/>
              <w:bottom w:val="single" w:sz="4" w:space="0" w:color="auto"/>
              <w:right w:val="nil"/>
            </w:tcBorders>
            <w:shd w:val="clear" w:color="000000" w:fill="B8CCE4"/>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326.497      </w:t>
            </w:r>
          </w:p>
        </w:tc>
      </w:tr>
      <w:tr w:rsidR="00054041" w:rsidRPr="00054041" w:rsidTr="00054041">
        <w:trPr>
          <w:trHeight w:val="302"/>
        </w:trPr>
        <w:tc>
          <w:tcPr>
            <w:tcW w:w="4465" w:type="dxa"/>
            <w:tcBorders>
              <w:top w:val="nil"/>
              <w:left w:val="nil"/>
              <w:bottom w:val="double" w:sz="6" w:space="0" w:color="auto"/>
              <w:right w:val="nil"/>
            </w:tcBorders>
            <w:shd w:val="clear" w:color="auto" w:fill="auto"/>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Нето вредност потраживања (I+II)</w:t>
            </w:r>
          </w:p>
        </w:tc>
        <w:tc>
          <w:tcPr>
            <w:tcW w:w="1579" w:type="dxa"/>
            <w:tcBorders>
              <w:top w:val="nil"/>
              <w:left w:val="nil"/>
              <w:bottom w:val="double" w:sz="6" w:space="0" w:color="auto"/>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858.827      </w:t>
            </w:r>
          </w:p>
        </w:tc>
        <w:tc>
          <w:tcPr>
            <w:tcW w:w="1506" w:type="dxa"/>
            <w:tcBorders>
              <w:top w:val="nil"/>
              <w:left w:val="nil"/>
              <w:bottom w:val="double" w:sz="6" w:space="0" w:color="auto"/>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618.372      </w:t>
            </w:r>
          </w:p>
        </w:tc>
        <w:tc>
          <w:tcPr>
            <w:tcW w:w="1632" w:type="dxa"/>
            <w:tcBorders>
              <w:top w:val="nil"/>
              <w:left w:val="nil"/>
              <w:bottom w:val="double" w:sz="6" w:space="0" w:color="auto"/>
              <w:right w:val="nil"/>
            </w:tcBorders>
            <w:shd w:val="clear" w:color="auto" w:fill="auto"/>
            <w:noWrap/>
            <w:vAlign w:val="center"/>
            <w:hideMark/>
          </w:tcPr>
          <w:p w:rsidR="00054041" w:rsidRPr="00054041" w:rsidRDefault="00054041" w:rsidP="00054041">
            <w:pPr>
              <w:spacing w:after="0" w:line="240" w:lineRule="auto"/>
              <w:rPr>
                <w:rFonts w:ascii="Calibri" w:eastAsia="Times New Roman" w:hAnsi="Calibri" w:cs="Times New Roman"/>
                <w:b/>
                <w:bCs/>
                <w:color w:val="000000"/>
                <w:sz w:val="20"/>
                <w:szCs w:val="20"/>
                <w:lang w:val="sr-Latn-RS" w:eastAsia="sr-Latn-RS"/>
              </w:rPr>
            </w:pPr>
            <w:r w:rsidRPr="00054041">
              <w:rPr>
                <w:rFonts w:ascii="Calibri" w:eastAsia="Times New Roman" w:hAnsi="Calibri" w:cs="Times New Roman"/>
                <w:b/>
                <w:bCs/>
                <w:color w:val="000000"/>
                <w:sz w:val="20"/>
                <w:szCs w:val="20"/>
                <w:lang w:val="sr-Latn-RS" w:eastAsia="sr-Latn-RS"/>
              </w:rPr>
              <w:t xml:space="preserve">           792.693      </w:t>
            </w:r>
          </w:p>
        </w:tc>
      </w:tr>
    </w:tbl>
    <w:p w:rsidR="0097324E" w:rsidRPr="0097324E" w:rsidRDefault="0097324E" w:rsidP="0097324E">
      <w:pPr>
        <w:spacing w:before="120" w:after="120"/>
        <w:ind w:firstLine="284"/>
        <w:jc w:val="both"/>
        <w:rPr>
          <w:rStyle w:val="Hyperlink"/>
          <w:noProof/>
          <w:color w:val="auto"/>
          <w:sz w:val="20"/>
          <w:lang w:val="sr-Cyrl-CS"/>
        </w:rPr>
      </w:pPr>
      <w:r w:rsidRPr="0097324E">
        <w:rPr>
          <w:rStyle w:val="Hyperlink"/>
          <w:noProof/>
          <w:color w:val="auto"/>
          <w:sz w:val="20"/>
          <w:lang w:val="sr-Cyrl-CS"/>
        </w:rPr>
        <w:t>У IV кварталу стављена је ван снаге Одлука НБС о начину процењивања билансних и ванбилансних позиција друштва за осигурање, па је Друштво за потребе утврђивања директног и индиректног отписа (исправке) потраживања на дан 31.12.2015. године користило интерну методологију дефинисану у Упутству за процењивање потраживања Друштва за реосигурање„Дунав РЕ“ а.д.о. Београд.</w:t>
      </w:r>
    </w:p>
    <w:p w:rsidR="0097324E" w:rsidRPr="0097324E" w:rsidRDefault="0097324E" w:rsidP="0097324E">
      <w:pPr>
        <w:spacing w:before="120" w:after="120"/>
        <w:ind w:firstLine="284"/>
        <w:jc w:val="both"/>
        <w:rPr>
          <w:rStyle w:val="Hyperlink"/>
          <w:noProof/>
          <w:color w:val="auto"/>
          <w:sz w:val="20"/>
          <w:lang w:val="sr-Cyrl-CS"/>
        </w:rPr>
      </w:pPr>
      <w:r w:rsidRPr="0097324E">
        <w:rPr>
          <w:rStyle w:val="Hyperlink"/>
          <w:noProof/>
          <w:color w:val="auto"/>
          <w:sz w:val="20"/>
          <w:lang w:val="sr-Cyrl-CS"/>
        </w:rPr>
        <w:t>Наведеним Упутством дефинисано је да ће Друштво вршти појединачну  исправку вредности  потраживања у висини целоукпног потраживања за  сва потраживања која су категоризована као неликвидна средства у складу са Одлуком о адекватности капитала друштва за осигурање/реосигурање (односно за сва потраживања старија од 90 дана).</w:t>
      </w:r>
    </w:p>
    <w:p w:rsidR="0097324E" w:rsidRDefault="0097324E" w:rsidP="0097324E">
      <w:pPr>
        <w:spacing w:before="120" w:after="120"/>
        <w:ind w:firstLine="284"/>
        <w:jc w:val="both"/>
        <w:rPr>
          <w:rStyle w:val="Hyperlink"/>
          <w:noProof/>
          <w:color w:val="auto"/>
          <w:sz w:val="20"/>
          <w:lang w:val="sr-Cyrl-CS"/>
        </w:rPr>
      </w:pPr>
      <w:r w:rsidRPr="0097324E">
        <w:rPr>
          <w:rStyle w:val="Hyperlink"/>
          <w:noProof/>
          <w:color w:val="auto"/>
          <w:sz w:val="20"/>
          <w:lang w:val="sr-Cyrl-CS"/>
        </w:rPr>
        <w:t>За потраживања која су настала из основне делатности или инвестиционе активности, а која нису обухваћена појединачном исправком, Друштво ће вршити процену вредности (општу исправку) на нивоу укупних потраживања једног пословног партнера у складу са: историјом сарадње са дужником, доцњом у измиривању доспелих обавеза, финансијском способношћу дужника и значаја сарадње са дужником за будуће пословање Друштва.</w:t>
      </w:r>
    </w:p>
    <w:p w:rsidR="00D306DE" w:rsidRDefault="00D306DE" w:rsidP="0097324E">
      <w:pPr>
        <w:spacing w:before="120" w:after="120"/>
        <w:ind w:firstLine="284"/>
        <w:jc w:val="both"/>
        <w:rPr>
          <w:rStyle w:val="Hyperlink"/>
          <w:noProof/>
          <w:color w:val="auto"/>
          <w:sz w:val="20"/>
          <w:lang w:val="sr-Cyrl-CS"/>
        </w:rPr>
      </w:pPr>
      <w:r>
        <w:rPr>
          <w:rStyle w:val="Hyperlink"/>
          <w:noProof/>
          <w:color w:val="auto"/>
          <w:sz w:val="20"/>
          <w:lang w:val="sr-Cyrl-CS"/>
        </w:rPr>
        <w:t>У структури потраживања највеће учешће има потраживање по основу премије (69,61%) и потраживања по освно</w:t>
      </w:r>
      <w:r w:rsidR="0010417A">
        <w:rPr>
          <w:rStyle w:val="Hyperlink"/>
          <w:noProof/>
          <w:color w:val="auto"/>
          <w:sz w:val="20"/>
          <w:lang w:val="sr-Cyrl-CS"/>
        </w:rPr>
        <w:t>в</w:t>
      </w:r>
      <w:r>
        <w:rPr>
          <w:rStyle w:val="Hyperlink"/>
          <w:noProof/>
          <w:color w:val="auto"/>
          <w:sz w:val="20"/>
          <w:lang w:val="sr-Cyrl-CS"/>
        </w:rPr>
        <w:t xml:space="preserve">у учешћа у штетама 26,53% </w:t>
      </w:r>
    </w:p>
    <w:p w:rsidR="0097324E" w:rsidRPr="00D306DE" w:rsidRDefault="008E4D7D" w:rsidP="0097324E">
      <w:pPr>
        <w:spacing w:before="120" w:after="120"/>
        <w:ind w:firstLine="284"/>
        <w:jc w:val="both"/>
        <w:rPr>
          <w:rStyle w:val="Hyperlink"/>
          <w:noProof/>
          <w:color w:val="auto"/>
          <w:sz w:val="20"/>
          <w:lang w:val="sr-Cyrl-CS"/>
        </w:rPr>
      </w:pPr>
      <w:r w:rsidRPr="00D306DE">
        <w:rPr>
          <w:rStyle w:val="Hyperlink"/>
          <w:noProof/>
          <w:color w:val="auto"/>
          <w:sz w:val="20"/>
          <w:lang w:val="sr-Cyrl-CS"/>
        </w:rPr>
        <w:t>Укупни проценат исправке потраживања износи</w:t>
      </w:r>
      <w:r w:rsidR="0097324E" w:rsidRPr="00D306DE">
        <w:rPr>
          <w:rStyle w:val="Hyperlink"/>
          <w:noProof/>
          <w:color w:val="auto"/>
          <w:sz w:val="20"/>
          <w:lang w:val="sr-Cyrl-CS"/>
        </w:rPr>
        <w:t xml:space="preserve"> 16,88 док је у истом периоду прошле године износио 23,53.% што је резултат болје наплате потраживања.</w:t>
      </w:r>
    </w:p>
    <w:p w:rsidR="00D306DE" w:rsidRPr="00D306DE" w:rsidRDefault="00D306DE" w:rsidP="0097324E">
      <w:pPr>
        <w:spacing w:before="120" w:after="120"/>
        <w:ind w:firstLine="284"/>
        <w:jc w:val="both"/>
        <w:rPr>
          <w:rStyle w:val="Hyperlink"/>
          <w:noProof/>
          <w:color w:val="auto"/>
          <w:sz w:val="20"/>
          <w:lang w:val="sr-Cyrl-CS"/>
        </w:rPr>
      </w:pPr>
      <w:r w:rsidRPr="00D306DE">
        <w:rPr>
          <w:rStyle w:val="Hyperlink"/>
          <w:noProof/>
          <w:color w:val="auto"/>
          <w:sz w:val="20"/>
          <w:lang w:val="sr-Cyrl-CS"/>
        </w:rPr>
        <w:t>У структури исправке потраживања највеће учешће имају потраживања по основу учешћа у штетама (69,55%), а у оквиру њих доминантно учешће по штети ЕОС.</w:t>
      </w:r>
    </w:p>
    <w:p w:rsidR="00F93B69" w:rsidRPr="002F0A3B" w:rsidRDefault="00F93B69" w:rsidP="00F93B69">
      <w:pPr>
        <w:spacing w:before="240" w:after="240"/>
        <w:jc w:val="both"/>
        <w:rPr>
          <w:b/>
          <w:i/>
          <w:noProof/>
          <w:color w:val="365F91" w:themeColor="accent1" w:themeShade="BF"/>
          <w:sz w:val="20"/>
          <w:lang w:val="sr-Cyrl-CS"/>
        </w:rPr>
      </w:pPr>
      <w:r w:rsidRPr="002F0A3B">
        <w:rPr>
          <w:b/>
          <w:i/>
          <w:noProof/>
          <w:color w:val="365F91" w:themeColor="accent1" w:themeShade="BF"/>
          <w:sz w:val="20"/>
          <w:lang w:val="sr-Cyrl-CS"/>
        </w:rPr>
        <w:t>Пр</w:t>
      </w:r>
      <w:r w:rsidR="00065460">
        <w:rPr>
          <w:b/>
          <w:i/>
          <w:noProof/>
          <w:color w:val="365F91" w:themeColor="accent1" w:themeShade="BF"/>
          <w:sz w:val="20"/>
          <w:lang w:val="sr-Cyrl-CS"/>
        </w:rPr>
        <w:t>еглед потраживања по највећим</w:t>
      </w:r>
      <w:r w:rsidRPr="002F0A3B">
        <w:rPr>
          <w:b/>
          <w:i/>
          <w:noProof/>
          <w:color w:val="365F91" w:themeColor="accent1" w:themeShade="BF"/>
          <w:sz w:val="20"/>
          <w:lang w:val="sr-Cyrl-CS"/>
        </w:rPr>
        <w:t xml:space="preserve"> дужницима </w:t>
      </w:r>
    </w:p>
    <w:p w:rsidR="00F93B69" w:rsidRDefault="00F93B69" w:rsidP="00AB25B8">
      <w:pPr>
        <w:spacing w:before="120" w:after="120"/>
        <w:ind w:firstLine="284"/>
        <w:jc w:val="both"/>
        <w:rPr>
          <w:rStyle w:val="Hyperlink"/>
          <w:noProof/>
          <w:color w:val="auto"/>
          <w:sz w:val="20"/>
          <w:lang w:val="sr-Cyrl-CS"/>
        </w:rPr>
      </w:pPr>
      <w:r w:rsidRPr="002F0A3B">
        <w:rPr>
          <w:rStyle w:val="Hyperlink"/>
          <w:noProof/>
          <w:color w:val="auto"/>
          <w:sz w:val="20"/>
          <w:lang w:val="sr-Cyrl-CS"/>
        </w:rPr>
        <w:t>Највеће укупно потраживање у земљи на дан 31.12.201</w:t>
      </w:r>
      <w:r w:rsidR="00714FAF" w:rsidRPr="002F0A3B">
        <w:rPr>
          <w:rStyle w:val="Hyperlink"/>
          <w:noProof/>
          <w:color w:val="auto"/>
          <w:sz w:val="20"/>
          <w:lang w:val="sr-Cyrl-CS"/>
        </w:rPr>
        <w:t>5</w:t>
      </w:r>
      <w:r w:rsidRPr="002F0A3B">
        <w:rPr>
          <w:rStyle w:val="Hyperlink"/>
          <w:noProof/>
          <w:color w:val="auto"/>
          <w:sz w:val="20"/>
          <w:lang w:val="sr-Cyrl-CS"/>
        </w:rPr>
        <w:t xml:space="preserve">. године Друштво има према Компанији Дунав осигурање </w:t>
      </w:r>
      <w:r w:rsidR="00714FAF" w:rsidRPr="002F0A3B">
        <w:rPr>
          <w:rStyle w:val="Hyperlink"/>
          <w:noProof/>
          <w:color w:val="auto"/>
          <w:sz w:val="20"/>
          <w:lang w:val="sr-Cyrl-CS"/>
        </w:rPr>
        <w:t>473.170</w:t>
      </w:r>
      <w:r w:rsidRPr="002F0A3B">
        <w:rPr>
          <w:rStyle w:val="Hyperlink"/>
          <w:noProof/>
          <w:color w:val="auto"/>
          <w:sz w:val="20"/>
          <w:lang w:val="sr-Cyrl-CS"/>
        </w:rPr>
        <w:t xml:space="preserve"> хиљада динара, док је највеће укупно потраживање из иностранства евидентирано за брокера </w:t>
      </w:r>
      <w:r w:rsidR="001D4002" w:rsidRPr="002F0A3B">
        <w:rPr>
          <w:rFonts w:eastAsia="Times New Roman" w:cs="Calibri"/>
          <w:i/>
          <w:noProof/>
          <w:sz w:val="20"/>
          <w:szCs w:val="20"/>
          <w:lang w:val="sr-Cyrl-CS" w:eastAsia="sr-Latn-RS"/>
        </w:rPr>
        <w:t>Guy Carpenter&amp;Company GmbH</w:t>
      </w:r>
      <w:r w:rsidR="001D4002" w:rsidRPr="002F0A3B">
        <w:rPr>
          <w:rFonts w:eastAsia="Times New Roman" w:cs="Calibri"/>
          <w:noProof/>
          <w:sz w:val="20"/>
          <w:szCs w:val="20"/>
          <w:lang w:val="sr-Cyrl-CS" w:eastAsia="sr-Latn-RS"/>
        </w:rPr>
        <w:t>,Енглеска</w:t>
      </w:r>
      <w:r w:rsidRPr="002F0A3B">
        <w:rPr>
          <w:rStyle w:val="Hyperlink"/>
          <w:noProof/>
          <w:color w:val="auto"/>
          <w:sz w:val="20"/>
          <w:lang w:val="sr-Cyrl-CS"/>
        </w:rPr>
        <w:t>.</w:t>
      </w:r>
    </w:p>
    <w:p w:rsidR="007066DD" w:rsidRDefault="007066DD" w:rsidP="00AB25B8">
      <w:pPr>
        <w:spacing w:before="120" w:after="120"/>
        <w:ind w:firstLine="284"/>
        <w:jc w:val="both"/>
        <w:rPr>
          <w:rStyle w:val="Hyperlink"/>
          <w:noProof/>
          <w:color w:val="auto"/>
          <w:sz w:val="20"/>
          <w:lang w:val="sr-Cyrl-CS"/>
        </w:rPr>
      </w:pPr>
    </w:p>
    <w:p w:rsidR="00F93B69" w:rsidRPr="00BF3CDE" w:rsidRDefault="00D16B74" w:rsidP="00E847DA">
      <w:pPr>
        <w:spacing w:after="0"/>
        <w:jc w:val="center"/>
        <w:rPr>
          <w:b/>
          <w:i/>
          <w:noProof/>
          <w:color w:val="4F81BD" w:themeColor="accent1"/>
          <w:sz w:val="20"/>
          <w:lang w:val="sr-Cyrl-CS"/>
        </w:rPr>
      </w:pPr>
      <w:r w:rsidRPr="00BF3CDE">
        <w:rPr>
          <w:b/>
          <w:i/>
          <w:noProof/>
          <w:color w:val="4F81BD" w:themeColor="accent1"/>
          <w:sz w:val="20"/>
          <w:lang w:val="sr-Cyrl-CS"/>
        </w:rPr>
        <w:t>5 највећих дужника у земљи</w:t>
      </w:r>
    </w:p>
    <w:p w:rsidR="00D16B74" w:rsidRDefault="00D16B74" w:rsidP="00D16B74">
      <w:pPr>
        <w:pStyle w:val="NoSpacing"/>
        <w:jc w:val="right"/>
        <w:rPr>
          <w:rFonts w:ascii="Tahoma" w:hAnsi="Tahoma" w:cs="Tahoma"/>
          <w:noProof/>
          <w:color w:val="000000" w:themeColor="text1"/>
          <w:sz w:val="20"/>
          <w:szCs w:val="18"/>
          <w:lang w:val="sr-Cyrl-CS"/>
        </w:rPr>
      </w:pPr>
      <w:r w:rsidRPr="00AA4A36">
        <w:rPr>
          <w:rFonts w:ascii="Tahoma" w:hAnsi="Tahoma" w:cs="Tahoma"/>
          <w:noProof/>
          <w:color w:val="000000" w:themeColor="text1"/>
          <w:sz w:val="20"/>
          <w:szCs w:val="18"/>
          <w:lang w:val="sr-Cyrl-CS"/>
        </w:rPr>
        <w:t>У 000 РСД</w:t>
      </w:r>
    </w:p>
    <w:tbl>
      <w:tblPr>
        <w:tblW w:w="9436" w:type="dxa"/>
        <w:tblInd w:w="93" w:type="dxa"/>
        <w:tblLook w:val="04A0" w:firstRow="1" w:lastRow="0" w:firstColumn="1" w:lastColumn="0" w:noHBand="0" w:noVBand="1"/>
      </w:tblPr>
      <w:tblGrid>
        <w:gridCol w:w="802"/>
        <w:gridCol w:w="2789"/>
        <w:gridCol w:w="1820"/>
        <w:gridCol w:w="1954"/>
        <w:gridCol w:w="2071"/>
      </w:tblGrid>
      <w:tr w:rsidR="0034641B" w:rsidRPr="0034641B" w:rsidTr="0034641B">
        <w:trPr>
          <w:trHeight w:val="284"/>
        </w:trPr>
        <w:tc>
          <w:tcPr>
            <w:tcW w:w="802" w:type="dxa"/>
            <w:tcBorders>
              <w:top w:val="nil"/>
              <w:left w:val="nil"/>
              <w:bottom w:val="single" w:sz="4" w:space="0" w:color="auto"/>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lang w:val="sr-Latn-RS" w:eastAsia="sr-Latn-RS"/>
              </w:rPr>
            </w:pPr>
            <w:r w:rsidRPr="0034641B">
              <w:rPr>
                <w:rFonts w:ascii="Calibri" w:eastAsia="Times New Roman" w:hAnsi="Calibri" w:cs="Times New Roman"/>
                <w:color w:val="000000"/>
                <w:lang w:val="sr-Latn-RS" w:eastAsia="sr-Latn-RS"/>
              </w:rPr>
              <w:t>РБ</w:t>
            </w:r>
          </w:p>
        </w:tc>
        <w:tc>
          <w:tcPr>
            <w:tcW w:w="2789" w:type="dxa"/>
            <w:tcBorders>
              <w:top w:val="nil"/>
              <w:left w:val="nil"/>
              <w:bottom w:val="single" w:sz="4" w:space="0" w:color="auto"/>
              <w:right w:val="nil"/>
            </w:tcBorders>
            <w:shd w:val="clear" w:color="auto" w:fill="auto"/>
            <w:noWrap/>
            <w:vAlign w:val="bottom"/>
            <w:hideMark/>
          </w:tcPr>
          <w:p w:rsidR="0034641B" w:rsidRPr="00E35037" w:rsidRDefault="0034641B" w:rsidP="00E35037">
            <w:pPr>
              <w:spacing w:after="0" w:line="240" w:lineRule="auto"/>
              <w:jc w:val="center"/>
              <w:rPr>
                <w:rFonts w:ascii="Calibri" w:eastAsia="Times New Roman" w:hAnsi="Calibri" w:cs="Times New Roman"/>
                <w:color w:val="000000"/>
                <w:lang w:val="sr-Cyrl-RS" w:eastAsia="sr-Latn-RS"/>
              </w:rPr>
            </w:pPr>
            <w:r w:rsidRPr="0034641B">
              <w:rPr>
                <w:rFonts w:ascii="Calibri" w:eastAsia="Times New Roman" w:hAnsi="Calibri" w:cs="Times New Roman"/>
                <w:color w:val="000000"/>
                <w:lang w:val="sr-Latn-RS" w:eastAsia="sr-Latn-RS"/>
              </w:rPr>
              <w:t xml:space="preserve">Назив </w:t>
            </w:r>
            <w:r w:rsidR="00E35037">
              <w:rPr>
                <w:rFonts w:ascii="Calibri" w:eastAsia="Times New Roman" w:hAnsi="Calibri" w:cs="Times New Roman"/>
                <w:color w:val="000000"/>
                <w:lang w:val="sr-Cyrl-RS" w:eastAsia="sr-Latn-RS"/>
              </w:rPr>
              <w:t>дужника</w:t>
            </w:r>
          </w:p>
        </w:tc>
        <w:tc>
          <w:tcPr>
            <w:tcW w:w="1820" w:type="dxa"/>
            <w:tcBorders>
              <w:top w:val="nil"/>
              <w:left w:val="nil"/>
              <w:bottom w:val="single" w:sz="4" w:space="0" w:color="auto"/>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lang w:val="sr-Latn-RS" w:eastAsia="sr-Latn-RS"/>
              </w:rPr>
            </w:pPr>
            <w:r w:rsidRPr="0034641B">
              <w:rPr>
                <w:rFonts w:ascii="Calibri" w:eastAsia="Times New Roman" w:hAnsi="Calibri" w:cs="Times New Roman"/>
                <w:color w:val="000000"/>
                <w:lang w:val="sr-Latn-RS" w:eastAsia="sr-Latn-RS"/>
              </w:rPr>
              <w:t>Укупна потраживања</w:t>
            </w:r>
          </w:p>
        </w:tc>
        <w:tc>
          <w:tcPr>
            <w:tcW w:w="1954" w:type="dxa"/>
            <w:tcBorders>
              <w:top w:val="nil"/>
              <w:left w:val="nil"/>
              <w:bottom w:val="single" w:sz="4" w:space="0" w:color="auto"/>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lang w:val="sr-Latn-RS" w:eastAsia="sr-Latn-RS"/>
              </w:rPr>
            </w:pPr>
            <w:r w:rsidRPr="0034641B">
              <w:rPr>
                <w:rFonts w:ascii="Calibri" w:eastAsia="Times New Roman" w:hAnsi="Calibri" w:cs="Times New Roman"/>
                <w:color w:val="000000"/>
                <w:lang w:val="sr-Latn-RS" w:eastAsia="sr-Latn-RS"/>
              </w:rPr>
              <w:t>Доспела потраживања</w:t>
            </w:r>
          </w:p>
        </w:tc>
        <w:tc>
          <w:tcPr>
            <w:tcW w:w="2071" w:type="dxa"/>
            <w:tcBorders>
              <w:top w:val="nil"/>
              <w:left w:val="nil"/>
              <w:bottom w:val="single" w:sz="4" w:space="0" w:color="auto"/>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lang w:val="sr-Latn-RS" w:eastAsia="sr-Latn-RS"/>
              </w:rPr>
            </w:pPr>
            <w:r w:rsidRPr="0034641B">
              <w:rPr>
                <w:rFonts w:ascii="Calibri" w:eastAsia="Times New Roman" w:hAnsi="Calibri" w:cs="Times New Roman"/>
                <w:color w:val="000000"/>
                <w:lang w:val="sr-Latn-RS" w:eastAsia="sr-Latn-RS"/>
              </w:rPr>
              <w:t>Недоспела потраљивањ</w:t>
            </w:r>
          </w:p>
        </w:tc>
      </w:tr>
      <w:tr w:rsidR="00CB2765" w:rsidRPr="0034641B" w:rsidTr="00CB2765">
        <w:trPr>
          <w:trHeight w:val="284"/>
        </w:trPr>
        <w:tc>
          <w:tcPr>
            <w:tcW w:w="802"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1</w:t>
            </w:r>
          </w:p>
        </w:tc>
        <w:tc>
          <w:tcPr>
            <w:tcW w:w="2789"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Компанија Дунав Осигурање адо</w:t>
            </w:r>
          </w:p>
        </w:tc>
        <w:tc>
          <w:tcPr>
            <w:tcW w:w="1820"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473.170</w:t>
            </w:r>
          </w:p>
        </w:tc>
        <w:tc>
          <w:tcPr>
            <w:tcW w:w="1954"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182.058</w:t>
            </w:r>
          </w:p>
        </w:tc>
        <w:tc>
          <w:tcPr>
            <w:tcW w:w="2071"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291.112</w:t>
            </w:r>
          </w:p>
        </w:tc>
      </w:tr>
      <w:tr w:rsidR="0034641B" w:rsidRPr="0034641B" w:rsidTr="0034641B">
        <w:trPr>
          <w:trHeight w:val="284"/>
        </w:trPr>
        <w:tc>
          <w:tcPr>
            <w:tcW w:w="802"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w:t>
            </w:r>
          </w:p>
        </w:tc>
        <w:tc>
          <w:tcPr>
            <w:tcW w:w="2789"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Согаз осигурање адо, Нови Сад</w:t>
            </w:r>
          </w:p>
        </w:tc>
        <w:tc>
          <w:tcPr>
            <w:tcW w:w="1820"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71.323</w:t>
            </w:r>
          </w:p>
        </w:tc>
        <w:tc>
          <w:tcPr>
            <w:tcW w:w="1954"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3.405</w:t>
            </w:r>
          </w:p>
        </w:tc>
        <w:tc>
          <w:tcPr>
            <w:tcW w:w="2071"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67.918</w:t>
            </w:r>
          </w:p>
        </w:tc>
      </w:tr>
      <w:tr w:rsidR="00CB2765" w:rsidRPr="0034641B" w:rsidTr="00CB2765">
        <w:trPr>
          <w:trHeight w:val="284"/>
        </w:trPr>
        <w:tc>
          <w:tcPr>
            <w:tcW w:w="802"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3</w:t>
            </w:r>
          </w:p>
        </w:tc>
        <w:tc>
          <w:tcPr>
            <w:tcW w:w="2789"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Меркур осигурање адо, Београд</w:t>
            </w:r>
          </w:p>
        </w:tc>
        <w:tc>
          <w:tcPr>
            <w:tcW w:w="1820"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45.689</w:t>
            </w:r>
          </w:p>
        </w:tc>
        <w:tc>
          <w:tcPr>
            <w:tcW w:w="1954"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 </w:t>
            </w:r>
          </w:p>
        </w:tc>
        <w:tc>
          <w:tcPr>
            <w:tcW w:w="2071"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45.689</w:t>
            </w:r>
          </w:p>
        </w:tc>
      </w:tr>
      <w:tr w:rsidR="0034641B" w:rsidRPr="0034641B" w:rsidTr="0034641B">
        <w:trPr>
          <w:trHeight w:val="284"/>
        </w:trPr>
        <w:tc>
          <w:tcPr>
            <w:tcW w:w="802"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4</w:t>
            </w:r>
          </w:p>
        </w:tc>
        <w:tc>
          <w:tcPr>
            <w:tcW w:w="2789"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Grawe осигурање адо, Београд</w:t>
            </w:r>
          </w:p>
        </w:tc>
        <w:tc>
          <w:tcPr>
            <w:tcW w:w="1820"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30.975</w:t>
            </w:r>
          </w:p>
        </w:tc>
        <w:tc>
          <w:tcPr>
            <w:tcW w:w="1954"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p>
        </w:tc>
        <w:tc>
          <w:tcPr>
            <w:tcW w:w="2071"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30.975</w:t>
            </w:r>
          </w:p>
        </w:tc>
      </w:tr>
      <w:tr w:rsidR="00CB2765" w:rsidRPr="0034641B" w:rsidTr="00CB2765">
        <w:trPr>
          <w:trHeight w:val="284"/>
        </w:trPr>
        <w:tc>
          <w:tcPr>
            <w:tcW w:w="802"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5</w:t>
            </w:r>
          </w:p>
        </w:tc>
        <w:tc>
          <w:tcPr>
            <w:tcW w:w="2789"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Сава осигурање адо, Београд</w:t>
            </w:r>
          </w:p>
        </w:tc>
        <w:tc>
          <w:tcPr>
            <w:tcW w:w="1820"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26.496</w:t>
            </w:r>
          </w:p>
        </w:tc>
        <w:tc>
          <w:tcPr>
            <w:tcW w:w="1954"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507</w:t>
            </w:r>
          </w:p>
        </w:tc>
        <w:tc>
          <w:tcPr>
            <w:tcW w:w="2071"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25.989</w:t>
            </w:r>
          </w:p>
        </w:tc>
      </w:tr>
      <w:tr w:rsidR="0034641B" w:rsidRPr="0034641B" w:rsidTr="0034641B">
        <w:trPr>
          <w:trHeight w:val="299"/>
        </w:trPr>
        <w:tc>
          <w:tcPr>
            <w:tcW w:w="802" w:type="dxa"/>
            <w:tcBorders>
              <w:top w:val="nil"/>
              <w:left w:val="nil"/>
              <w:bottom w:val="double" w:sz="6" w:space="0" w:color="auto"/>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6</w:t>
            </w:r>
          </w:p>
        </w:tc>
        <w:tc>
          <w:tcPr>
            <w:tcW w:w="2789" w:type="dxa"/>
            <w:tcBorders>
              <w:top w:val="nil"/>
              <w:left w:val="nil"/>
              <w:bottom w:val="double" w:sz="6" w:space="0" w:color="auto"/>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Остало</w:t>
            </w:r>
          </w:p>
        </w:tc>
        <w:tc>
          <w:tcPr>
            <w:tcW w:w="1820" w:type="dxa"/>
            <w:tcBorders>
              <w:top w:val="nil"/>
              <w:left w:val="nil"/>
              <w:bottom w:val="double" w:sz="6" w:space="0" w:color="auto"/>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55.235</w:t>
            </w:r>
          </w:p>
        </w:tc>
        <w:tc>
          <w:tcPr>
            <w:tcW w:w="1954" w:type="dxa"/>
            <w:tcBorders>
              <w:top w:val="nil"/>
              <w:left w:val="nil"/>
              <w:bottom w:val="double" w:sz="6" w:space="0" w:color="auto"/>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26.663</w:t>
            </w:r>
          </w:p>
        </w:tc>
        <w:tc>
          <w:tcPr>
            <w:tcW w:w="2071" w:type="dxa"/>
            <w:tcBorders>
              <w:top w:val="nil"/>
              <w:left w:val="nil"/>
              <w:bottom w:val="double" w:sz="6" w:space="0" w:color="auto"/>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28.572</w:t>
            </w:r>
          </w:p>
        </w:tc>
      </w:tr>
      <w:tr w:rsidR="0034641B" w:rsidRPr="0034641B" w:rsidTr="0034641B">
        <w:trPr>
          <w:trHeight w:val="299"/>
        </w:trPr>
        <w:tc>
          <w:tcPr>
            <w:tcW w:w="802"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jc w:val="center"/>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 </w:t>
            </w:r>
          </w:p>
        </w:tc>
        <w:tc>
          <w:tcPr>
            <w:tcW w:w="2789"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Укупно (ред.бр.од 1 до 6)</w:t>
            </w:r>
          </w:p>
        </w:tc>
        <w:tc>
          <w:tcPr>
            <w:tcW w:w="1820"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jc w:val="right"/>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702.888</w:t>
            </w:r>
          </w:p>
        </w:tc>
        <w:tc>
          <w:tcPr>
            <w:tcW w:w="1954"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jc w:val="right"/>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212.633</w:t>
            </w:r>
          </w:p>
        </w:tc>
        <w:tc>
          <w:tcPr>
            <w:tcW w:w="2071"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jc w:val="right"/>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490.255</w:t>
            </w:r>
          </w:p>
        </w:tc>
      </w:tr>
      <w:tr w:rsidR="0034641B" w:rsidRPr="0034641B" w:rsidTr="0034641B">
        <w:trPr>
          <w:trHeight w:val="284"/>
        </w:trPr>
        <w:tc>
          <w:tcPr>
            <w:tcW w:w="802"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p>
        </w:tc>
        <w:tc>
          <w:tcPr>
            <w:tcW w:w="2789"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p>
        </w:tc>
        <w:tc>
          <w:tcPr>
            <w:tcW w:w="1820"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p>
        </w:tc>
        <w:tc>
          <w:tcPr>
            <w:tcW w:w="1954"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p>
        </w:tc>
        <w:tc>
          <w:tcPr>
            <w:tcW w:w="2071"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p>
        </w:tc>
      </w:tr>
      <w:tr w:rsidR="00CB2765" w:rsidRPr="0034641B" w:rsidTr="00CB2765">
        <w:trPr>
          <w:trHeight w:val="284"/>
        </w:trPr>
        <w:tc>
          <w:tcPr>
            <w:tcW w:w="802"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1</w:t>
            </w:r>
          </w:p>
        </w:tc>
        <w:tc>
          <w:tcPr>
            <w:tcW w:w="2789"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Премија</w:t>
            </w:r>
          </w:p>
        </w:tc>
        <w:tc>
          <w:tcPr>
            <w:tcW w:w="1820"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695.442</w:t>
            </w:r>
          </w:p>
        </w:tc>
        <w:tc>
          <w:tcPr>
            <w:tcW w:w="1954"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210.303</w:t>
            </w:r>
          </w:p>
        </w:tc>
        <w:tc>
          <w:tcPr>
            <w:tcW w:w="2071" w:type="dxa"/>
            <w:tcBorders>
              <w:top w:val="nil"/>
              <w:left w:val="nil"/>
              <w:bottom w:val="nil"/>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485.139</w:t>
            </w:r>
          </w:p>
        </w:tc>
      </w:tr>
      <w:tr w:rsidR="0034641B" w:rsidRPr="0034641B" w:rsidTr="0034641B">
        <w:trPr>
          <w:trHeight w:val="284"/>
        </w:trPr>
        <w:tc>
          <w:tcPr>
            <w:tcW w:w="802"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w:t>
            </w:r>
          </w:p>
        </w:tc>
        <w:tc>
          <w:tcPr>
            <w:tcW w:w="2789"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Провизија</w:t>
            </w:r>
          </w:p>
        </w:tc>
        <w:tc>
          <w:tcPr>
            <w:tcW w:w="1820"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2.562</w:t>
            </w:r>
          </w:p>
        </w:tc>
        <w:tc>
          <w:tcPr>
            <w:tcW w:w="1954"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1.754</w:t>
            </w:r>
          </w:p>
        </w:tc>
        <w:tc>
          <w:tcPr>
            <w:tcW w:w="2071" w:type="dxa"/>
            <w:tcBorders>
              <w:top w:val="nil"/>
              <w:left w:val="nil"/>
              <w:bottom w:val="nil"/>
              <w:right w:val="nil"/>
            </w:tcBorders>
            <w:shd w:val="clear" w:color="auto" w:fill="auto"/>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808</w:t>
            </w:r>
          </w:p>
        </w:tc>
      </w:tr>
      <w:tr w:rsidR="00CB2765" w:rsidRPr="0034641B" w:rsidTr="00CB2765">
        <w:trPr>
          <w:trHeight w:val="299"/>
        </w:trPr>
        <w:tc>
          <w:tcPr>
            <w:tcW w:w="802" w:type="dxa"/>
            <w:tcBorders>
              <w:top w:val="nil"/>
              <w:left w:val="nil"/>
              <w:bottom w:val="double" w:sz="6" w:space="0" w:color="auto"/>
              <w:right w:val="nil"/>
            </w:tcBorders>
            <w:shd w:val="clear" w:color="auto" w:fill="DBE5F1" w:themeFill="accent1" w:themeFillTint="33"/>
            <w:noWrap/>
            <w:vAlign w:val="bottom"/>
            <w:hideMark/>
          </w:tcPr>
          <w:p w:rsidR="0034641B" w:rsidRPr="0034641B" w:rsidRDefault="0034641B" w:rsidP="0034641B">
            <w:pPr>
              <w:spacing w:after="0" w:line="240" w:lineRule="auto"/>
              <w:jc w:val="center"/>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3</w:t>
            </w:r>
          </w:p>
        </w:tc>
        <w:tc>
          <w:tcPr>
            <w:tcW w:w="2789" w:type="dxa"/>
            <w:tcBorders>
              <w:top w:val="nil"/>
              <w:left w:val="nil"/>
              <w:bottom w:val="double" w:sz="6" w:space="0" w:color="auto"/>
              <w:right w:val="nil"/>
            </w:tcBorders>
            <w:shd w:val="clear" w:color="auto" w:fill="DBE5F1" w:themeFill="accent1" w:themeFillTint="33"/>
            <w:noWrap/>
            <w:vAlign w:val="bottom"/>
            <w:hideMark/>
          </w:tcPr>
          <w:p w:rsidR="0034641B" w:rsidRPr="0034641B" w:rsidRDefault="0034641B" w:rsidP="0034641B">
            <w:pPr>
              <w:spacing w:after="0" w:line="240" w:lineRule="auto"/>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Штете</w:t>
            </w:r>
          </w:p>
        </w:tc>
        <w:tc>
          <w:tcPr>
            <w:tcW w:w="1820" w:type="dxa"/>
            <w:tcBorders>
              <w:top w:val="nil"/>
              <w:left w:val="nil"/>
              <w:bottom w:val="double" w:sz="6" w:space="0" w:color="auto"/>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4.884</w:t>
            </w:r>
          </w:p>
        </w:tc>
        <w:tc>
          <w:tcPr>
            <w:tcW w:w="1954" w:type="dxa"/>
            <w:tcBorders>
              <w:top w:val="nil"/>
              <w:left w:val="nil"/>
              <w:bottom w:val="double" w:sz="6" w:space="0" w:color="auto"/>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576</w:t>
            </w:r>
          </w:p>
        </w:tc>
        <w:tc>
          <w:tcPr>
            <w:tcW w:w="2071" w:type="dxa"/>
            <w:tcBorders>
              <w:top w:val="nil"/>
              <w:left w:val="nil"/>
              <w:bottom w:val="double" w:sz="6" w:space="0" w:color="auto"/>
              <w:right w:val="nil"/>
            </w:tcBorders>
            <w:shd w:val="clear" w:color="auto" w:fill="DBE5F1" w:themeFill="accent1" w:themeFillTint="33"/>
            <w:noWrap/>
            <w:vAlign w:val="bottom"/>
            <w:hideMark/>
          </w:tcPr>
          <w:p w:rsidR="0034641B" w:rsidRPr="0034641B" w:rsidRDefault="0034641B" w:rsidP="0034641B">
            <w:pPr>
              <w:spacing w:after="0" w:line="240" w:lineRule="auto"/>
              <w:jc w:val="right"/>
              <w:rPr>
                <w:rFonts w:ascii="Calibri" w:eastAsia="Times New Roman" w:hAnsi="Calibri" w:cs="Times New Roman"/>
                <w:color w:val="000000"/>
                <w:sz w:val="18"/>
                <w:szCs w:val="18"/>
                <w:lang w:val="sr-Latn-RS" w:eastAsia="sr-Latn-RS"/>
              </w:rPr>
            </w:pPr>
            <w:r w:rsidRPr="0034641B">
              <w:rPr>
                <w:rFonts w:ascii="Calibri" w:eastAsia="Times New Roman" w:hAnsi="Calibri" w:cs="Times New Roman"/>
                <w:color w:val="000000"/>
                <w:sz w:val="18"/>
                <w:szCs w:val="18"/>
                <w:lang w:val="sr-Latn-RS" w:eastAsia="sr-Latn-RS"/>
              </w:rPr>
              <w:t>4.308</w:t>
            </w:r>
          </w:p>
        </w:tc>
      </w:tr>
      <w:tr w:rsidR="0034641B" w:rsidRPr="0034641B" w:rsidTr="0034641B">
        <w:trPr>
          <w:trHeight w:val="299"/>
        </w:trPr>
        <w:tc>
          <w:tcPr>
            <w:tcW w:w="802"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 </w:t>
            </w:r>
          </w:p>
        </w:tc>
        <w:tc>
          <w:tcPr>
            <w:tcW w:w="2789"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Укупно (ред.бр.од 1 до 3)</w:t>
            </w:r>
          </w:p>
        </w:tc>
        <w:tc>
          <w:tcPr>
            <w:tcW w:w="1820"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jc w:val="right"/>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702.888</w:t>
            </w:r>
          </w:p>
        </w:tc>
        <w:tc>
          <w:tcPr>
            <w:tcW w:w="1954"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jc w:val="right"/>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212.633</w:t>
            </w:r>
          </w:p>
        </w:tc>
        <w:tc>
          <w:tcPr>
            <w:tcW w:w="2071" w:type="dxa"/>
            <w:tcBorders>
              <w:top w:val="nil"/>
              <w:left w:val="nil"/>
              <w:bottom w:val="nil"/>
              <w:right w:val="nil"/>
            </w:tcBorders>
            <w:shd w:val="clear" w:color="000000" w:fill="9BC2E6"/>
            <w:noWrap/>
            <w:vAlign w:val="bottom"/>
            <w:hideMark/>
          </w:tcPr>
          <w:p w:rsidR="0034641B" w:rsidRPr="0034641B" w:rsidRDefault="0034641B" w:rsidP="0034641B">
            <w:pPr>
              <w:spacing w:after="0" w:line="240" w:lineRule="auto"/>
              <w:jc w:val="right"/>
              <w:rPr>
                <w:rFonts w:ascii="Calibri" w:eastAsia="Times New Roman" w:hAnsi="Calibri" w:cs="Times New Roman"/>
                <w:b/>
                <w:bCs/>
                <w:color w:val="000000"/>
                <w:sz w:val="18"/>
                <w:szCs w:val="18"/>
                <w:lang w:val="sr-Latn-RS" w:eastAsia="sr-Latn-RS"/>
              </w:rPr>
            </w:pPr>
            <w:r w:rsidRPr="0034641B">
              <w:rPr>
                <w:rFonts w:ascii="Calibri" w:eastAsia="Times New Roman" w:hAnsi="Calibri" w:cs="Times New Roman"/>
                <w:b/>
                <w:bCs/>
                <w:color w:val="000000"/>
                <w:sz w:val="18"/>
                <w:szCs w:val="18"/>
                <w:lang w:val="sr-Latn-RS" w:eastAsia="sr-Latn-RS"/>
              </w:rPr>
              <w:t>490.255</w:t>
            </w:r>
          </w:p>
        </w:tc>
      </w:tr>
    </w:tbl>
    <w:p w:rsidR="0034641B" w:rsidRPr="00AA4A36" w:rsidRDefault="0034641B" w:rsidP="0034641B">
      <w:pPr>
        <w:pStyle w:val="NoSpacing"/>
        <w:rPr>
          <w:rFonts w:ascii="Tahoma" w:hAnsi="Tahoma" w:cs="Tahoma"/>
          <w:noProof/>
          <w:color w:val="000000" w:themeColor="text1"/>
          <w:sz w:val="20"/>
          <w:szCs w:val="18"/>
          <w:lang w:val="sr-Cyrl-CS"/>
        </w:rPr>
      </w:pPr>
    </w:p>
    <w:p w:rsidR="00D16B74" w:rsidRPr="0034641B" w:rsidRDefault="0034641B" w:rsidP="0034641B">
      <w:pPr>
        <w:pStyle w:val="NoSpacing"/>
        <w:jc w:val="both"/>
        <w:rPr>
          <w:rFonts w:cs="Tahoma"/>
          <w:noProof/>
          <w:color w:val="000000" w:themeColor="text1"/>
          <w:sz w:val="20"/>
          <w:szCs w:val="20"/>
          <w:lang w:val="sr-Cyrl-CS"/>
        </w:rPr>
      </w:pPr>
      <w:r>
        <w:rPr>
          <w:rFonts w:cs="Tahoma"/>
          <w:noProof/>
          <w:color w:val="000000" w:themeColor="text1"/>
          <w:sz w:val="20"/>
          <w:szCs w:val="20"/>
          <w:lang w:val="sr-Cyrl-CS"/>
        </w:rPr>
        <w:t>Укупна потр</w:t>
      </w:r>
      <w:r w:rsidR="007E3D96">
        <w:rPr>
          <w:rFonts w:cs="Tahoma"/>
          <w:noProof/>
          <w:color w:val="000000" w:themeColor="text1"/>
          <w:sz w:val="20"/>
          <w:szCs w:val="20"/>
          <w:lang w:val="sr-Cyrl-CS"/>
        </w:rPr>
        <w:t>аживања у земљи износе 702.888</w:t>
      </w:r>
      <w:r>
        <w:rPr>
          <w:rFonts w:cs="Tahoma"/>
          <w:noProof/>
          <w:color w:val="000000" w:themeColor="text1"/>
          <w:sz w:val="20"/>
          <w:szCs w:val="20"/>
          <w:lang w:val="sr-Cyrl-CS"/>
        </w:rPr>
        <w:t xml:space="preserve"> </w:t>
      </w:r>
      <w:r w:rsidR="007E3D96">
        <w:rPr>
          <w:rFonts w:cs="Tahoma"/>
          <w:noProof/>
          <w:color w:val="000000" w:themeColor="text1"/>
          <w:sz w:val="20"/>
          <w:szCs w:val="20"/>
          <w:lang w:val="sr-Cyrl-CS"/>
        </w:rPr>
        <w:t xml:space="preserve">хиљада динара </w:t>
      </w:r>
      <w:r>
        <w:rPr>
          <w:rFonts w:cs="Tahoma"/>
          <w:noProof/>
          <w:color w:val="000000" w:themeColor="text1"/>
          <w:sz w:val="20"/>
          <w:szCs w:val="20"/>
          <w:lang w:val="sr-Cyrl-CS"/>
        </w:rPr>
        <w:t xml:space="preserve">од тога 98,94% се односи на премију, 0,36% се односи на </w:t>
      </w:r>
      <w:r w:rsidR="00CB2765">
        <w:rPr>
          <w:rFonts w:cs="Tahoma"/>
          <w:noProof/>
          <w:color w:val="000000" w:themeColor="text1"/>
          <w:sz w:val="20"/>
          <w:szCs w:val="20"/>
          <w:lang w:val="sr-Cyrl-CS"/>
        </w:rPr>
        <w:t>провизију</w:t>
      </w:r>
      <w:r>
        <w:rPr>
          <w:rFonts w:cs="Tahoma"/>
          <w:noProof/>
          <w:color w:val="000000" w:themeColor="text1"/>
          <w:sz w:val="20"/>
          <w:szCs w:val="20"/>
          <w:lang w:val="sr-Cyrl-CS"/>
        </w:rPr>
        <w:t xml:space="preserve"> и 0,69% на </w:t>
      </w:r>
      <w:r w:rsidR="00CB2765">
        <w:rPr>
          <w:rFonts w:cs="Tahoma"/>
          <w:noProof/>
          <w:color w:val="000000" w:themeColor="text1"/>
          <w:sz w:val="20"/>
          <w:szCs w:val="20"/>
          <w:lang w:val="sr-Cyrl-CS"/>
        </w:rPr>
        <w:t>штете</w:t>
      </w:r>
      <w:r>
        <w:rPr>
          <w:rFonts w:cs="Tahoma"/>
          <w:noProof/>
          <w:color w:val="000000" w:themeColor="text1"/>
          <w:sz w:val="20"/>
          <w:szCs w:val="20"/>
          <w:lang w:val="sr-Cyrl-CS"/>
        </w:rPr>
        <w:t>.</w:t>
      </w:r>
    </w:p>
    <w:p w:rsidR="0034641B" w:rsidRPr="0034641B" w:rsidRDefault="0034641B" w:rsidP="0034641B">
      <w:pPr>
        <w:pStyle w:val="NoSpacing"/>
        <w:rPr>
          <w:rFonts w:ascii="Tahoma" w:hAnsi="Tahoma" w:cs="Tahoma"/>
          <w:noProof/>
          <w:color w:val="000000" w:themeColor="text1"/>
          <w:sz w:val="20"/>
          <w:szCs w:val="20"/>
          <w:lang w:val="sr-Cyrl-CS"/>
        </w:rPr>
      </w:pPr>
      <w:r>
        <w:rPr>
          <w:rFonts w:ascii="Tahoma" w:hAnsi="Tahoma" w:cs="Tahoma"/>
          <w:noProof/>
          <w:color w:val="000000" w:themeColor="text1"/>
          <w:sz w:val="20"/>
          <w:szCs w:val="20"/>
          <w:lang w:val="sr-Cyrl-CS"/>
        </w:rPr>
        <w:t xml:space="preserve"> </w:t>
      </w:r>
    </w:p>
    <w:p w:rsidR="00D16B74" w:rsidRPr="00BF3CDE" w:rsidRDefault="00D16B74" w:rsidP="00E847DA">
      <w:pPr>
        <w:spacing w:before="240" w:after="0"/>
        <w:jc w:val="center"/>
        <w:rPr>
          <w:b/>
          <w:i/>
          <w:noProof/>
          <w:color w:val="4F81BD" w:themeColor="accent1"/>
          <w:sz w:val="20"/>
          <w:lang w:val="sr-Cyrl-CS"/>
        </w:rPr>
      </w:pPr>
      <w:r w:rsidRPr="00BF3CDE">
        <w:rPr>
          <w:b/>
          <w:i/>
          <w:noProof/>
          <w:color w:val="4F81BD" w:themeColor="accent1"/>
          <w:sz w:val="20"/>
          <w:lang w:val="sr-Cyrl-CS"/>
        </w:rPr>
        <w:t>5 највећих дужника у иностранству</w:t>
      </w:r>
    </w:p>
    <w:p w:rsidR="00D16B74" w:rsidRDefault="00AA4A36" w:rsidP="00D16B74">
      <w:pPr>
        <w:pStyle w:val="NoSpacing"/>
        <w:jc w:val="right"/>
        <w:rPr>
          <w:rFonts w:ascii="Tahoma" w:hAnsi="Tahoma" w:cs="Tahoma"/>
          <w:noProof/>
          <w:color w:val="000000" w:themeColor="text1"/>
          <w:sz w:val="20"/>
          <w:szCs w:val="18"/>
          <w:lang w:val="sr-Cyrl-CS"/>
        </w:rPr>
      </w:pPr>
      <w:r w:rsidRPr="00AA4A36">
        <w:rPr>
          <w:rFonts w:ascii="Tahoma" w:hAnsi="Tahoma" w:cs="Tahoma"/>
          <w:noProof/>
          <w:color w:val="000000" w:themeColor="text1"/>
          <w:sz w:val="20"/>
          <w:szCs w:val="18"/>
          <w:lang w:val="sr-Cyrl-CS"/>
        </w:rPr>
        <w:t xml:space="preserve">    </w:t>
      </w:r>
      <w:r w:rsidR="00D16B74" w:rsidRPr="00AA4A36">
        <w:rPr>
          <w:rFonts w:ascii="Tahoma" w:hAnsi="Tahoma" w:cs="Tahoma"/>
          <w:noProof/>
          <w:color w:val="000000" w:themeColor="text1"/>
          <w:sz w:val="20"/>
          <w:szCs w:val="18"/>
          <w:lang w:val="sr-Cyrl-CS"/>
        </w:rPr>
        <w:t>У 000 РСД</w:t>
      </w:r>
    </w:p>
    <w:tbl>
      <w:tblPr>
        <w:tblW w:w="9345" w:type="dxa"/>
        <w:tblInd w:w="93" w:type="dxa"/>
        <w:tblLook w:val="04A0" w:firstRow="1" w:lastRow="0" w:firstColumn="1" w:lastColumn="0" w:noHBand="0" w:noVBand="1"/>
      </w:tblPr>
      <w:tblGrid>
        <w:gridCol w:w="693"/>
        <w:gridCol w:w="3240"/>
        <w:gridCol w:w="1804"/>
        <w:gridCol w:w="1804"/>
        <w:gridCol w:w="1804"/>
      </w:tblGrid>
      <w:tr w:rsidR="00CB2765" w:rsidRPr="00CB2765" w:rsidTr="00CB2765">
        <w:trPr>
          <w:trHeight w:val="282"/>
        </w:trPr>
        <w:tc>
          <w:tcPr>
            <w:tcW w:w="693" w:type="dxa"/>
            <w:tcBorders>
              <w:top w:val="nil"/>
              <w:left w:val="nil"/>
              <w:bottom w:val="single" w:sz="4" w:space="0" w:color="auto"/>
              <w:right w:val="nil"/>
            </w:tcBorders>
            <w:shd w:val="clear" w:color="auto" w:fill="auto"/>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lang w:val="sr-Latn-RS" w:eastAsia="sr-Latn-RS"/>
              </w:rPr>
            </w:pPr>
            <w:r w:rsidRPr="00CB2765">
              <w:rPr>
                <w:rFonts w:ascii="Calibri" w:eastAsia="Times New Roman" w:hAnsi="Calibri" w:cs="Times New Roman"/>
                <w:color w:val="000000"/>
                <w:lang w:val="sr-Latn-RS" w:eastAsia="sr-Latn-RS"/>
              </w:rPr>
              <w:t>РБ</w:t>
            </w:r>
          </w:p>
        </w:tc>
        <w:tc>
          <w:tcPr>
            <w:tcW w:w="3240" w:type="dxa"/>
            <w:tcBorders>
              <w:top w:val="nil"/>
              <w:left w:val="nil"/>
              <w:bottom w:val="single" w:sz="4" w:space="0" w:color="auto"/>
              <w:right w:val="nil"/>
            </w:tcBorders>
            <w:shd w:val="clear" w:color="auto" w:fill="auto"/>
            <w:noWrap/>
            <w:vAlign w:val="bottom"/>
            <w:hideMark/>
          </w:tcPr>
          <w:p w:rsidR="00CB2765" w:rsidRPr="00E35037" w:rsidRDefault="00CB2765" w:rsidP="00E35037">
            <w:pPr>
              <w:spacing w:after="0" w:line="240" w:lineRule="auto"/>
              <w:jc w:val="center"/>
              <w:rPr>
                <w:rFonts w:ascii="Calibri" w:eastAsia="Times New Roman" w:hAnsi="Calibri" w:cs="Times New Roman"/>
                <w:color w:val="000000"/>
                <w:lang w:val="sr-Cyrl-RS" w:eastAsia="sr-Latn-RS"/>
              </w:rPr>
            </w:pPr>
            <w:r w:rsidRPr="00CB2765">
              <w:rPr>
                <w:rFonts w:ascii="Calibri" w:eastAsia="Times New Roman" w:hAnsi="Calibri" w:cs="Times New Roman"/>
                <w:color w:val="000000"/>
                <w:lang w:val="sr-Latn-RS" w:eastAsia="sr-Latn-RS"/>
              </w:rPr>
              <w:t xml:space="preserve">Назив </w:t>
            </w:r>
            <w:r w:rsidR="00E35037">
              <w:rPr>
                <w:rFonts w:ascii="Calibri" w:eastAsia="Times New Roman" w:hAnsi="Calibri" w:cs="Times New Roman"/>
                <w:color w:val="000000"/>
                <w:lang w:val="sr-Cyrl-RS" w:eastAsia="sr-Latn-RS"/>
              </w:rPr>
              <w:t>дужника</w:t>
            </w:r>
          </w:p>
        </w:tc>
        <w:tc>
          <w:tcPr>
            <w:tcW w:w="1804" w:type="dxa"/>
            <w:tcBorders>
              <w:top w:val="nil"/>
              <w:left w:val="nil"/>
              <w:bottom w:val="single" w:sz="4" w:space="0" w:color="auto"/>
              <w:right w:val="nil"/>
            </w:tcBorders>
            <w:shd w:val="clear" w:color="auto" w:fill="auto"/>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lang w:val="sr-Latn-RS" w:eastAsia="sr-Latn-RS"/>
              </w:rPr>
            </w:pPr>
            <w:r w:rsidRPr="00CB2765">
              <w:rPr>
                <w:rFonts w:ascii="Calibri" w:eastAsia="Times New Roman" w:hAnsi="Calibri" w:cs="Times New Roman"/>
                <w:color w:val="000000"/>
                <w:lang w:val="sr-Latn-RS" w:eastAsia="sr-Latn-RS"/>
              </w:rPr>
              <w:t>Укупна потраживања</w:t>
            </w:r>
          </w:p>
        </w:tc>
        <w:tc>
          <w:tcPr>
            <w:tcW w:w="1804" w:type="dxa"/>
            <w:tcBorders>
              <w:top w:val="nil"/>
              <w:left w:val="nil"/>
              <w:bottom w:val="single" w:sz="4" w:space="0" w:color="auto"/>
              <w:right w:val="nil"/>
            </w:tcBorders>
            <w:shd w:val="clear" w:color="auto" w:fill="auto"/>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lang w:val="sr-Latn-RS" w:eastAsia="sr-Latn-RS"/>
              </w:rPr>
            </w:pPr>
            <w:r w:rsidRPr="00CB2765">
              <w:rPr>
                <w:rFonts w:ascii="Calibri" w:eastAsia="Times New Roman" w:hAnsi="Calibri" w:cs="Times New Roman"/>
                <w:color w:val="000000"/>
                <w:lang w:val="sr-Latn-RS" w:eastAsia="sr-Latn-RS"/>
              </w:rPr>
              <w:t>Доспела потраживања</w:t>
            </w:r>
          </w:p>
        </w:tc>
        <w:tc>
          <w:tcPr>
            <w:tcW w:w="1804" w:type="dxa"/>
            <w:tcBorders>
              <w:top w:val="nil"/>
              <w:left w:val="nil"/>
              <w:bottom w:val="single" w:sz="4" w:space="0" w:color="auto"/>
              <w:right w:val="nil"/>
            </w:tcBorders>
            <w:shd w:val="clear" w:color="auto" w:fill="auto"/>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lang w:val="sr-Latn-RS" w:eastAsia="sr-Latn-RS"/>
              </w:rPr>
            </w:pPr>
            <w:r w:rsidRPr="00CB2765">
              <w:rPr>
                <w:rFonts w:ascii="Calibri" w:eastAsia="Times New Roman" w:hAnsi="Calibri" w:cs="Times New Roman"/>
                <w:color w:val="000000"/>
                <w:lang w:val="sr-Latn-RS" w:eastAsia="sr-Latn-RS"/>
              </w:rPr>
              <w:t>Недоспела потраљивањ</w:t>
            </w:r>
          </w:p>
        </w:tc>
      </w:tr>
      <w:tr w:rsidR="00CB2765" w:rsidRPr="00CB2765" w:rsidTr="00CB2765">
        <w:trPr>
          <w:trHeight w:val="282"/>
        </w:trPr>
        <w:tc>
          <w:tcPr>
            <w:tcW w:w="693"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w:t>
            </w:r>
          </w:p>
        </w:tc>
        <w:tc>
          <w:tcPr>
            <w:tcW w:w="3240"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Guy Carpenter&amp;Company GmbH, London,England</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50.447</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13.451</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36.996</w:t>
            </w:r>
          </w:p>
        </w:tc>
      </w:tr>
      <w:tr w:rsidR="00CB2765" w:rsidRPr="00CB2765" w:rsidTr="00CB2765">
        <w:trPr>
          <w:trHeight w:val="282"/>
        </w:trPr>
        <w:tc>
          <w:tcPr>
            <w:tcW w:w="693"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w:t>
            </w:r>
          </w:p>
        </w:tc>
        <w:tc>
          <w:tcPr>
            <w:tcW w:w="3240"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Sava RE dd, Ljubljana</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39.153</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22.522</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16.631</w:t>
            </w:r>
          </w:p>
        </w:tc>
      </w:tr>
      <w:tr w:rsidR="00CB2765" w:rsidRPr="00CB2765" w:rsidTr="00CB2765">
        <w:trPr>
          <w:trHeight w:val="282"/>
        </w:trPr>
        <w:tc>
          <w:tcPr>
            <w:tcW w:w="693"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3</w:t>
            </w:r>
          </w:p>
        </w:tc>
        <w:tc>
          <w:tcPr>
            <w:tcW w:w="3240"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Interlink Ins.&amp;Reins.Brokers Pvt.Ltd. India</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35.205</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34.876</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329</w:t>
            </w:r>
          </w:p>
        </w:tc>
      </w:tr>
      <w:tr w:rsidR="00CB2765" w:rsidRPr="00CB2765" w:rsidTr="00CB2765">
        <w:trPr>
          <w:trHeight w:val="282"/>
        </w:trPr>
        <w:tc>
          <w:tcPr>
            <w:tcW w:w="693"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4</w:t>
            </w:r>
          </w:p>
        </w:tc>
        <w:tc>
          <w:tcPr>
            <w:tcW w:w="3240"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AON Benfield, Czech Republic</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25.493</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1.100</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24.393</w:t>
            </w:r>
          </w:p>
        </w:tc>
      </w:tr>
      <w:tr w:rsidR="00CB2765" w:rsidRPr="00CB2765" w:rsidTr="00CB2765">
        <w:trPr>
          <w:trHeight w:val="282"/>
        </w:trPr>
        <w:tc>
          <w:tcPr>
            <w:tcW w:w="693"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5</w:t>
            </w:r>
          </w:p>
        </w:tc>
        <w:tc>
          <w:tcPr>
            <w:tcW w:w="3240"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Qatar Insurance Company, Dubai Branch</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24.912</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24.912</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0</w:t>
            </w:r>
          </w:p>
        </w:tc>
      </w:tr>
      <w:tr w:rsidR="00CB2765" w:rsidRPr="00CB2765" w:rsidTr="00CB2765">
        <w:trPr>
          <w:trHeight w:val="297"/>
        </w:trPr>
        <w:tc>
          <w:tcPr>
            <w:tcW w:w="693" w:type="dxa"/>
            <w:tcBorders>
              <w:top w:val="nil"/>
              <w:left w:val="nil"/>
              <w:bottom w:val="double" w:sz="6" w:space="0" w:color="auto"/>
              <w:right w:val="nil"/>
            </w:tcBorders>
            <w:shd w:val="clear" w:color="auto" w:fill="auto"/>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6</w:t>
            </w:r>
          </w:p>
        </w:tc>
        <w:tc>
          <w:tcPr>
            <w:tcW w:w="3240" w:type="dxa"/>
            <w:tcBorders>
              <w:top w:val="nil"/>
              <w:left w:val="nil"/>
              <w:bottom w:val="double" w:sz="6" w:space="0" w:color="auto"/>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Остало</w:t>
            </w:r>
          </w:p>
        </w:tc>
        <w:tc>
          <w:tcPr>
            <w:tcW w:w="1804" w:type="dxa"/>
            <w:tcBorders>
              <w:top w:val="nil"/>
              <w:left w:val="nil"/>
              <w:bottom w:val="double" w:sz="6" w:space="0" w:color="auto"/>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141.575</w:t>
            </w:r>
          </w:p>
        </w:tc>
        <w:tc>
          <w:tcPr>
            <w:tcW w:w="1804" w:type="dxa"/>
            <w:tcBorders>
              <w:top w:val="nil"/>
              <w:left w:val="nil"/>
              <w:bottom w:val="double" w:sz="6" w:space="0" w:color="auto"/>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55.041</w:t>
            </w:r>
          </w:p>
        </w:tc>
        <w:tc>
          <w:tcPr>
            <w:tcW w:w="1804" w:type="dxa"/>
            <w:tcBorders>
              <w:top w:val="nil"/>
              <w:left w:val="nil"/>
              <w:bottom w:val="double" w:sz="6" w:space="0" w:color="auto"/>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86.534</w:t>
            </w:r>
          </w:p>
        </w:tc>
      </w:tr>
      <w:tr w:rsidR="00CB2765" w:rsidRPr="00CB2765" w:rsidTr="00CB2765">
        <w:trPr>
          <w:trHeight w:val="297"/>
        </w:trPr>
        <w:tc>
          <w:tcPr>
            <w:tcW w:w="693"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jc w:val="center"/>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 </w:t>
            </w:r>
          </w:p>
        </w:tc>
        <w:tc>
          <w:tcPr>
            <w:tcW w:w="3240"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Укупно (ред.бр.од 1 до 6)</w:t>
            </w:r>
          </w:p>
        </w:tc>
        <w:tc>
          <w:tcPr>
            <w:tcW w:w="1804"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jc w:val="right"/>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316.785</w:t>
            </w:r>
          </w:p>
        </w:tc>
        <w:tc>
          <w:tcPr>
            <w:tcW w:w="1804"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jc w:val="right"/>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151.902</w:t>
            </w:r>
          </w:p>
        </w:tc>
        <w:tc>
          <w:tcPr>
            <w:tcW w:w="1804"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jc w:val="right"/>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164.883</w:t>
            </w:r>
          </w:p>
        </w:tc>
      </w:tr>
      <w:tr w:rsidR="00CB2765" w:rsidRPr="00CB2765" w:rsidTr="00CB2765">
        <w:trPr>
          <w:trHeight w:val="282"/>
        </w:trPr>
        <w:tc>
          <w:tcPr>
            <w:tcW w:w="693"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p>
        </w:tc>
        <w:tc>
          <w:tcPr>
            <w:tcW w:w="3240"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p>
        </w:tc>
      </w:tr>
      <w:tr w:rsidR="00CB2765" w:rsidRPr="00CB2765" w:rsidTr="00CB2765">
        <w:trPr>
          <w:trHeight w:val="282"/>
        </w:trPr>
        <w:tc>
          <w:tcPr>
            <w:tcW w:w="693"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w:t>
            </w:r>
          </w:p>
        </w:tc>
        <w:tc>
          <w:tcPr>
            <w:tcW w:w="3240"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Премија</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19.132</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9.563</w:t>
            </w:r>
          </w:p>
        </w:tc>
        <w:tc>
          <w:tcPr>
            <w:tcW w:w="1804" w:type="dxa"/>
            <w:tcBorders>
              <w:top w:val="nil"/>
              <w:left w:val="nil"/>
              <w:bottom w:val="nil"/>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9.569</w:t>
            </w:r>
          </w:p>
        </w:tc>
      </w:tr>
      <w:tr w:rsidR="00CB2765" w:rsidRPr="00CB2765" w:rsidTr="00CB2765">
        <w:trPr>
          <w:trHeight w:val="282"/>
        </w:trPr>
        <w:tc>
          <w:tcPr>
            <w:tcW w:w="693"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w:t>
            </w:r>
          </w:p>
        </w:tc>
        <w:tc>
          <w:tcPr>
            <w:tcW w:w="3240"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Провизија</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24.723</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4.032</w:t>
            </w:r>
          </w:p>
        </w:tc>
        <w:tc>
          <w:tcPr>
            <w:tcW w:w="1804" w:type="dxa"/>
            <w:tcBorders>
              <w:top w:val="nil"/>
              <w:left w:val="nil"/>
              <w:bottom w:val="nil"/>
              <w:right w:val="nil"/>
            </w:tcBorders>
            <w:shd w:val="clear" w:color="auto" w:fill="auto"/>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20.691</w:t>
            </w:r>
          </w:p>
        </w:tc>
      </w:tr>
      <w:tr w:rsidR="00CB2765" w:rsidRPr="00CB2765" w:rsidTr="00CB2765">
        <w:trPr>
          <w:trHeight w:val="297"/>
        </w:trPr>
        <w:tc>
          <w:tcPr>
            <w:tcW w:w="693" w:type="dxa"/>
            <w:tcBorders>
              <w:top w:val="nil"/>
              <w:left w:val="nil"/>
              <w:bottom w:val="double" w:sz="6" w:space="0" w:color="auto"/>
              <w:right w:val="nil"/>
            </w:tcBorders>
            <w:shd w:val="clear" w:color="auto" w:fill="DBE5F1" w:themeFill="accent1" w:themeFillTint="33"/>
            <w:noWrap/>
            <w:vAlign w:val="bottom"/>
            <w:hideMark/>
          </w:tcPr>
          <w:p w:rsidR="00CB2765" w:rsidRPr="00CB2765" w:rsidRDefault="00CB2765" w:rsidP="00CB2765">
            <w:pPr>
              <w:spacing w:after="0" w:line="240" w:lineRule="auto"/>
              <w:jc w:val="center"/>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3</w:t>
            </w:r>
          </w:p>
        </w:tc>
        <w:tc>
          <w:tcPr>
            <w:tcW w:w="3240" w:type="dxa"/>
            <w:tcBorders>
              <w:top w:val="nil"/>
              <w:left w:val="nil"/>
              <w:bottom w:val="double" w:sz="6" w:space="0" w:color="auto"/>
              <w:right w:val="nil"/>
            </w:tcBorders>
            <w:shd w:val="clear" w:color="auto" w:fill="DBE5F1" w:themeFill="accent1" w:themeFillTint="33"/>
            <w:noWrap/>
            <w:vAlign w:val="bottom"/>
            <w:hideMark/>
          </w:tcPr>
          <w:p w:rsidR="00CB2765" w:rsidRPr="00CB2765" w:rsidRDefault="00CB2765" w:rsidP="00CB2765">
            <w:pPr>
              <w:spacing w:after="0" w:line="240" w:lineRule="auto"/>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Штете</w:t>
            </w:r>
          </w:p>
        </w:tc>
        <w:tc>
          <w:tcPr>
            <w:tcW w:w="1804" w:type="dxa"/>
            <w:tcBorders>
              <w:top w:val="nil"/>
              <w:left w:val="nil"/>
              <w:bottom w:val="double" w:sz="6" w:space="0" w:color="auto"/>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272.930</w:t>
            </w:r>
          </w:p>
        </w:tc>
        <w:tc>
          <w:tcPr>
            <w:tcW w:w="1804" w:type="dxa"/>
            <w:tcBorders>
              <w:top w:val="nil"/>
              <w:left w:val="nil"/>
              <w:bottom w:val="double" w:sz="6" w:space="0" w:color="auto"/>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138.307</w:t>
            </w:r>
          </w:p>
        </w:tc>
        <w:tc>
          <w:tcPr>
            <w:tcW w:w="1804" w:type="dxa"/>
            <w:tcBorders>
              <w:top w:val="nil"/>
              <w:left w:val="nil"/>
              <w:bottom w:val="double" w:sz="6" w:space="0" w:color="auto"/>
              <w:right w:val="nil"/>
            </w:tcBorders>
            <w:shd w:val="clear" w:color="auto" w:fill="DBE5F1" w:themeFill="accent1" w:themeFillTint="33"/>
            <w:noWrap/>
            <w:vAlign w:val="bottom"/>
            <w:hideMark/>
          </w:tcPr>
          <w:p w:rsidR="00CB2765" w:rsidRPr="00CB2765" w:rsidRDefault="00CB2765" w:rsidP="00CB2765">
            <w:pPr>
              <w:spacing w:after="0" w:line="240" w:lineRule="auto"/>
              <w:jc w:val="right"/>
              <w:rPr>
                <w:rFonts w:ascii="Calibri" w:eastAsia="Times New Roman" w:hAnsi="Calibri" w:cs="Times New Roman"/>
                <w:color w:val="000000"/>
                <w:sz w:val="18"/>
                <w:szCs w:val="18"/>
                <w:lang w:val="sr-Latn-RS" w:eastAsia="sr-Latn-RS"/>
              </w:rPr>
            </w:pPr>
            <w:r w:rsidRPr="00CB2765">
              <w:rPr>
                <w:rFonts w:ascii="Calibri" w:eastAsia="Times New Roman" w:hAnsi="Calibri" w:cs="Times New Roman"/>
                <w:color w:val="000000"/>
                <w:sz w:val="18"/>
                <w:szCs w:val="18"/>
                <w:lang w:val="sr-Latn-RS" w:eastAsia="sr-Latn-RS"/>
              </w:rPr>
              <w:t>134.623</w:t>
            </w:r>
          </w:p>
        </w:tc>
      </w:tr>
      <w:tr w:rsidR="00CB2765" w:rsidRPr="00CB2765" w:rsidTr="00CB2765">
        <w:trPr>
          <w:trHeight w:val="297"/>
        </w:trPr>
        <w:tc>
          <w:tcPr>
            <w:tcW w:w="693"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 </w:t>
            </w:r>
          </w:p>
        </w:tc>
        <w:tc>
          <w:tcPr>
            <w:tcW w:w="3240"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Укупно (ред.бр.од 1 до 3)</w:t>
            </w:r>
          </w:p>
        </w:tc>
        <w:tc>
          <w:tcPr>
            <w:tcW w:w="1804"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jc w:val="right"/>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316.785</w:t>
            </w:r>
          </w:p>
        </w:tc>
        <w:tc>
          <w:tcPr>
            <w:tcW w:w="1804"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jc w:val="right"/>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151.902</w:t>
            </w:r>
          </w:p>
        </w:tc>
        <w:tc>
          <w:tcPr>
            <w:tcW w:w="1804" w:type="dxa"/>
            <w:tcBorders>
              <w:top w:val="nil"/>
              <w:left w:val="nil"/>
              <w:bottom w:val="nil"/>
              <w:right w:val="nil"/>
            </w:tcBorders>
            <w:shd w:val="clear" w:color="000000" w:fill="9BC2E6"/>
            <w:noWrap/>
            <w:vAlign w:val="bottom"/>
            <w:hideMark/>
          </w:tcPr>
          <w:p w:rsidR="00CB2765" w:rsidRPr="00CB2765" w:rsidRDefault="00CB2765" w:rsidP="00CB2765">
            <w:pPr>
              <w:spacing w:after="0" w:line="240" w:lineRule="auto"/>
              <w:jc w:val="right"/>
              <w:rPr>
                <w:rFonts w:ascii="Calibri" w:eastAsia="Times New Roman" w:hAnsi="Calibri" w:cs="Times New Roman"/>
                <w:b/>
                <w:bCs/>
                <w:color w:val="000000"/>
                <w:sz w:val="18"/>
                <w:szCs w:val="18"/>
                <w:lang w:val="sr-Latn-RS" w:eastAsia="sr-Latn-RS"/>
              </w:rPr>
            </w:pPr>
            <w:r w:rsidRPr="00CB2765">
              <w:rPr>
                <w:rFonts w:ascii="Calibri" w:eastAsia="Times New Roman" w:hAnsi="Calibri" w:cs="Times New Roman"/>
                <w:b/>
                <w:bCs/>
                <w:color w:val="000000"/>
                <w:sz w:val="18"/>
                <w:szCs w:val="18"/>
                <w:lang w:val="sr-Latn-RS" w:eastAsia="sr-Latn-RS"/>
              </w:rPr>
              <w:t>164.883</w:t>
            </w:r>
          </w:p>
        </w:tc>
      </w:tr>
    </w:tbl>
    <w:p w:rsidR="00CB2765" w:rsidRDefault="00CB2765" w:rsidP="00D16B74">
      <w:pPr>
        <w:pStyle w:val="NoSpacing"/>
        <w:jc w:val="right"/>
        <w:rPr>
          <w:rFonts w:ascii="Tahoma" w:hAnsi="Tahoma" w:cs="Tahoma"/>
          <w:noProof/>
          <w:color w:val="000000" w:themeColor="text1"/>
          <w:sz w:val="20"/>
          <w:szCs w:val="18"/>
          <w:lang w:val="sr-Cyrl-CS"/>
        </w:rPr>
      </w:pPr>
    </w:p>
    <w:p w:rsidR="00CB2765" w:rsidRPr="0034641B" w:rsidRDefault="00CB2765" w:rsidP="00CB2765">
      <w:pPr>
        <w:pStyle w:val="NoSpacing"/>
        <w:jc w:val="both"/>
        <w:rPr>
          <w:rFonts w:cs="Tahoma"/>
          <w:noProof/>
          <w:color w:val="000000" w:themeColor="text1"/>
          <w:sz w:val="20"/>
          <w:szCs w:val="20"/>
          <w:lang w:val="sr-Cyrl-CS"/>
        </w:rPr>
      </w:pPr>
      <w:r>
        <w:rPr>
          <w:rFonts w:cs="Tahoma"/>
          <w:noProof/>
          <w:color w:val="000000" w:themeColor="text1"/>
          <w:sz w:val="20"/>
          <w:szCs w:val="20"/>
          <w:lang w:val="sr-Cyrl-CS"/>
        </w:rPr>
        <w:t xml:space="preserve">Укупна потраживања у </w:t>
      </w:r>
      <w:r w:rsidR="00BE583D">
        <w:rPr>
          <w:rFonts w:cs="Tahoma"/>
          <w:noProof/>
          <w:color w:val="000000" w:themeColor="text1"/>
          <w:sz w:val="20"/>
          <w:szCs w:val="20"/>
          <w:lang w:val="sr-Cyrl-CS"/>
        </w:rPr>
        <w:t>иностранству</w:t>
      </w:r>
      <w:r>
        <w:rPr>
          <w:rFonts w:cs="Tahoma"/>
          <w:noProof/>
          <w:color w:val="000000" w:themeColor="text1"/>
          <w:sz w:val="20"/>
          <w:szCs w:val="20"/>
          <w:lang w:val="sr-Cyrl-CS"/>
        </w:rPr>
        <w:t xml:space="preserve"> износе 316.785 </w:t>
      </w:r>
      <w:r w:rsidR="007E3D96">
        <w:rPr>
          <w:rFonts w:cs="Tahoma"/>
          <w:noProof/>
          <w:color w:val="000000" w:themeColor="text1"/>
          <w:sz w:val="20"/>
          <w:szCs w:val="20"/>
          <w:lang w:val="sr-Cyrl-CS"/>
        </w:rPr>
        <w:t xml:space="preserve">хиљада динара </w:t>
      </w:r>
      <w:r>
        <w:rPr>
          <w:rFonts w:cs="Tahoma"/>
          <w:noProof/>
          <w:color w:val="000000" w:themeColor="text1"/>
          <w:sz w:val="20"/>
          <w:szCs w:val="20"/>
          <w:lang w:val="sr-Cyrl-CS"/>
        </w:rPr>
        <w:t>од тога 6,04% се односи на премију, 7,80% се односи на провизију и 86,16% на штете.</w:t>
      </w:r>
    </w:p>
    <w:p w:rsidR="00CB2765" w:rsidRPr="00AA4A36" w:rsidRDefault="00CB2765" w:rsidP="00D16B74">
      <w:pPr>
        <w:pStyle w:val="NoSpacing"/>
        <w:jc w:val="right"/>
        <w:rPr>
          <w:rFonts w:ascii="Tahoma" w:hAnsi="Tahoma" w:cs="Tahoma"/>
          <w:noProof/>
          <w:color w:val="000000" w:themeColor="text1"/>
          <w:sz w:val="20"/>
          <w:szCs w:val="18"/>
          <w:lang w:val="sr-Cyrl-CS"/>
        </w:rPr>
      </w:pPr>
    </w:p>
    <w:p w:rsidR="00DC51FA" w:rsidRPr="00BF3CDE" w:rsidRDefault="00DC51FA" w:rsidP="00860C32">
      <w:pPr>
        <w:pStyle w:val="Heading1"/>
      </w:pPr>
      <w:bookmarkStart w:id="31" w:name="_Toc445975030"/>
      <w:r w:rsidRPr="00BF3CDE">
        <w:t>УКУПНА ПАСИВА</w:t>
      </w:r>
      <w:r w:rsidR="00492321" w:rsidRPr="00BF3CDE">
        <w:t xml:space="preserve"> НА ДАН 31.12.201</w:t>
      </w:r>
      <w:r w:rsidR="002225E7">
        <w:t>5</w:t>
      </w:r>
      <w:r w:rsidR="00492321" w:rsidRPr="00BF3CDE">
        <w:t>.</w:t>
      </w:r>
      <w:bookmarkEnd w:id="31"/>
      <w:r w:rsidR="00492321" w:rsidRPr="00BF3CDE">
        <w:t xml:space="preserve"> </w:t>
      </w:r>
    </w:p>
    <w:p w:rsidR="00C9033A" w:rsidRDefault="00E03E1D" w:rsidP="00AE6FEE">
      <w:pPr>
        <w:spacing w:after="0"/>
        <w:ind w:firstLine="567"/>
        <w:jc w:val="both"/>
        <w:rPr>
          <w:noProof/>
          <w:sz w:val="20"/>
          <w:szCs w:val="20"/>
          <w:lang w:val="sr-Latn-RS"/>
        </w:rPr>
      </w:pPr>
      <w:r w:rsidRPr="00BF3CDE">
        <w:rPr>
          <w:noProof/>
          <w:sz w:val="20"/>
          <w:szCs w:val="20"/>
          <w:lang w:val="sr-Cyrl-CS"/>
        </w:rPr>
        <w:t xml:space="preserve">Укупна пасива Друштва износи </w:t>
      </w:r>
      <w:r w:rsidR="002225E7">
        <w:rPr>
          <w:noProof/>
          <w:sz w:val="20"/>
          <w:szCs w:val="20"/>
          <w:lang w:val="sr-Latn-RS"/>
        </w:rPr>
        <w:t>4.777.902</w:t>
      </w:r>
      <w:r w:rsidR="00B51D5E" w:rsidRPr="00BF3CDE">
        <w:rPr>
          <w:noProof/>
          <w:sz w:val="20"/>
          <w:szCs w:val="20"/>
          <w:lang w:val="sr-Cyrl-CS"/>
        </w:rPr>
        <w:t xml:space="preserve"> </w:t>
      </w:r>
      <w:r w:rsidRPr="00BF3CDE">
        <w:rPr>
          <w:noProof/>
          <w:sz w:val="20"/>
          <w:szCs w:val="20"/>
          <w:lang w:val="sr-Cyrl-CS"/>
        </w:rPr>
        <w:t>хиљада динара</w:t>
      </w:r>
      <w:r w:rsidR="00AE6FEE" w:rsidRPr="00BF3CDE">
        <w:rPr>
          <w:noProof/>
          <w:sz w:val="20"/>
          <w:szCs w:val="20"/>
          <w:lang w:val="sr-Cyrl-CS"/>
        </w:rPr>
        <w:t xml:space="preserve"> и</w:t>
      </w:r>
      <w:r w:rsidR="00C9033A" w:rsidRPr="00BF3CDE">
        <w:rPr>
          <w:noProof/>
          <w:sz w:val="20"/>
          <w:szCs w:val="20"/>
          <w:lang w:val="sr-Cyrl-CS"/>
        </w:rPr>
        <w:t xml:space="preserve"> </w:t>
      </w:r>
      <w:r w:rsidR="002225E7">
        <w:rPr>
          <w:noProof/>
          <w:sz w:val="20"/>
          <w:szCs w:val="20"/>
          <w:lang w:val="sr-Cyrl-RS"/>
        </w:rPr>
        <w:t>већа</w:t>
      </w:r>
      <w:r w:rsidR="00C9033A" w:rsidRPr="00BF3CDE">
        <w:rPr>
          <w:noProof/>
          <w:sz w:val="20"/>
          <w:szCs w:val="20"/>
          <w:lang w:val="sr-Cyrl-CS"/>
        </w:rPr>
        <w:t xml:space="preserve"> је за </w:t>
      </w:r>
      <w:r w:rsidR="002225E7">
        <w:rPr>
          <w:noProof/>
          <w:sz w:val="20"/>
          <w:szCs w:val="20"/>
          <w:lang w:val="sr-Cyrl-CS"/>
        </w:rPr>
        <w:t>8,78</w:t>
      </w:r>
      <w:r w:rsidR="00C9033A" w:rsidRPr="00BF3CDE">
        <w:rPr>
          <w:noProof/>
          <w:sz w:val="20"/>
          <w:szCs w:val="20"/>
          <w:lang w:val="sr-Cyrl-CS"/>
        </w:rPr>
        <w:t>% у односу на исти период прошле године.</w:t>
      </w:r>
    </w:p>
    <w:tbl>
      <w:tblPr>
        <w:tblW w:w="9501" w:type="dxa"/>
        <w:tblInd w:w="93" w:type="dxa"/>
        <w:tblLook w:val="04A0" w:firstRow="1" w:lastRow="0" w:firstColumn="1" w:lastColumn="0" w:noHBand="0" w:noVBand="1"/>
      </w:tblPr>
      <w:tblGrid>
        <w:gridCol w:w="601"/>
        <w:gridCol w:w="3440"/>
        <w:gridCol w:w="1666"/>
        <w:gridCol w:w="2142"/>
        <w:gridCol w:w="1652"/>
      </w:tblGrid>
      <w:tr w:rsidR="00AE28A8" w:rsidRPr="00AE28A8" w:rsidTr="00AE28A8">
        <w:trPr>
          <w:trHeight w:val="478"/>
        </w:trPr>
        <w:tc>
          <w:tcPr>
            <w:tcW w:w="601" w:type="dxa"/>
            <w:tcBorders>
              <w:top w:val="nil"/>
              <w:left w:val="nil"/>
              <w:bottom w:val="single" w:sz="8" w:space="0" w:color="629DD1"/>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bCs/>
                <w:color w:val="000000"/>
                <w:sz w:val="18"/>
                <w:szCs w:val="18"/>
                <w:lang w:val="sr-Latn-RS" w:eastAsia="sr-Latn-RS"/>
              </w:rPr>
            </w:pPr>
            <w:r w:rsidRPr="00065460">
              <w:rPr>
                <w:rFonts w:ascii="Calibri" w:eastAsia="Times New Roman" w:hAnsi="Calibri" w:cs="Times New Roman"/>
                <w:bCs/>
                <w:color w:val="000000"/>
                <w:sz w:val="18"/>
                <w:szCs w:val="18"/>
                <w:lang w:val="sr-Cyrl-CS" w:eastAsia="sr-Latn-RS"/>
              </w:rPr>
              <w:t>Р.Б.</w:t>
            </w:r>
          </w:p>
        </w:tc>
        <w:tc>
          <w:tcPr>
            <w:tcW w:w="3440" w:type="dxa"/>
            <w:tcBorders>
              <w:top w:val="nil"/>
              <w:left w:val="nil"/>
              <w:bottom w:val="single" w:sz="8" w:space="0" w:color="629DD1"/>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bCs/>
                <w:color w:val="000000"/>
                <w:sz w:val="18"/>
                <w:szCs w:val="18"/>
                <w:lang w:val="sr-Latn-RS" w:eastAsia="sr-Latn-RS"/>
              </w:rPr>
            </w:pPr>
            <w:r w:rsidRPr="00065460">
              <w:rPr>
                <w:rFonts w:ascii="Calibri" w:eastAsia="Times New Roman" w:hAnsi="Calibri" w:cs="Times New Roman"/>
                <w:bCs/>
                <w:color w:val="000000"/>
                <w:sz w:val="18"/>
                <w:szCs w:val="18"/>
                <w:lang w:val="sr-Cyrl-CS" w:eastAsia="sr-Latn-RS"/>
              </w:rPr>
              <w:t>КАТЕГОРИЈА</w:t>
            </w:r>
          </w:p>
        </w:tc>
        <w:tc>
          <w:tcPr>
            <w:tcW w:w="1666" w:type="dxa"/>
            <w:tcBorders>
              <w:top w:val="nil"/>
              <w:left w:val="nil"/>
              <w:bottom w:val="single" w:sz="8" w:space="0" w:color="629DD1"/>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bCs/>
                <w:color w:val="000000"/>
                <w:sz w:val="18"/>
                <w:szCs w:val="18"/>
                <w:lang w:val="sr-Latn-RS" w:eastAsia="sr-Latn-RS"/>
              </w:rPr>
            </w:pPr>
            <w:r w:rsidRPr="00065460">
              <w:rPr>
                <w:rFonts w:ascii="Calibri" w:eastAsia="Times New Roman" w:hAnsi="Calibri" w:cs="Times New Roman"/>
                <w:bCs/>
                <w:color w:val="000000"/>
                <w:sz w:val="18"/>
                <w:szCs w:val="18"/>
                <w:lang w:val="sr-Cyrl-CS" w:eastAsia="sr-Latn-RS"/>
              </w:rPr>
              <w:t>Стање на дан 31.12.2015.</w:t>
            </w:r>
          </w:p>
        </w:tc>
        <w:tc>
          <w:tcPr>
            <w:tcW w:w="2142" w:type="dxa"/>
            <w:tcBorders>
              <w:top w:val="nil"/>
              <w:left w:val="nil"/>
              <w:bottom w:val="single" w:sz="8" w:space="0" w:color="629DD1"/>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bCs/>
                <w:color w:val="000000"/>
                <w:sz w:val="18"/>
                <w:szCs w:val="18"/>
                <w:lang w:val="sr-Latn-RS" w:eastAsia="sr-Latn-RS"/>
              </w:rPr>
            </w:pPr>
            <w:r w:rsidRPr="00065460">
              <w:rPr>
                <w:rFonts w:ascii="Calibri" w:eastAsia="Times New Roman" w:hAnsi="Calibri" w:cs="Times New Roman"/>
                <w:bCs/>
                <w:color w:val="000000"/>
                <w:sz w:val="18"/>
                <w:szCs w:val="18"/>
                <w:lang w:val="sr-Cyrl-CS" w:eastAsia="sr-Latn-RS"/>
              </w:rPr>
              <w:t>Стање на дан 31.12.2014.</w:t>
            </w:r>
          </w:p>
        </w:tc>
        <w:tc>
          <w:tcPr>
            <w:tcW w:w="1652" w:type="dxa"/>
            <w:tcBorders>
              <w:top w:val="nil"/>
              <w:left w:val="nil"/>
              <w:bottom w:val="single" w:sz="8" w:space="0" w:color="629DD1"/>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bCs/>
                <w:color w:val="000000"/>
                <w:sz w:val="18"/>
                <w:szCs w:val="18"/>
                <w:lang w:val="sr-Latn-RS" w:eastAsia="sr-Latn-RS"/>
              </w:rPr>
            </w:pPr>
            <w:r w:rsidRPr="00065460">
              <w:rPr>
                <w:rFonts w:ascii="Calibri" w:eastAsia="Times New Roman" w:hAnsi="Calibri" w:cs="Times New Roman"/>
                <w:bCs/>
                <w:color w:val="000000"/>
                <w:sz w:val="18"/>
                <w:szCs w:val="18"/>
                <w:lang w:val="sr-Cyrl-CS" w:eastAsia="sr-Latn-RS"/>
              </w:rPr>
              <w:t>Индекс</w:t>
            </w:r>
          </w:p>
        </w:tc>
      </w:tr>
      <w:tr w:rsidR="00AE28A8" w:rsidRPr="00AE28A8" w:rsidTr="00AE28A8">
        <w:trPr>
          <w:trHeight w:val="273"/>
        </w:trPr>
        <w:tc>
          <w:tcPr>
            <w:tcW w:w="601" w:type="dxa"/>
            <w:tcBorders>
              <w:top w:val="nil"/>
              <w:left w:val="nil"/>
              <w:bottom w:val="nil"/>
              <w:right w:val="nil"/>
            </w:tcBorders>
            <w:shd w:val="clear" w:color="000000" w:fill="D8E6F3"/>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1</w:t>
            </w:r>
          </w:p>
        </w:tc>
        <w:tc>
          <w:tcPr>
            <w:tcW w:w="3440" w:type="dxa"/>
            <w:tcBorders>
              <w:top w:val="nil"/>
              <w:left w:val="nil"/>
              <w:bottom w:val="nil"/>
              <w:right w:val="nil"/>
            </w:tcBorders>
            <w:shd w:val="clear" w:color="000000" w:fill="D8E6F3"/>
            <w:noWrap/>
            <w:vAlign w:val="center"/>
            <w:hideMark/>
          </w:tcPr>
          <w:p w:rsidR="00AE28A8" w:rsidRPr="00065460" w:rsidRDefault="00AE28A8" w:rsidP="00AE28A8">
            <w:pPr>
              <w:spacing w:after="0" w:line="240" w:lineRule="auto"/>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Капитал и резерве</w:t>
            </w:r>
          </w:p>
        </w:tc>
        <w:tc>
          <w:tcPr>
            <w:tcW w:w="1666" w:type="dxa"/>
            <w:tcBorders>
              <w:top w:val="nil"/>
              <w:left w:val="nil"/>
              <w:bottom w:val="nil"/>
              <w:right w:val="nil"/>
            </w:tcBorders>
            <w:shd w:val="clear" w:color="000000" w:fill="D8E6F3"/>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1.527.511      </w:t>
            </w:r>
          </w:p>
        </w:tc>
        <w:tc>
          <w:tcPr>
            <w:tcW w:w="2142" w:type="dxa"/>
            <w:tcBorders>
              <w:top w:val="nil"/>
              <w:left w:val="nil"/>
              <w:bottom w:val="nil"/>
              <w:right w:val="nil"/>
            </w:tcBorders>
            <w:shd w:val="clear" w:color="000000" w:fill="D8E6F3"/>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1.183.632      </w:t>
            </w:r>
          </w:p>
        </w:tc>
        <w:tc>
          <w:tcPr>
            <w:tcW w:w="1652" w:type="dxa"/>
            <w:tcBorders>
              <w:top w:val="nil"/>
              <w:left w:val="nil"/>
              <w:bottom w:val="nil"/>
              <w:right w:val="nil"/>
            </w:tcBorders>
            <w:shd w:val="clear" w:color="000000" w:fill="D8E6F3"/>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129,05      </w:t>
            </w:r>
          </w:p>
        </w:tc>
      </w:tr>
      <w:tr w:rsidR="00AE28A8" w:rsidRPr="00AE28A8" w:rsidTr="00AE28A8">
        <w:trPr>
          <w:trHeight w:val="287"/>
        </w:trPr>
        <w:tc>
          <w:tcPr>
            <w:tcW w:w="601"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2</w:t>
            </w:r>
          </w:p>
        </w:tc>
        <w:tc>
          <w:tcPr>
            <w:tcW w:w="3440" w:type="dxa"/>
            <w:tcBorders>
              <w:top w:val="nil"/>
              <w:left w:val="nil"/>
              <w:bottom w:val="nil"/>
              <w:right w:val="nil"/>
            </w:tcBorders>
            <w:shd w:val="clear" w:color="auto" w:fill="auto"/>
            <w:noWrap/>
            <w:vAlign w:val="center"/>
            <w:hideMark/>
          </w:tcPr>
          <w:p w:rsidR="00AE28A8" w:rsidRPr="00065460" w:rsidRDefault="00AE28A8" w:rsidP="00AE28A8">
            <w:pPr>
              <w:spacing w:after="0" w:line="240" w:lineRule="auto"/>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Дугорочна резервисања</w:t>
            </w:r>
          </w:p>
        </w:tc>
        <w:tc>
          <w:tcPr>
            <w:tcW w:w="1666"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34.161      </w:t>
            </w:r>
          </w:p>
        </w:tc>
        <w:tc>
          <w:tcPr>
            <w:tcW w:w="2142"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249.543      </w:t>
            </w:r>
          </w:p>
        </w:tc>
        <w:tc>
          <w:tcPr>
            <w:tcW w:w="1652" w:type="dxa"/>
            <w:tcBorders>
              <w:top w:val="nil"/>
              <w:left w:val="nil"/>
              <w:bottom w:val="nil"/>
              <w:right w:val="nil"/>
            </w:tcBorders>
            <w:shd w:val="clear" w:color="000000" w:fill="FFFFFF"/>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13,69      </w:t>
            </w:r>
          </w:p>
        </w:tc>
      </w:tr>
      <w:tr w:rsidR="00AE28A8" w:rsidRPr="00AE28A8" w:rsidTr="00AE28A8">
        <w:trPr>
          <w:trHeight w:val="287"/>
        </w:trPr>
        <w:tc>
          <w:tcPr>
            <w:tcW w:w="601" w:type="dxa"/>
            <w:tcBorders>
              <w:top w:val="nil"/>
              <w:left w:val="nil"/>
              <w:bottom w:val="nil"/>
              <w:right w:val="nil"/>
            </w:tcBorders>
            <w:shd w:val="clear" w:color="000000" w:fill="D8E6F3"/>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3</w:t>
            </w:r>
          </w:p>
        </w:tc>
        <w:tc>
          <w:tcPr>
            <w:tcW w:w="3440" w:type="dxa"/>
            <w:tcBorders>
              <w:top w:val="nil"/>
              <w:left w:val="nil"/>
              <w:bottom w:val="nil"/>
              <w:right w:val="nil"/>
            </w:tcBorders>
            <w:shd w:val="clear" w:color="000000" w:fill="D8E6F3"/>
            <w:noWrap/>
            <w:vAlign w:val="center"/>
            <w:hideMark/>
          </w:tcPr>
          <w:p w:rsidR="00AE28A8" w:rsidRPr="00065460" w:rsidRDefault="00AE28A8" w:rsidP="00AE28A8">
            <w:pPr>
              <w:spacing w:after="0" w:line="240" w:lineRule="auto"/>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Дугорочне обавезе</w:t>
            </w:r>
          </w:p>
        </w:tc>
        <w:tc>
          <w:tcPr>
            <w:tcW w:w="1666" w:type="dxa"/>
            <w:tcBorders>
              <w:top w:val="nil"/>
              <w:left w:val="nil"/>
              <w:bottom w:val="nil"/>
              <w:right w:val="nil"/>
            </w:tcBorders>
            <w:shd w:val="clear" w:color="000000" w:fill="D8E6F3"/>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        </w:t>
            </w:r>
          </w:p>
        </w:tc>
        <w:tc>
          <w:tcPr>
            <w:tcW w:w="2142" w:type="dxa"/>
            <w:tcBorders>
              <w:top w:val="nil"/>
              <w:left w:val="nil"/>
              <w:bottom w:val="nil"/>
              <w:right w:val="nil"/>
            </w:tcBorders>
            <w:shd w:val="clear" w:color="000000" w:fill="D8E6F3"/>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1.457      </w:t>
            </w:r>
          </w:p>
        </w:tc>
        <w:tc>
          <w:tcPr>
            <w:tcW w:w="1652" w:type="dxa"/>
            <w:tcBorders>
              <w:top w:val="nil"/>
              <w:left w:val="nil"/>
              <w:bottom w:val="nil"/>
              <w:right w:val="nil"/>
            </w:tcBorders>
            <w:shd w:val="clear" w:color="000000" w:fill="D8E6F3"/>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        </w:t>
            </w:r>
          </w:p>
        </w:tc>
      </w:tr>
      <w:tr w:rsidR="00AE28A8" w:rsidRPr="00AE28A8" w:rsidTr="00AE28A8">
        <w:trPr>
          <w:trHeight w:val="273"/>
        </w:trPr>
        <w:tc>
          <w:tcPr>
            <w:tcW w:w="601"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4</w:t>
            </w:r>
          </w:p>
        </w:tc>
        <w:tc>
          <w:tcPr>
            <w:tcW w:w="3440" w:type="dxa"/>
            <w:tcBorders>
              <w:top w:val="nil"/>
              <w:left w:val="nil"/>
              <w:bottom w:val="nil"/>
              <w:right w:val="nil"/>
            </w:tcBorders>
            <w:shd w:val="clear" w:color="auto" w:fill="auto"/>
            <w:noWrap/>
            <w:vAlign w:val="center"/>
            <w:hideMark/>
          </w:tcPr>
          <w:p w:rsidR="00AE28A8" w:rsidRPr="00065460" w:rsidRDefault="00AE28A8" w:rsidP="00AE28A8">
            <w:pPr>
              <w:spacing w:after="0" w:line="240" w:lineRule="auto"/>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Одложене пореске обавезе</w:t>
            </w:r>
          </w:p>
        </w:tc>
        <w:tc>
          <w:tcPr>
            <w:tcW w:w="1666"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Latn-RS" w:eastAsia="sr-Latn-RS"/>
              </w:rPr>
              <w:t xml:space="preserve">          4.537      </w:t>
            </w:r>
          </w:p>
        </w:tc>
        <w:tc>
          <w:tcPr>
            <w:tcW w:w="2142"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Latn-RS" w:eastAsia="sr-Latn-RS"/>
              </w:rPr>
              <w:t xml:space="preserve">                 4.484      </w:t>
            </w:r>
          </w:p>
        </w:tc>
        <w:tc>
          <w:tcPr>
            <w:tcW w:w="1652"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Latn-RS" w:eastAsia="sr-Latn-RS"/>
              </w:rPr>
              <w:t xml:space="preserve">        101,18      </w:t>
            </w:r>
          </w:p>
        </w:tc>
      </w:tr>
      <w:tr w:rsidR="00AE28A8" w:rsidRPr="00AE28A8" w:rsidTr="00AE28A8">
        <w:trPr>
          <w:trHeight w:val="273"/>
        </w:trPr>
        <w:tc>
          <w:tcPr>
            <w:tcW w:w="601" w:type="dxa"/>
            <w:tcBorders>
              <w:top w:val="nil"/>
              <w:left w:val="nil"/>
              <w:bottom w:val="nil"/>
              <w:right w:val="nil"/>
            </w:tcBorders>
            <w:shd w:val="clear" w:color="000000" w:fill="DCE6F1"/>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5</w:t>
            </w:r>
          </w:p>
        </w:tc>
        <w:tc>
          <w:tcPr>
            <w:tcW w:w="3440" w:type="dxa"/>
            <w:tcBorders>
              <w:top w:val="nil"/>
              <w:left w:val="nil"/>
              <w:bottom w:val="nil"/>
              <w:right w:val="nil"/>
            </w:tcBorders>
            <w:shd w:val="clear" w:color="000000" w:fill="DCE6F1"/>
            <w:noWrap/>
            <w:vAlign w:val="center"/>
            <w:hideMark/>
          </w:tcPr>
          <w:p w:rsidR="00AE28A8" w:rsidRPr="00065460" w:rsidRDefault="00AE28A8" w:rsidP="00AE28A8">
            <w:pPr>
              <w:spacing w:after="0" w:line="240" w:lineRule="auto"/>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Краткорочне обавезе</w:t>
            </w:r>
          </w:p>
        </w:tc>
        <w:tc>
          <w:tcPr>
            <w:tcW w:w="1666" w:type="dxa"/>
            <w:tcBorders>
              <w:top w:val="nil"/>
              <w:left w:val="nil"/>
              <w:bottom w:val="nil"/>
              <w:right w:val="nil"/>
            </w:tcBorders>
            <w:shd w:val="clear" w:color="000000" w:fill="DCE6F1"/>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862.737      </w:t>
            </w:r>
          </w:p>
        </w:tc>
        <w:tc>
          <w:tcPr>
            <w:tcW w:w="2142" w:type="dxa"/>
            <w:tcBorders>
              <w:top w:val="nil"/>
              <w:left w:val="nil"/>
              <w:bottom w:val="nil"/>
              <w:right w:val="nil"/>
            </w:tcBorders>
            <w:shd w:val="clear" w:color="000000" w:fill="DCE6F1"/>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804.930      </w:t>
            </w:r>
          </w:p>
        </w:tc>
        <w:tc>
          <w:tcPr>
            <w:tcW w:w="1652" w:type="dxa"/>
            <w:tcBorders>
              <w:top w:val="nil"/>
              <w:left w:val="nil"/>
              <w:bottom w:val="nil"/>
              <w:right w:val="nil"/>
            </w:tcBorders>
            <w:shd w:val="clear" w:color="000000" w:fill="DCE6F1"/>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107,18      </w:t>
            </w:r>
          </w:p>
        </w:tc>
      </w:tr>
      <w:tr w:rsidR="00AE28A8" w:rsidRPr="00AE28A8" w:rsidTr="00AE28A8">
        <w:trPr>
          <w:trHeight w:val="273"/>
        </w:trPr>
        <w:tc>
          <w:tcPr>
            <w:tcW w:w="601"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6</w:t>
            </w:r>
          </w:p>
        </w:tc>
        <w:tc>
          <w:tcPr>
            <w:tcW w:w="3440" w:type="dxa"/>
            <w:tcBorders>
              <w:top w:val="nil"/>
              <w:left w:val="nil"/>
              <w:bottom w:val="nil"/>
              <w:right w:val="nil"/>
            </w:tcBorders>
            <w:shd w:val="clear" w:color="auto" w:fill="auto"/>
            <w:noWrap/>
            <w:vAlign w:val="center"/>
            <w:hideMark/>
          </w:tcPr>
          <w:p w:rsidR="00AE28A8" w:rsidRPr="00065460" w:rsidRDefault="00402D73" w:rsidP="00AE28A8">
            <w:pPr>
              <w:spacing w:after="0" w:line="240" w:lineRule="auto"/>
              <w:rPr>
                <w:rFonts w:ascii="Calibri" w:eastAsia="Times New Roman" w:hAnsi="Calibri" w:cs="Times New Roman"/>
                <w:color w:val="000000"/>
                <w:sz w:val="18"/>
                <w:szCs w:val="18"/>
                <w:lang w:val="sr-Latn-RS" w:eastAsia="sr-Latn-RS"/>
              </w:rPr>
            </w:pPr>
            <w:r>
              <w:rPr>
                <w:rFonts w:ascii="Calibri" w:eastAsia="Times New Roman" w:hAnsi="Calibri" w:cs="Times New Roman"/>
                <w:color w:val="000000"/>
                <w:sz w:val="18"/>
                <w:szCs w:val="18"/>
                <w:lang w:val="sr-Cyrl-CS" w:eastAsia="sr-Latn-RS"/>
              </w:rPr>
              <w:t>Пасив. врем. разграничења</w:t>
            </w:r>
          </w:p>
        </w:tc>
        <w:tc>
          <w:tcPr>
            <w:tcW w:w="1666"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482.428      </w:t>
            </w:r>
          </w:p>
        </w:tc>
        <w:tc>
          <w:tcPr>
            <w:tcW w:w="2142"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374.847      </w:t>
            </w:r>
          </w:p>
        </w:tc>
        <w:tc>
          <w:tcPr>
            <w:tcW w:w="1652" w:type="dxa"/>
            <w:tcBorders>
              <w:top w:val="nil"/>
              <w:left w:val="nil"/>
              <w:bottom w:val="nil"/>
              <w:right w:val="nil"/>
            </w:tcBorders>
            <w:shd w:val="clear" w:color="auto" w:fill="auto"/>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128,70      </w:t>
            </w:r>
          </w:p>
        </w:tc>
      </w:tr>
      <w:tr w:rsidR="00AE28A8" w:rsidRPr="00AE28A8" w:rsidTr="00AE28A8">
        <w:trPr>
          <w:trHeight w:val="287"/>
        </w:trPr>
        <w:tc>
          <w:tcPr>
            <w:tcW w:w="601" w:type="dxa"/>
            <w:tcBorders>
              <w:top w:val="nil"/>
              <w:left w:val="nil"/>
              <w:bottom w:val="nil"/>
              <w:right w:val="nil"/>
            </w:tcBorders>
            <w:shd w:val="clear" w:color="000000" w:fill="DCE6F1"/>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7</w:t>
            </w:r>
          </w:p>
        </w:tc>
        <w:tc>
          <w:tcPr>
            <w:tcW w:w="3440" w:type="dxa"/>
            <w:tcBorders>
              <w:top w:val="nil"/>
              <w:left w:val="nil"/>
              <w:bottom w:val="nil"/>
              <w:right w:val="nil"/>
            </w:tcBorders>
            <w:shd w:val="clear" w:color="000000" w:fill="DCE6F1"/>
            <w:noWrap/>
            <w:vAlign w:val="center"/>
            <w:hideMark/>
          </w:tcPr>
          <w:p w:rsidR="00AE28A8" w:rsidRPr="00065460" w:rsidRDefault="00AE28A8" w:rsidP="00AE28A8">
            <w:pPr>
              <w:spacing w:after="0" w:line="240" w:lineRule="auto"/>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color w:val="000000"/>
                <w:sz w:val="18"/>
                <w:szCs w:val="18"/>
                <w:lang w:val="sr-Cyrl-CS" w:eastAsia="sr-Latn-RS"/>
              </w:rPr>
              <w:t>Резервисане штете</w:t>
            </w:r>
          </w:p>
        </w:tc>
        <w:tc>
          <w:tcPr>
            <w:tcW w:w="1666" w:type="dxa"/>
            <w:tcBorders>
              <w:top w:val="nil"/>
              <w:left w:val="nil"/>
              <w:bottom w:val="nil"/>
              <w:right w:val="nil"/>
            </w:tcBorders>
            <w:shd w:val="clear" w:color="000000" w:fill="DCE6F1"/>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1.866.528      </w:t>
            </w:r>
          </w:p>
        </w:tc>
        <w:tc>
          <w:tcPr>
            <w:tcW w:w="2142" w:type="dxa"/>
            <w:tcBorders>
              <w:top w:val="nil"/>
              <w:left w:val="nil"/>
              <w:bottom w:val="nil"/>
              <w:right w:val="nil"/>
            </w:tcBorders>
            <w:shd w:val="clear" w:color="000000" w:fill="DCE6F1"/>
            <w:vAlign w:val="center"/>
            <w:hideMark/>
          </w:tcPr>
          <w:p w:rsidR="00AE28A8" w:rsidRPr="00065460" w:rsidRDefault="00AE28A8" w:rsidP="00AE28A8">
            <w:pPr>
              <w:spacing w:after="0" w:line="240" w:lineRule="auto"/>
              <w:jc w:val="right"/>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1.577.705      </w:t>
            </w:r>
          </w:p>
        </w:tc>
        <w:tc>
          <w:tcPr>
            <w:tcW w:w="1652" w:type="dxa"/>
            <w:tcBorders>
              <w:top w:val="nil"/>
              <w:left w:val="nil"/>
              <w:bottom w:val="nil"/>
              <w:right w:val="nil"/>
            </w:tcBorders>
            <w:shd w:val="clear" w:color="000000" w:fill="DCE6F1"/>
            <w:vAlign w:val="center"/>
            <w:hideMark/>
          </w:tcPr>
          <w:p w:rsidR="00AE28A8" w:rsidRPr="00065460" w:rsidRDefault="00AE28A8" w:rsidP="00AE28A8">
            <w:pPr>
              <w:spacing w:after="0" w:line="240" w:lineRule="auto"/>
              <w:jc w:val="center"/>
              <w:rPr>
                <w:rFonts w:ascii="Calibri" w:eastAsia="Times New Roman" w:hAnsi="Calibri" w:cs="Times New Roman"/>
                <w:color w:val="000000"/>
                <w:sz w:val="18"/>
                <w:szCs w:val="18"/>
                <w:lang w:val="sr-Latn-RS" w:eastAsia="sr-Latn-RS"/>
              </w:rPr>
            </w:pPr>
            <w:r w:rsidRPr="00065460">
              <w:rPr>
                <w:rFonts w:ascii="Calibri" w:eastAsia="Times New Roman" w:hAnsi="Calibri" w:cs="Times New Roman"/>
                <w:noProof/>
                <w:color w:val="000000"/>
                <w:sz w:val="18"/>
                <w:szCs w:val="18"/>
                <w:lang w:val="sr-Cyrl-CS" w:eastAsia="sr-Latn-RS"/>
              </w:rPr>
              <w:t xml:space="preserve">        118,31      </w:t>
            </w:r>
          </w:p>
        </w:tc>
      </w:tr>
      <w:tr w:rsidR="00AE28A8" w:rsidRPr="00AE28A8" w:rsidTr="00AE28A8">
        <w:trPr>
          <w:trHeight w:val="287"/>
        </w:trPr>
        <w:tc>
          <w:tcPr>
            <w:tcW w:w="4041" w:type="dxa"/>
            <w:gridSpan w:val="2"/>
            <w:tcBorders>
              <w:top w:val="single" w:sz="8" w:space="0" w:color="629DD1"/>
              <w:left w:val="nil"/>
              <w:bottom w:val="single" w:sz="8" w:space="0" w:color="629DD1"/>
              <w:right w:val="nil"/>
            </w:tcBorders>
            <w:shd w:val="clear" w:color="auto" w:fill="auto"/>
            <w:noWrap/>
            <w:vAlign w:val="center"/>
            <w:hideMark/>
          </w:tcPr>
          <w:p w:rsidR="00AE28A8" w:rsidRPr="00065460" w:rsidRDefault="00AE28A8" w:rsidP="002225E7">
            <w:pPr>
              <w:spacing w:after="0" w:line="240" w:lineRule="auto"/>
              <w:jc w:val="center"/>
              <w:rPr>
                <w:rFonts w:ascii="Calibri" w:eastAsia="Times New Roman" w:hAnsi="Calibri" w:cs="Times New Roman"/>
                <w:b/>
                <w:bCs/>
                <w:color w:val="000000"/>
                <w:sz w:val="18"/>
                <w:szCs w:val="18"/>
                <w:lang w:val="sr-Latn-RS" w:eastAsia="sr-Latn-RS"/>
              </w:rPr>
            </w:pPr>
            <w:r w:rsidRPr="00065460">
              <w:rPr>
                <w:rFonts w:ascii="Calibri" w:eastAsia="Times New Roman" w:hAnsi="Calibri" w:cs="Times New Roman"/>
                <w:b/>
                <w:bCs/>
                <w:color w:val="000000"/>
                <w:sz w:val="18"/>
                <w:szCs w:val="18"/>
                <w:lang w:val="sr-Cyrl-CS" w:eastAsia="sr-Latn-RS"/>
              </w:rPr>
              <w:t>УКУПНА ПАСИВА</w:t>
            </w:r>
          </w:p>
        </w:tc>
        <w:tc>
          <w:tcPr>
            <w:tcW w:w="1666" w:type="dxa"/>
            <w:tcBorders>
              <w:top w:val="single" w:sz="8" w:space="0" w:color="629DD1"/>
              <w:left w:val="nil"/>
              <w:bottom w:val="single" w:sz="8" w:space="0" w:color="629DD1"/>
              <w:right w:val="nil"/>
            </w:tcBorders>
            <w:shd w:val="clear" w:color="auto" w:fill="auto"/>
            <w:vAlign w:val="center"/>
            <w:hideMark/>
          </w:tcPr>
          <w:p w:rsidR="00AE28A8" w:rsidRPr="00065460" w:rsidRDefault="00AE28A8" w:rsidP="002225E7">
            <w:pPr>
              <w:spacing w:after="0" w:line="240" w:lineRule="auto"/>
              <w:jc w:val="center"/>
              <w:rPr>
                <w:rFonts w:ascii="Calibri" w:eastAsia="Times New Roman" w:hAnsi="Calibri" w:cs="Times New Roman"/>
                <w:b/>
                <w:bCs/>
                <w:color w:val="000000"/>
                <w:sz w:val="18"/>
                <w:szCs w:val="18"/>
                <w:lang w:val="sr-Latn-RS" w:eastAsia="sr-Latn-RS"/>
              </w:rPr>
            </w:pPr>
            <w:r w:rsidRPr="00065460">
              <w:rPr>
                <w:rFonts w:ascii="Calibri" w:eastAsia="Times New Roman" w:hAnsi="Calibri" w:cs="Times New Roman"/>
                <w:b/>
                <w:bCs/>
                <w:color w:val="000000"/>
                <w:sz w:val="18"/>
                <w:szCs w:val="18"/>
                <w:lang w:val="sr-Cyrl-CS" w:eastAsia="sr-Latn-RS"/>
              </w:rPr>
              <w:t>4.777.902</w:t>
            </w:r>
          </w:p>
        </w:tc>
        <w:tc>
          <w:tcPr>
            <w:tcW w:w="2142" w:type="dxa"/>
            <w:tcBorders>
              <w:top w:val="single" w:sz="8" w:space="0" w:color="629DD1"/>
              <w:left w:val="nil"/>
              <w:bottom w:val="single" w:sz="8" w:space="0" w:color="629DD1"/>
              <w:right w:val="nil"/>
            </w:tcBorders>
            <w:shd w:val="clear" w:color="auto" w:fill="auto"/>
            <w:vAlign w:val="center"/>
            <w:hideMark/>
          </w:tcPr>
          <w:p w:rsidR="00AE28A8" w:rsidRPr="00065460" w:rsidRDefault="00AE28A8" w:rsidP="002225E7">
            <w:pPr>
              <w:spacing w:after="0" w:line="240" w:lineRule="auto"/>
              <w:jc w:val="center"/>
              <w:rPr>
                <w:rFonts w:ascii="Calibri" w:eastAsia="Times New Roman" w:hAnsi="Calibri" w:cs="Times New Roman"/>
                <w:b/>
                <w:bCs/>
                <w:color w:val="000000"/>
                <w:sz w:val="18"/>
                <w:szCs w:val="18"/>
                <w:lang w:val="sr-Latn-RS" w:eastAsia="sr-Latn-RS"/>
              </w:rPr>
            </w:pPr>
            <w:r w:rsidRPr="00065460">
              <w:rPr>
                <w:rFonts w:ascii="Calibri" w:eastAsia="Times New Roman" w:hAnsi="Calibri" w:cs="Times New Roman"/>
                <w:b/>
                <w:bCs/>
                <w:noProof/>
                <w:color w:val="000000"/>
                <w:sz w:val="18"/>
                <w:szCs w:val="18"/>
                <w:lang w:val="sr-Cyrl-CS" w:eastAsia="sr-Latn-RS"/>
              </w:rPr>
              <w:t>4.196.598</w:t>
            </w:r>
          </w:p>
        </w:tc>
        <w:tc>
          <w:tcPr>
            <w:tcW w:w="1652" w:type="dxa"/>
            <w:tcBorders>
              <w:top w:val="single" w:sz="8" w:space="0" w:color="629DD1"/>
              <w:left w:val="nil"/>
              <w:bottom w:val="single" w:sz="8" w:space="0" w:color="629DD1"/>
              <w:right w:val="nil"/>
            </w:tcBorders>
            <w:shd w:val="clear" w:color="auto" w:fill="auto"/>
            <w:vAlign w:val="center"/>
            <w:hideMark/>
          </w:tcPr>
          <w:p w:rsidR="00AE28A8" w:rsidRPr="00065460" w:rsidRDefault="00AE28A8" w:rsidP="002225E7">
            <w:pPr>
              <w:spacing w:after="0" w:line="240" w:lineRule="auto"/>
              <w:jc w:val="center"/>
              <w:rPr>
                <w:rFonts w:ascii="Calibri" w:eastAsia="Times New Roman" w:hAnsi="Calibri" w:cs="Times New Roman"/>
                <w:b/>
                <w:bCs/>
                <w:color w:val="000000"/>
                <w:sz w:val="18"/>
                <w:szCs w:val="18"/>
                <w:lang w:val="sr-Latn-RS" w:eastAsia="sr-Latn-RS"/>
              </w:rPr>
            </w:pPr>
            <w:r w:rsidRPr="00065460">
              <w:rPr>
                <w:rFonts w:ascii="Calibri" w:eastAsia="Times New Roman" w:hAnsi="Calibri" w:cs="Times New Roman"/>
                <w:b/>
                <w:bCs/>
                <w:noProof/>
                <w:color w:val="000000"/>
                <w:sz w:val="18"/>
                <w:szCs w:val="18"/>
                <w:lang w:val="sr-Cyrl-CS" w:eastAsia="sr-Latn-RS"/>
              </w:rPr>
              <w:t>113,85</w:t>
            </w:r>
          </w:p>
        </w:tc>
      </w:tr>
    </w:tbl>
    <w:p w:rsidR="00AE28A8" w:rsidRPr="00AE28A8" w:rsidRDefault="00AE28A8" w:rsidP="00AE6FEE">
      <w:pPr>
        <w:spacing w:after="0"/>
        <w:ind w:firstLine="567"/>
        <w:jc w:val="both"/>
        <w:rPr>
          <w:noProof/>
          <w:sz w:val="20"/>
          <w:szCs w:val="20"/>
          <w:lang w:val="sr-Latn-RS"/>
        </w:rPr>
      </w:pPr>
    </w:p>
    <w:p w:rsidR="00210350" w:rsidRPr="00BF6376" w:rsidRDefault="00210350" w:rsidP="00BF6376">
      <w:pPr>
        <w:spacing w:before="120" w:after="120"/>
        <w:ind w:hanging="284"/>
        <w:jc w:val="both"/>
        <w:rPr>
          <w:noProof/>
          <w:lang w:val="sr-Cyrl-RS" w:eastAsia="sr-Latn-RS"/>
        </w:rPr>
      </w:pPr>
      <w:r>
        <w:rPr>
          <w:noProof/>
          <w:lang w:val="sr-Latn-RS" w:eastAsia="sr-Latn-RS"/>
        </w:rPr>
        <w:drawing>
          <wp:inline distT="0" distB="0" distL="0" distR="0" wp14:anchorId="5D665D28" wp14:editId="3B10A185">
            <wp:extent cx="6241774" cy="1979875"/>
            <wp:effectExtent l="0" t="0" r="26035" b="2095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3724D4" w:rsidRPr="00BF3CDE" w:rsidRDefault="00492321" w:rsidP="00860C32">
      <w:pPr>
        <w:pStyle w:val="Heading1"/>
        <w:numPr>
          <w:ilvl w:val="2"/>
          <w:numId w:val="6"/>
        </w:numPr>
      </w:pPr>
      <w:bookmarkStart w:id="32" w:name="_Toc445975031"/>
      <w:r w:rsidRPr="00BF3CDE">
        <w:t>Капитал</w:t>
      </w:r>
      <w:r w:rsidR="003724D4" w:rsidRPr="00BF3CDE">
        <w:t>, резерве</w:t>
      </w:r>
      <w:r w:rsidRPr="00BF3CDE">
        <w:t>, дугорочна резервисања</w:t>
      </w:r>
      <w:bookmarkEnd w:id="32"/>
      <w:r w:rsidRPr="00BF3CDE">
        <w:t xml:space="preserve"> </w:t>
      </w:r>
    </w:p>
    <w:p w:rsidR="00DC51FA" w:rsidRPr="00BF3CDE" w:rsidRDefault="00492321" w:rsidP="00860C32">
      <w:pPr>
        <w:pStyle w:val="Heading1"/>
        <w:numPr>
          <w:ilvl w:val="0"/>
          <w:numId w:val="0"/>
        </w:numPr>
        <w:ind w:left="1077"/>
      </w:pPr>
      <w:bookmarkStart w:id="33" w:name="_Toc319069774"/>
      <w:bookmarkStart w:id="34" w:name="_Toc414356820"/>
      <w:bookmarkStart w:id="35" w:name="_Toc445975032"/>
      <w:r w:rsidRPr="00BF3CDE">
        <w:t>и дугорочне обавезе</w:t>
      </w:r>
      <w:bookmarkEnd w:id="33"/>
      <w:bookmarkEnd w:id="34"/>
      <w:bookmarkEnd w:id="35"/>
      <w:r w:rsidR="0046210A" w:rsidRPr="00BF3CDE">
        <w:t xml:space="preserve"> </w:t>
      </w:r>
    </w:p>
    <w:p w:rsidR="001571ED" w:rsidRPr="00BF6376" w:rsidRDefault="001571ED" w:rsidP="000A6024">
      <w:pPr>
        <w:spacing w:before="200"/>
        <w:ind w:firstLine="567"/>
        <w:jc w:val="both"/>
        <w:rPr>
          <w:noProof/>
          <w:sz w:val="20"/>
          <w:szCs w:val="20"/>
          <w:highlight w:val="yellow"/>
          <w:lang w:val="sr-Cyrl-CS"/>
        </w:rPr>
      </w:pPr>
      <w:r w:rsidRPr="002F0A3B">
        <w:rPr>
          <w:noProof/>
          <w:sz w:val="20"/>
          <w:szCs w:val="20"/>
          <w:lang w:val="sr-Cyrl-CS"/>
        </w:rPr>
        <w:t xml:space="preserve">Укупан капитал, резерве, дугорочна резервисања и дугорочне обавезе </w:t>
      </w:r>
      <w:r w:rsidR="000A6024" w:rsidRPr="002F0A3B">
        <w:rPr>
          <w:noProof/>
          <w:sz w:val="20"/>
          <w:szCs w:val="20"/>
          <w:lang w:val="sr-Cyrl-CS"/>
        </w:rPr>
        <w:t>Друштва на дан 31.12.201</w:t>
      </w:r>
      <w:r w:rsidR="002F0A3B" w:rsidRPr="002F0A3B">
        <w:rPr>
          <w:noProof/>
          <w:sz w:val="20"/>
          <w:szCs w:val="20"/>
          <w:lang w:val="sr-Cyrl-CS"/>
        </w:rPr>
        <w:t>5</w:t>
      </w:r>
      <w:r w:rsidR="000A6024" w:rsidRPr="002F0A3B">
        <w:rPr>
          <w:noProof/>
          <w:sz w:val="20"/>
          <w:szCs w:val="20"/>
          <w:lang w:val="sr-Cyrl-CS"/>
        </w:rPr>
        <w:t xml:space="preserve">. године износе </w:t>
      </w:r>
      <w:r w:rsidR="002F0A3B" w:rsidRPr="002F0A3B">
        <w:rPr>
          <w:noProof/>
          <w:sz w:val="20"/>
          <w:szCs w:val="20"/>
          <w:lang w:val="sr-Cyrl-CS"/>
        </w:rPr>
        <w:t>1.561.672 хиљада динара и за 29,05</w:t>
      </w:r>
      <w:r w:rsidR="000A6024" w:rsidRPr="002F0A3B">
        <w:rPr>
          <w:noProof/>
          <w:sz w:val="20"/>
          <w:szCs w:val="20"/>
          <w:lang w:val="sr-Cyrl-CS"/>
        </w:rPr>
        <w:t xml:space="preserve">% су </w:t>
      </w:r>
      <w:r w:rsidR="002F0A3B" w:rsidRPr="002F0A3B">
        <w:rPr>
          <w:noProof/>
          <w:sz w:val="20"/>
          <w:szCs w:val="20"/>
          <w:lang w:val="sr-Cyrl-CS"/>
        </w:rPr>
        <w:t xml:space="preserve">већи </w:t>
      </w:r>
      <w:r w:rsidR="000A6024" w:rsidRPr="002F0A3B">
        <w:rPr>
          <w:noProof/>
          <w:sz w:val="20"/>
          <w:szCs w:val="20"/>
          <w:lang w:val="sr-Cyrl-CS"/>
        </w:rPr>
        <w:t xml:space="preserve">него у </w:t>
      </w:r>
      <w:r w:rsidR="000A6024" w:rsidRPr="003321D0">
        <w:rPr>
          <w:noProof/>
          <w:sz w:val="20"/>
          <w:szCs w:val="20"/>
          <w:lang w:val="sr-Cyrl-CS"/>
        </w:rPr>
        <w:t>претходној години.</w:t>
      </w:r>
    </w:p>
    <w:p w:rsidR="00C9033A" w:rsidRPr="003321D0" w:rsidRDefault="00C9033A" w:rsidP="000A6024">
      <w:pPr>
        <w:spacing w:before="240" w:after="240"/>
        <w:jc w:val="both"/>
        <w:rPr>
          <w:b/>
          <w:i/>
          <w:noProof/>
          <w:color w:val="365F91" w:themeColor="accent1" w:themeShade="BF"/>
          <w:sz w:val="20"/>
          <w:lang w:val="sr-Cyrl-CS"/>
        </w:rPr>
      </w:pPr>
      <w:r w:rsidRPr="003321D0">
        <w:rPr>
          <w:b/>
          <w:i/>
          <w:noProof/>
          <w:color w:val="365F91" w:themeColor="accent1" w:themeShade="BF"/>
          <w:sz w:val="20"/>
          <w:lang w:val="sr-Cyrl-CS"/>
        </w:rPr>
        <w:t>Капитал</w:t>
      </w:r>
    </w:p>
    <w:p w:rsidR="00C9033A" w:rsidRPr="003321D0" w:rsidRDefault="00AD0A1A" w:rsidP="000A6024">
      <w:pPr>
        <w:spacing w:before="200"/>
        <w:ind w:firstLine="567"/>
        <w:jc w:val="both"/>
        <w:rPr>
          <w:noProof/>
          <w:sz w:val="20"/>
          <w:szCs w:val="20"/>
          <w:lang w:val="sr-Cyrl-CS"/>
        </w:rPr>
      </w:pPr>
      <w:r w:rsidRPr="003321D0">
        <w:rPr>
          <w:noProof/>
          <w:sz w:val="20"/>
          <w:szCs w:val="20"/>
          <w:lang w:val="sr-Cyrl-CS"/>
        </w:rPr>
        <w:t>Чланом 2</w:t>
      </w:r>
      <w:r w:rsidR="003321D0" w:rsidRPr="003321D0">
        <w:rPr>
          <w:noProof/>
          <w:sz w:val="20"/>
          <w:szCs w:val="20"/>
          <w:lang w:val="sr-Cyrl-CS"/>
        </w:rPr>
        <w:t>7</w:t>
      </w:r>
      <w:r w:rsidRPr="003321D0">
        <w:rPr>
          <w:noProof/>
          <w:sz w:val="20"/>
          <w:szCs w:val="20"/>
          <w:lang w:val="sr-Cyrl-CS"/>
        </w:rPr>
        <w:t xml:space="preserve">. Закона о осигурању прописан је лимит за обављање послова реосигурања од </w:t>
      </w:r>
      <w:r w:rsidR="003321D0" w:rsidRPr="003321D0">
        <w:rPr>
          <w:noProof/>
          <w:sz w:val="20"/>
          <w:szCs w:val="20"/>
          <w:lang w:val="sr-Cyrl-CS"/>
        </w:rPr>
        <w:t>3,2</w:t>
      </w:r>
      <w:r w:rsidRPr="003321D0">
        <w:rPr>
          <w:noProof/>
          <w:sz w:val="20"/>
          <w:szCs w:val="20"/>
          <w:lang w:val="sr-Cyrl-CS"/>
        </w:rPr>
        <w:t xml:space="preserve"> милиона ЕУР, а Друштво на дан 31.12.201</w:t>
      </w:r>
      <w:r w:rsidR="003321D0" w:rsidRPr="003321D0">
        <w:rPr>
          <w:noProof/>
          <w:sz w:val="20"/>
          <w:szCs w:val="20"/>
          <w:lang w:val="sr-Cyrl-CS"/>
        </w:rPr>
        <w:t>5</w:t>
      </w:r>
      <w:r w:rsidRPr="003321D0">
        <w:rPr>
          <w:noProof/>
          <w:sz w:val="20"/>
          <w:szCs w:val="20"/>
          <w:lang w:val="sr-Cyrl-CS"/>
        </w:rPr>
        <w:t xml:space="preserve">. године има основни капитал у износу од </w:t>
      </w:r>
      <w:r w:rsidR="0085678B" w:rsidRPr="003321D0">
        <w:rPr>
          <w:noProof/>
          <w:sz w:val="20"/>
          <w:szCs w:val="20"/>
          <w:lang w:val="sr-Cyrl-CS"/>
        </w:rPr>
        <w:t>6,</w:t>
      </w:r>
      <w:r w:rsidR="005C2BDB" w:rsidRPr="003321D0">
        <w:rPr>
          <w:noProof/>
          <w:sz w:val="20"/>
          <w:szCs w:val="20"/>
          <w:lang w:val="sr-Cyrl-CS"/>
        </w:rPr>
        <w:t>3</w:t>
      </w:r>
      <w:r w:rsidR="00306DF9" w:rsidRPr="003321D0">
        <w:rPr>
          <w:noProof/>
          <w:sz w:val="20"/>
          <w:szCs w:val="20"/>
          <w:lang w:val="sr-Cyrl-CS"/>
        </w:rPr>
        <w:t xml:space="preserve"> </w:t>
      </w:r>
      <w:r w:rsidR="0085678B" w:rsidRPr="003321D0">
        <w:rPr>
          <w:noProof/>
          <w:sz w:val="20"/>
          <w:szCs w:val="20"/>
          <w:lang w:val="sr-Cyrl-CS"/>
        </w:rPr>
        <w:t>милиона ЕУР</w:t>
      </w:r>
      <w:r w:rsidR="005C2BDB" w:rsidRPr="003321D0">
        <w:rPr>
          <w:noProof/>
          <w:sz w:val="20"/>
          <w:szCs w:val="20"/>
          <w:lang w:val="sr-Cyrl-CS"/>
        </w:rPr>
        <w:t>-</w:t>
      </w:r>
      <w:r w:rsidR="0085678B" w:rsidRPr="003321D0">
        <w:rPr>
          <w:noProof/>
          <w:sz w:val="20"/>
          <w:szCs w:val="20"/>
          <w:lang w:val="sr-Cyrl-CS"/>
        </w:rPr>
        <w:t>а</w:t>
      </w:r>
      <w:r w:rsidRPr="003321D0">
        <w:rPr>
          <w:noProof/>
          <w:sz w:val="20"/>
          <w:szCs w:val="20"/>
          <w:lang w:val="sr-Cyrl-CS"/>
        </w:rPr>
        <w:t>.</w:t>
      </w:r>
      <w:r w:rsidR="00C9033A" w:rsidRPr="003321D0">
        <w:rPr>
          <w:noProof/>
          <w:sz w:val="20"/>
          <w:szCs w:val="20"/>
          <w:lang w:val="sr-Cyrl-CS"/>
        </w:rPr>
        <w:t xml:space="preserve"> </w:t>
      </w:r>
    </w:p>
    <w:p w:rsidR="00875757" w:rsidRPr="003321D0" w:rsidRDefault="00875757" w:rsidP="000A6024">
      <w:pPr>
        <w:spacing w:before="200"/>
        <w:ind w:firstLine="567"/>
        <w:jc w:val="both"/>
        <w:rPr>
          <w:noProof/>
          <w:sz w:val="20"/>
          <w:szCs w:val="20"/>
          <w:lang w:val="sr-Cyrl-CS"/>
        </w:rPr>
      </w:pPr>
      <w:r w:rsidRPr="003321D0">
        <w:rPr>
          <w:noProof/>
          <w:sz w:val="20"/>
          <w:szCs w:val="20"/>
          <w:lang w:val="sr-Cyrl-CS"/>
        </w:rPr>
        <w:t>Берзански показатељи на дан 31.12.201</w:t>
      </w:r>
      <w:r w:rsidR="003321D0" w:rsidRPr="003321D0">
        <w:rPr>
          <w:noProof/>
          <w:sz w:val="20"/>
          <w:szCs w:val="20"/>
          <w:lang w:val="sr-Cyrl-CS"/>
        </w:rPr>
        <w:t>5</w:t>
      </w:r>
      <w:r w:rsidRPr="003321D0">
        <w:rPr>
          <w:noProof/>
          <w:sz w:val="20"/>
          <w:szCs w:val="20"/>
          <w:lang w:val="sr-Cyrl-CS"/>
        </w:rPr>
        <w:t>. године су:</w:t>
      </w:r>
    </w:p>
    <w:p w:rsidR="00875757" w:rsidRPr="003321D0" w:rsidRDefault="00875757" w:rsidP="007A6345">
      <w:pPr>
        <w:pStyle w:val="ListParagraph"/>
        <w:numPr>
          <w:ilvl w:val="0"/>
          <w:numId w:val="13"/>
        </w:numPr>
        <w:spacing w:before="120" w:after="120"/>
        <w:contextualSpacing w:val="0"/>
        <w:jc w:val="both"/>
        <w:rPr>
          <w:noProof/>
          <w:sz w:val="20"/>
          <w:szCs w:val="20"/>
          <w:lang w:val="sr-Cyrl-CS"/>
        </w:rPr>
      </w:pPr>
      <w:r w:rsidRPr="003321D0">
        <w:rPr>
          <w:noProof/>
          <w:sz w:val="20"/>
          <w:szCs w:val="20"/>
          <w:lang w:val="sr-Cyrl-CS"/>
        </w:rPr>
        <w:t xml:space="preserve">Тржишна капитализација износи </w:t>
      </w:r>
      <w:r w:rsidR="003321D0" w:rsidRPr="003321D0">
        <w:rPr>
          <w:noProof/>
          <w:sz w:val="20"/>
          <w:szCs w:val="20"/>
          <w:lang w:val="sr-Cyrl-CS"/>
        </w:rPr>
        <w:t>467.038</w:t>
      </w:r>
      <w:r w:rsidR="001D1258" w:rsidRPr="003321D0">
        <w:rPr>
          <w:noProof/>
          <w:sz w:val="20"/>
          <w:szCs w:val="20"/>
          <w:lang w:val="sr-Cyrl-CS"/>
        </w:rPr>
        <w:t xml:space="preserve"> </w:t>
      </w:r>
      <w:r w:rsidRPr="003321D0">
        <w:rPr>
          <w:noProof/>
          <w:sz w:val="20"/>
          <w:szCs w:val="20"/>
          <w:lang w:val="sr-Cyrl-CS"/>
        </w:rPr>
        <w:t>хиљада динара,</w:t>
      </w:r>
    </w:p>
    <w:p w:rsidR="00875757" w:rsidRPr="003321D0" w:rsidRDefault="00875757" w:rsidP="007A6345">
      <w:pPr>
        <w:pStyle w:val="ListParagraph"/>
        <w:numPr>
          <w:ilvl w:val="0"/>
          <w:numId w:val="13"/>
        </w:numPr>
        <w:spacing w:before="120" w:after="120"/>
        <w:ind w:left="1281" w:hanging="357"/>
        <w:contextualSpacing w:val="0"/>
        <w:jc w:val="both"/>
        <w:rPr>
          <w:noProof/>
          <w:sz w:val="20"/>
          <w:szCs w:val="20"/>
          <w:lang w:val="sr-Cyrl-CS"/>
        </w:rPr>
      </w:pPr>
      <w:r w:rsidRPr="003321D0">
        <w:rPr>
          <w:noProof/>
          <w:sz w:val="20"/>
          <w:szCs w:val="20"/>
          <w:lang w:val="sr-Cyrl-CS"/>
        </w:rPr>
        <w:t xml:space="preserve">П/Б </w:t>
      </w:r>
      <w:r w:rsidR="0060244E" w:rsidRPr="003321D0">
        <w:rPr>
          <w:noProof/>
          <w:sz w:val="20"/>
          <w:szCs w:val="20"/>
          <w:lang w:val="sr-Cyrl-CS"/>
        </w:rPr>
        <w:t>(однос тржишне и к</w:t>
      </w:r>
      <w:r w:rsidR="00306DF9" w:rsidRPr="003321D0">
        <w:rPr>
          <w:noProof/>
          <w:sz w:val="20"/>
          <w:szCs w:val="20"/>
          <w:lang w:val="sr-Cyrl-CS"/>
        </w:rPr>
        <w:t>њ</w:t>
      </w:r>
      <w:r w:rsidR="0060244E" w:rsidRPr="003321D0">
        <w:rPr>
          <w:noProof/>
          <w:sz w:val="20"/>
          <w:szCs w:val="20"/>
          <w:lang w:val="sr-Cyrl-CS"/>
        </w:rPr>
        <w:t>иговодствене цене акција</w:t>
      </w:r>
      <w:r w:rsidR="00D33AAC" w:rsidRPr="003321D0">
        <w:rPr>
          <w:noProof/>
          <w:sz w:val="20"/>
          <w:szCs w:val="20"/>
          <w:lang w:val="sr-Cyrl-CS"/>
        </w:rPr>
        <w:t xml:space="preserve">  </w:t>
      </w:r>
      <w:r w:rsidR="003321D0" w:rsidRPr="003321D0">
        <w:rPr>
          <w:noProof/>
          <w:sz w:val="20"/>
          <w:szCs w:val="20"/>
          <w:lang w:val="sr-Cyrl-CS"/>
        </w:rPr>
        <w:t>0,41</w:t>
      </w:r>
      <w:r w:rsidRPr="003321D0">
        <w:rPr>
          <w:noProof/>
          <w:sz w:val="20"/>
          <w:szCs w:val="20"/>
          <w:lang w:val="sr-Cyrl-CS"/>
        </w:rPr>
        <w:t xml:space="preserve"> и</w:t>
      </w:r>
    </w:p>
    <w:p w:rsidR="00875757" w:rsidRPr="003321D0" w:rsidRDefault="00306DF9" w:rsidP="007A6345">
      <w:pPr>
        <w:pStyle w:val="ListParagraph"/>
        <w:numPr>
          <w:ilvl w:val="0"/>
          <w:numId w:val="13"/>
        </w:numPr>
        <w:spacing w:before="120" w:after="120"/>
        <w:ind w:left="1281" w:hanging="357"/>
        <w:contextualSpacing w:val="0"/>
        <w:jc w:val="both"/>
        <w:rPr>
          <w:noProof/>
          <w:sz w:val="20"/>
          <w:szCs w:val="20"/>
          <w:lang w:val="sr-Cyrl-CS"/>
        </w:rPr>
      </w:pPr>
      <w:r w:rsidRPr="003321D0">
        <w:rPr>
          <w:noProof/>
          <w:sz w:val="20"/>
          <w:szCs w:val="20"/>
          <w:lang w:val="sr-Cyrl-CS"/>
        </w:rPr>
        <w:t xml:space="preserve">тржишна </w:t>
      </w:r>
      <w:r w:rsidR="00875757" w:rsidRPr="003321D0">
        <w:rPr>
          <w:noProof/>
          <w:sz w:val="20"/>
          <w:szCs w:val="20"/>
          <w:lang w:val="sr-Cyrl-CS"/>
        </w:rPr>
        <w:t xml:space="preserve">цена акције </w:t>
      </w:r>
      <w:r w:rsidRPr="003321D0">
        <w:rPr>
          <w:noProof/>
          <w:sz w:val="20"/>
          <w:szCs w:val="20"/>
          <w:lang w:val="sr-Cyrl-CS"/>
        </w:rPr>
        <w:t xml:space="preserve">је </w:t>
      </w:r>
      <w:r w:rsidR="003321D0" w:rsidRPr="003321D0">
        <w:rPr>
          <w:noProof/>
          <w:sz w:val="20"/>
          <w:szCs w:val="20"/>
          <w:lang w:val="sr-Cyrl-CS"/>
        </w:rPr>
        <w:t>5.760</w:t>
      </w:r>
      <w:r w:rsidR="00875757" w:rsidRPr="003321D0">
        <w:rPr>
          <w:noProof/>
          <w:sz w:val="20"/>
          <w:szCs w:val="20"/>
          <w:lang w:val="sr-Cyrl-CS"/>
        </w:rPr>
        <w:t xml:space="preserve"> динара</w:t>
      </w:r>
      <w:r w:rsidRPr="003321D0">
        <w:rPr>
          <w:noProof/>
          <w:sz w:val="20"/>
          <w:szCs w:val="20"/>
          <w:lang w:val="sr-Cyrl-CS"/>
        </w:rPr>
        <w:t>, а номинална 9.000 динара</w:t>
      </w:r>
    </w:p>
    <w:p w:rsidR="0061552B" w:rsidRPr="00BF3CDE" w:rsidRDefault="00C9033A" w:rsidP="00F93B69">
      <w:pPr>
        <w:spacing w:before="200" w:after="0"/>
        <w:ind w:firstLine="567"/>
        <w:jc w:val="both"/>
        <w:rPr>
          <w:noProof/>
          <w:sz w:val="20"/>
          <w:szCs w:val="20"/>
          <w:lang w:val="sr-Cyrl-CS"/>
        </w:rPr>
      </w:pPr>
      <w:r w:rsidRPr="003321D0">
        <w:rPr>
          <w:noProof/>
          <w:sz w:val="20"/>
          <w:szCs w:val="20"/>
          <w:lang w:val="sr-Cyrl-CS"/>
        </w:rPr>
        <w:t>Већински власник Друштва је Компанија „Дунав осигурање“ а.д.о. са 92,65% у акцијском, односно 88,41% у основном  капиталу.</w:t>
      </w:r>
      <w:r w:rsidRPr="00BF3CDE">
        <w:rPr>
          <w:noProof/>
          <w:sz w:val="20"/>
          <w:szCs w:val="20"/>
          <w:lang w:val="sr-Cyrl-CS"/>
        </w:rPr>
        <w:t xml:space="preserve"> </w:t>
      </w:r>
    </w:p>
    <w:p w:rsidR="00306DF9" w:rsidRDefault="00306DF9" w:rsidP="00CF0ACE">
      <w:pPr>
        <w:spacing w:after="0"/>
        <w:ind w:firstLine="567"/>
        <w:jc w:val="right"/>
        <w:rPr>
          <w:noProof/>
          <w:sz w:val="20"/>
          <w:szCs w:val="20"/>
          <w:lang w:val="sr-Cyrl-CS"/>
        </w:rPr>
      </w:pPr>
      <w:r w:rsidRPr="00BF3CDE">
        <w:rPr>
          <w:noProof/>
          <w:sz w:val="20"/>
          <w:szCs w:val="20"/>
          <w:lang w:val="sr-Cyrl-CS"/>
        </w:rPr>
        <w:t>у 000 РСД</w:t>
      </w:r>
    </w:p>
    <w:tbl>
      <w:tblPr>
        <w:tblW w:w="9260" w:type="dxa"/>
        <w:tblInd w:w="93" w:type="dxa"/>
        <w:tblLook w:val="04A0" w:firstRow="1" w:lastRow="0" w:firstColumn="1" w:lastColumn="0" w:noHBand="0" w:noVBand="1"/>
      </w:tblPr>
      <w:tblGrid>
        <w:gridCol w:w="399"/>
        <w:gridCol w:w="3855"/>
        <w:gridCol w:w="1191"/>
        <w:gridCol w:w="1243"/>
        <w:gridCol w:w="1223"/>
        <w:gridCol w:w="1366"/>
      </w:tblGrid>
      <w:tr w:rsidR="00172120" w:rsidRPr="00172120" w:rsidTr="009F3AB7">
        <w:trPr>
          <w:trHeight w:val="801"/>
        </w:trPr>
        <w:tc>
          <w:tcPr>
            <w:tcW w:w="382" w:type="dxa"/>
            <w:tcBorders>
              <w:top w:val="single" w:sz="8" w:space="0" w:color="1F497D"/>
              <w:left w:val="single" w:sz="8" w:space="0" w:color="1F497D"/>
              <w:bottom w:val="single" w:sz="8" w:space="0" w:color="1F497D"/>
              <w:right w:val="single" w:sz="4" w:space="0" w:color="1F497D"/>
            </w:tcBorders>
            <w:shd w:val="clear" w:color="auto" w:fill="auto"/>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РБ</w:t>
            </w:r>
          </w:p>
        </w:tc>
        <w:tc>
          <w:tcPr>
            <w:tcW w:w="3855" w:type="dxa"/>
            <w:tcBorders>
              <w:top w:val="single" w:sz="8" w:space="0" w:color="1F497D"/>
              <w:left w:val="nil"/>
              <w:bottom w:val="single" w:sz="8" w:space="0" w:color="1F497D"/>
              <w:right w:val="single" w:sz="4" w:space="0" w:color="1F497D"/>
            </w:tcBorders>
            <w:shd w:val="clear" w:color="auto" w:fill="auto"/>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АКЦИОНАРИ на дан 31.12.2015.</w:t>
            </w:r>
          </w:p>
        </w:tc>
        <w:tc>
          <w:tcPr>
            <w:tcW w:w="1191" w:type="dxa"/>
            <w:tcBorders>
              <w:top w:val="single" w:sz="8" w:space="0" w:color="1F497D"/>
              <w:left w:val="nil"/>
              <w:bottom w:val="single" w:sz="8" w:space="0" w:color="1F497D"/>
              <w:right w:val="single" w:sz="4" w:space="0" w:color="1F497D"/>
            </w:tcBorders>
            <w:shd w:val="clear" w:color="auto" w:fill="auto"/>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БРОЈ АКЦИЈА</w:t>
            </w:r>
          </w:p>
        </w:tc>
        <w:tc>
          <w:tcPr>
            <w:tcW w:w="1243" w:type="dxa"/>
            <w:tcBorders>
              <w:top w:val="single" w:sz="8" w:space="0" w:color="1F497D"/>
              <w:left w:val="nil"/>
              <w:bottom w:val="single" w:sz="8" w:space="0" w:color="1F497D"/>
              <w:right w:val="single" w:sz="4" w:space="0" w:color="1F497D"/>
            </w:tcBorders>
            <w:shd w:val="clear" w:color="auto" w:fill="auto"/>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УКУПАН КАПИТАЛ</w:t>
            </w:r>
          </w:p>
        </w:tc>
        <w:tc>
          <w:tcPr>
            <w:tcW w:w="1223" w:type="dxa"/>
            <w:tcBorders>
              <w:top w:val="single" w:sz="8" w:space="0" w:color="1F497D"/>
              <w:left w:val="nil"/>
              <w:bottom w:val="single" w:sz="8" w:space="0" w:color="1F497D"/>
              <w:right w:val="single" w:sz="4" w:space="0" w:color="1F497D"/>
            </w:tcBorders>
            <w:shd w:val="clear" w:color="auto" w:fill="auto"/>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 УЧЕШЋА У АКЦИЈСКОМ КАПИТАЛУ</w:t>
            </w:r>
          </w:p>
        </w:tc>
        <w:tc>
          <w:tcPr>
            <w:tcW w:w="1366" w:type="dxa"/>
            <w:tcBorders>
              <w:top w:val="single" w:sz="8" w:space="0" w:color="1F497D"/>
              <w:left w:val="nil"/>
              <w:bottom w:val="single" w:sz="8" w:space="0" w:color="1F497D"/>
              <w:right w:val="single" w:sz="8" w:space="0" w:color="1F497D"/>
            </w:tcBorders>
            <w:shd w:val="clear" w:color="auto" w:fill="auto"/>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 УЧЕШЋА У ОСН. КАПИТАЛУ</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Компанија Дунав Осигурање адо, Београд</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75.126</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676.134</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92,65%</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88,41%</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2</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Сава Осигурање адо, Београд</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2.731</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24.579</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3,37%</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3,21%</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3</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Уникредит - кастоди</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910</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8.190</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1,12%</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1,07%</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4</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Ловћен Осигуранје ад, Подгорица</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631</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4.617</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0,63%</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0,60%</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5</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Банка Интеса - кастоди</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513</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3.240</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0,44%</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0,42%</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6</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Војвођанска банка ад - кастоди</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360</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3.177</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0,44%</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0,42%</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7</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АМС Осигурање ад, Београд</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353</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1.089</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0,15%</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0,14%</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8</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SWISS-Агроосигурање, Подгорица</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192</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450</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0,06%</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0,06%</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9</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Ерсте банка - кастоди</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121</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414</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0,06%</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0,05%</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10</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EGP Invesment</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50</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5.679</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0,78%</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0,74%</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11</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sz w:val="16"/>
                <w:szCs w:val="16"/>
                <w:lang w:val="sr-Latn-RS" w:eastAsia="sr-Latn-RS"/>
              </w:rPr>
            </w:pPr>
            <w:r w:rsidRPr="00480E31">
              <w:rPr>
                <w:rFonts w:eastAsia="Times New Roman" w:cs="Times New Roman"/>
                <w:sz w:val="16"/>
                <w:szCs w:val="16"/>
                <w:lang w:val="sr-Latn-RS" w:eastAsia="sr-Latn-RS"/>
              </w:rPr>
              <w:t>Триглав Осигуранје адо, Београд</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Calibri" w:eastAsia="Times New Roman" w:hAnsi="Calibri" w:cs="Times New Roman"/>
                <w:sz w:val="20"/>
                <w:szCs w:val="16"/>
                <w:lang w:val="sr-Latn-RS" w:eastAsia="sr-Latn-RS"/>
              </w:rPr>
            </w:pPr>
            <w:r w:rsidRPr="00172120">
              <w:rPr>
                <w:rFonts w:ascii="Calibri" w:eastAsia="Times New Roman" w:hAnsi="Calibri" w:cs="Times New Roman"/>
                <w:sz w:val="20"/>
                <w:szCs w:val="16"/>
                <w:lang w:val="sr-Latn-RS" w:eastAsia="sr-Latn-RS"/>
              </w:rPr>
              <w:t>46</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1.728</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0,24%</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0,23%</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12</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color w:val="000000"/>
                <w:sz w:val="16"/>
                <w:szCs w:val="16"/>
                <w:lang w:val="sr-Latn-RS" w:eastAsia="sr-Latn-RS"/>
              </w:rPr>
            </w:pPr>
            <w:r w:rsidRPr="00480E31">
              <w:rPr>
                <w:rFonts w:eastAsia="Times New Roman" w:cs="Times New Roman"/>
                <w:color w:val="000000"/>
                <w:sz w:val="16"/>
                <w:szCs w:val="16"/>
                <w:lang w:val="sr-Latn-RS" w:eastAsia="sr-Latn-RS"/>
              </w:rPr>
              <w:t>Станић Зоран</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Arial" w:eastAsia="Times New Roman" w:hAnsi="Arial" w:cs="Arial"/>
                <w:sz w:val="20"/>
                <w:szCs w:val="16"/>
                <w:lang w:val="sr-Latn-RS" w:eastAsia="sr-Latn-RS"/>
              </w:rPr>
            </w:pPr>
            <w:r w:rsidRPr="00172120">
              <w:rPr>
                <w:rFonts w:ascii="Arial" w:eastAsia="Times New Roman" w:hAnsi="Arial" w:cs="Arial"/>
                <w:sz w:val="20"/>
                <w:szCs w:val="16"/>
                <w:lang w:val="sr-Latn-RS" w:eastAsia="sr-Latn-RS"/>
              </w:rPr>
              <w:t>30</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36</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13</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color w:val="000000"/>
                <w:sz w:val="16"/>
                <w:szCs w:val="16"/>
                <w:lang w:val="sr-Latn-RS" w:eastAsia="sr-Latn-RS"/>
              </w:rPr>
            </w:pPr>
            <w:r w:rsidRPr="00480E31">
              <w:rPr>
                <w:rFonts w:eastAsia="Times New Roman" w:cs="Times New Roman"/>
                <w:color w:val="000000"/>
                <w:sz w:val="16"/>
                <w:szCs w:val="16"/>
                <w:lang w:val="sr-Latn-RS" w:eastAsia="sr-Latn-RS"/>
              </w:rPr>
              <w:t>Недељковић Игор</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Arial" w:eastAsia="Times New Roman" w:hAnsi="Arial" w:cs="Arial"/>
                <w:sz w:val="20"/>
                <w:szCs w:val="16"/>
                <w:lang w:val="sr-Latn-RS" w:eastAsia="sr-Latn-RS"/>
              </w:rPr>
            </w:pPr>
            <w:r w:rsidRPr="00172120">
              <w:rPr>
                <w:rFonts w:ascii="Arial" w:eastAsia="Times New Roman" w:hAnsi="Arial" w:cs="Arial"/>
                <w:sz w:val="20"/>
                <w:szCs w:val="16"/>
                <w:lang w:val="sr-Latn-RS" w:eastAsia="sr-Latn-RS"/>
              </w:rPr>
              <w:t>6</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270</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0,04%</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0,04%</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14</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color w:val="000000"/>
                <w:sz w:val="16"/>
                <w:szCs w:val="16"/>
                <w:lang w:val="sr-Latn-RS" w:eastAsia="sr-Latn-RS"/>
              </w:rPr>
            </w:pPr>
            <w:r w:rsidRPr="00480E31">
              <w:rPr>
                <w:rFonts w:eastAsia="Times New Roman" w:cs="Times New Roman"/>
                <w:color w:val="000000"/>
                <w:sz w:val="16"/>
                <w:szCs w:val="16"/>
                <w:lang w:val="sr-Latn-RS" w:eastAsia="sr-Latn-RS"/>
              </w:rPr>
              <w:t>Мацура Слободан</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Arial" w:eastAsia="Times New Roman" w:hAnsi="Arial" w:cs="Arial"/>
                <w:sz w:val="20"/>
                <w:szCs w:val="16"/>
                <w:lang w:val="sr-Latn-RS" w:eastAsia="sr-Latn-RS"/>
              </w:rPr>
            </w:pPr>
            <w:r w:rsidRPr="00172120">
              <w:rPr>
                <w:rFonts w:ascii="Arial" w:eastAsia="Times New Roman" w:hAnsi="Arial" w:cs="Arial"/>
                <w:sz w:val="20"/>
                <w:szCs w:val="16"/>
                <w:lang w:val="sr-Latn-RS" w:eastAsia="sr-Latn-RS"/>
              </w:rPr>
              <w:t>4</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54</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0,01%</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0,01%</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15</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color w:val="000000"/>
                <w:sz w:val="16"/>
                <w:szCs w:val="16"/>
                <w:lang w:val="sr-Latn-RS" w:eastAsia="sr-Latn-RS"/>
              </w:rPr>
            </w:pPr>
            <w:r w:rsidRPr="00480E31">
              <w:rPr>
                <w:rFonts w:eastAsia="Times New Roman" w:cs="Times New Roman"/>
                <w:color w:val="000000"/>
                <w:sz w:val="16"/>
                <w:szCs w:val="16"/>
                <w:lang w:val="sr-Latn-RS" w:eastAsia="sr-Latn-RS"/>
              </w:rPr>
              <w:t>Вранешић Дарко</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Arial" w:eastAsia="Times New Roman" w:hAnsi="Arial" w:cs="Arial"/>
                <w:sz w:val="20"/>
                <w:szCs w:val="16"/>
                <w:lang w:val="sr-Latn-RS" w:eastAsia="sr-Latn-RS"/>
              </w:rPr>
            </w:pPr>
            <w:r w:rsidRPr="00172120">
              <w:rPr>
                <w:rFonts w:ascii="Arial" w:eastAsia="Times New Roman" w:hAnsi="Arial" w:cs="Arial"/>
                <w:sz w:val="20"/>
                <w:szCs w:val="16"/>
                <w:lang w:val="sr-Latn-RS" w:eastAsia="sr-Latn-RS"/>
              </w:rPr>
              <w:t>4</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27</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16</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color w:val="000000"/>
                <w:sz w:val="16"/>
                <w:szCs w:val="16"/>
                <w:lang w:val="sr-Latn-RS" w:eastAsia="sr-Latn-RS"/>
              </w:rPr>
            </w:pPr>
            <w:r w:rsidRPr="00480E31">
              <w:rPr>
                <w:rFonts w:eastAsia="Times New Roman" w:cs="Times New Roman"/>
                <w:color w:val="000000"/>
                <w:sz w:val="16"/>
                <w:szCs w:val="16"/>
                <w:lang w:val="sr-Latn-RS" w:eastAsia="sr-Latn-RS"/>
              </w:rPr>
              <w:t>Лукић Стефан</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Arial" w:eastAsia="Times New Roman" w:hAnsi="Arial" w:cs="Arial"/>
                <w:sz w:val="20"/>
                <w:szCs w:val="16"/>
                <w:lang w:val="sr-Latn-RS" w:eastAsia="sr-Latn-RS"/>
              </w:rPr>
            </w:pPr>
            <w:r w:rsidRPr="00172120">
              <w:rPr>
                <w:rFonts w:ascii="Arial" w:eastAsia="Times New Roman" w:hAnsi="Arial" w:cs="Arial"/>
                <w:sz w:val="20"/>
                <w:szCs w:val="16"/>
                <w:lang w:val="sr-Latn-RS" w:eastAsia="sr-Latn-RS"/>
              </w:rPr>
              <w:t>3</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36</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r>
      <w:tr w:rsidR="00172120" w:rsidRPr="00172120" w:rsidTr="009F3AB7">
        <w:trPr>
          <w:trHeight w:val="258"/>
        </w:trPr>
        <w:tc>
          <w:tcPr>
            <w:tcW w:w="382" w:type="dxa"/>
            <w:tcBorders>
              <w:top w:val="nil"/>
              <w:left w:val="single" w:sz="8" w:space="0" w:color="1F497D"/>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17</w:t>
            </w:r>
          </w:p>
        </w:tc>
        <w:tc>
          <w:tcPr>
            <w:tcW w:w="3855" w:type="dxa"/>
            <w:tcBorders>
              <w:top w:val="nil"/>
              <w:left w:val="nil"/>
              <w:bottom w:val="single" w:sz="4"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Arial"/>
                <w:sz w:val="16"/>
                <w:szCs w:val="16"/>
                <w:lang w:val="sr-Latn-RS" w:eastAsia="sr-Latn-RS"/>
              </w:rPr>
            </w:pPr>
            <w:r w:rsidRPr="00480E31">
              <w:rPr>
                <w:rFonts w:eastAsia="Times New Roman" w:cs="Arial"/>
                <w:sz w:val="16"/>
                <w:szCs w:val="16"/>
                <w:lang w:val="sr-Latn-RS" w:eastAsia="sr-Latn-RS"/>
              </w:rPr>
              <w:t>Перић Вељко</w:t>
            </w:r>
          </w:p>
        </w:tc>
        <w:tc>
          <w:tcPr>
            <w:tcW w:w="1191"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Arial" w:eastAsia="Times New Roman" w:hAnsi="Arial" w:cs="Arial"/>
                <w:sz w:val="20"/>
                <w:szCs w:val="16"/>
                <w:lang w:val="sr-Latn-RS" w:eastAsia="sr-Latn-RS"/>
              </w:rPr>
            </w:pPr>
            <w:r w:rsidRPr="00172120">
              <w:rPr>
                <w:rFonts w:ascii="Arial" w:eastAsia="Times New Roman" w:hAnsi="Arial" w:cs="Arial"/>
                <w:sz w:val="20"/>
                <w:szCs w:val="16"/>
                <w:lang w:val="sr-Latn-RS" w:eastAsia="sr-Latn-RS"/>
              </w:rPr>
              <w:t>2</w:t>
            </w:r>
          </w:p>
        </w:tc>
        <w:tc>
          <w:tcPr>
            <w:tcW w:w="1243" w:type="dxa"/>
            <w:tcBorders>
              <w:top w:val="nil"/>
              <w:left w:val="nil"/>
              <w:bottom w:val="single" w:sz="4"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18</w:t>
            </w:r>
          </w:p>
        </w:tc>
        <w:tc>
          <w:tcPr>
            <w:tcW w:w="1223" w:type="dxa"/>
            <w:tcBorders>
              <w:top w:val="nil"/>
              <w:left w:val="nil"/>
              <w:bottom w:val="single" w:sz="4"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c>
          <w:tcPr>
            <w:tcW w:w="1366" w:type="dxa"/>
            <w:tcBorders>
              <w:top w:val="nil"/>
              <w:left w:val="nil"/>
              <w:bottom w:val="single" w:sz="4"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r>
      <w:tr w:rsidR="00172120" w:rsidRPr="00172120" w:rsidTr="009F3AB7">
        <w:trPr>
          <w:trHeight w:val="258"/>
        </w:trPr>
        <w:tc>
          <w:tcPr>
            <w:tcW w:w="382" w:type="dxa"/>
            <w:tcBorders>
              <w:top w:val="nil"/>
              <w:left w:val="single" w:sz="8" w:space="0" w:color="1F497D"/>
              <w:bottom w:val="double" w:sz="6"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18</w:t>
            </w:r>
          </w:p>
        </w:tc>
        <w:tc>
          <w:tcPr>
            <w:tcW w:w="3855" w:type="dxa"/>
            <w:tcBorders>
              <w:top w:val="nil"/>
              <w:left w:val="nil"/>
              <w:bottom w:val="double" w:sz="6" w:space="0" w:color="1F497D"/>
              <w:right w:val="single" w:sz="4" w:space="0" w:color="1F497D"/>
            </w:tcBorders>
            <w:shd w:val="clear" w:color="auto" w:fill="auto"/>
            <w:noWrap/>
            <w:vAlign w:val="bottom"/>
            <w:hideMark/>
          </w:tcPr>
          <w:p w:rsidR="00172120" w:rsidRPr="00480E31" w:rsidRDefault="00172120" w:rsidP="00172120">
            <w:pPr>
              <w:spacing w:after="0" w:line="240" w:lineRule="auto"/>
              <w:rPr>
                <w:rFonts w:eastAsia="Times New Roman" w:cs="Times New Roman"/>
                <w:color w:val="000000"/>
                <w:sz w:val="16"/>
                <w:szCs w:val="16"/>
                <w:lang w:val="sr-Latn-RS" w:eastAsia="sr-Latn-RS"/>
              </w:rPr>
            </w:pPr>
            <w:r w:rsidRPr="00480E31">
              <w:rPr>
                <w:rFonts w:eastAsia="Times New Roman" w:cs="Times New Roman"/>
                <w:color w:val="000000"/>
                <w:sz w:val="16"/>
                <w:szCs w:val="16"/>
                <w:lang w:val="sr-Latn-RS" w:eastAsia="sr-Latn-RS"/>
              </w:rPr>
              <w:t>Адамов Предраг</w:t>
            </w:r>
          </w:p>
        </w:tc>
        <w:tc>
          <w:tcPr>
            <w:tcW w:w="1191" w:type="dxa"/>
            <w:tcBorders>
              <w:top w:val="nil"/>
              <w:left w:val="nil"/>
              <w:bottom w:val="double" w:sz="6"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Arial" w:eastAsia="Times New Roman" w:hAnsi="Arial" w:cs="Arial"/>
                <w:sz w:val="20"/>
                <w:szCs w:val="16"/>
                <w:lang w:val="sr-Latn-RS" w:eastAsia="sr-Latn-RS"/>
              </w:rPr>
            </w:pPr>
            <w:r w:rsidRPr="00172120">
              <w:rPr>
                <w:rFonts w:ascii="Arial" w:eastAsia="Times New Roman" w:hAnsi="Arial" w:cs="Arial"/>
                <w:sz w:val="20"/>
                <w:szCs w:val="16"/>
                <w:lang w:val="sr-Latn-RS" w:eastAsia="sr-Latn-RS"/>
              </w:rPr>
              <w:t>1</w:t>
            </w:r>
          </w:p>
        </w:tc>
        <w:tc>
          <w:tcPr>
            <w:tcW w:w="1243" w:type="dxa"/>
            <w:tcBorders>
              <w:top w:val="nil"/>
              <w:left w:val="nil"/>
              <w:bottom w:val="double" w:sz="6"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9</w:t>
            </w:r>
          </w:p>
        </w:tc>
        <w:tc>
          <w:tcPr>
            <w:tcW w:w="1223" w:type="dxa"/>
            <w:tcBorders>
              <w:top w:val="nil"/>
              <w:left w:val="nil"/>
              <w:bottom w:val="double" w:sz="6"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c>
          <w:tcPr>
            <w:tcW w:w="1366" w:type="dxa"/>
            <w:tcBorders>
              <w:top w:val="nil"/>
              <w:left w:val="nil"/>
              <w:bottom w:val="double" w:sz="6"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0,00%</w:t>
            </w:r>
          </w:p>
        </w:tc>
      </w:tr>
      <w:tr w:rsidR="00172120" w:rsidRPr="00172120" w:rsidTr="009F3AB7">
        <w:trPr>
          <w:trHeight w:val="285"/>
        </w:trPr>
        <w:tc>
          <w:tcPr>
            <w:tcW w:w="382" w:type="dxa"/>
            <w:tcBorders>
              <w:top w:val="nil"/>
              <w:left w:val="single" w:sz="8" w:space="0" w:color="1F497D"/>
              <w:bottom w:val="single" w:sz="4" w:space="0" w:color="1F497D"/>
              <w:right w:val="single" w:sz="4" w:space="0" w:color="1F497D"/>
            </w:tcBorders>
            <w:shd w:val="clear" w:color="000000" w:fill="DCE6F1"/>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I</w:t>
            </w:r>
          </w:p>
        </w:tc>
        <w:tc>
          <w:tcPr>
            <w:tcW w:w="3855" w:type="dxa"/>
            <w:tcBorders>
              <w:top w:val="nil"/>
              <w:left w:val="nil"/>
              <w:bottom w:val="single" w:sz="4" w:space="0" w:color="1F497D"/>
              <w:right w:val="single" w:sz="4" w:space="0" w:color="1F497D"/>
            </w:tcBorders>
            <w:shd w:val="clear" w:color="000000" w:fill="DCE6F1"/>
            <w:noWrap/>
            <w:vAlign w:val="center"/>
            <w:hideMark/>
          </w:tcPr>
          <w:p w:rsidR="00172120" w:rsidRPr="00172120" w:rsidRDefault="00172120" w:rsidP="00172120">
            <w:pPr>
              <w:spacing w:after="0" w:line="240" w:lineRule="auto"/>
              <w:jc w:val="right"/>
              <w:rPr>
                <w:rFonts w:ascii="Tahoma" w:eastAsia="Times New Roman" w:hAnsi="Tahoma" w:cs="Tahoma"/>
                <w:b/>
                <w:bCs/>
                <w:color w:val="000000"/>
                <w:sz w:val="18"/>
                <w:szCs w:val="18"/>
                <w:lang w:val="sr-Latn-RS" w:eastAsia="sr-Latn-RS"/>
              </w:rPr>
            </w:pPr>
            <w:r w:rsidRPr="00172120">
              <w:rPr>
                <w:rFonts w:ascii="Tahoma" w:eastAsia="Times New Roman" w:hAnsi="Tahoma" w:cs="Tahoma"/>
                <w:b/>
                <w:bCs/>
                <w:color w:val="000000"/>
                <w:sz w:val="18"/>
                <w:szCs w:val="18"/>
                <w:lang w:val="sr-Latn-RS" w:eastAsia="sr-Latn-RS"/>
              </w:rPr>
              <w:t>Акционарски капитал</w:t>
            </w:r>
          </w:p>
        </w:tc>
        <w:tc>
          <w:tcPr>
            <w:tcW w:w="1191" w:type="dxa"/>
            <w:tcBorders>
              <w:top w:val="nil"/>
              <w:left w:val="nil"/>
              <w:bottom w:val="single" w:sz="4" w:space="0" w:color="1F497D"/>
              <w:right w:val="single" w:sz="4" w:space="0" w:color="1F497D"/>
            </w:tcBorders>
            <w:shd w:val="clear" w:color="000000" w:fill="DCE6F1"/>
            <w:noWrap/>
            <w:vAlign w:val="center"/>
            <w:hideMark/>
          </w:tcPr>
          <w:p w:rsidR="00172120" w:rsidRPr="00172120" w:rsidRDefault="00172120" w:rsidP="00172120">
            <w:pPr>
              <w:spacing w:after="0" w:line="240" w:lineRule="auto"/>
              <w:jc w:val="center"/>
              <w:rPr>
                <w:rFonts w:ascii="Tahoma" w:eastAsia="Times New Roman" w:hAnsi="Tahoma" w:cs="Tahoma"/>
                <w:color w:val="000000"/>
                <w:sz w:val="18"/>
                <w:szCs w:val="18"/>
                <w:lang w:val="sr-Latn-RS" w:eastAsia="sr-Latn-RS"/>
              </w:rPr>
            </w:pPr>
            <w:r w:rsidRPr="00172120">
              <w:rPr>
                <w:rFonts w:ascii="Tahoma" w:eastAsia="Times New Roman" w:hAnsi="Tahoma" w:cs="Tahoma"/>
                <w:color w:val="000000"/>
                <w:sz w:val="18"/>
                <w:szCs w:val="18"/>
                <w:lang w:val="sr-Latn-RS" w:eastAsia="sr-Latn-RS"/>
              </w:rPr>
              <w:t xml:space="preserve">    81.083      </w:t>
            </w:r>
          </w:p>
        </w:tc>
        <w:tc>
          <w:tcPr>
            <w:tcW w:w="1243" w:type="dxa"/>
            <w:tcBorders>
              <w:top w:val="nil"/>
              <w:left w:val="nil"/>
              <w:bottom w:val="single" w:sz="4" w:space="0" w:color="1F497D"/>
              <w:right w:val="single" w:sz="4" w:space="0" w:color="1F497D"/>
            </w:tcBorders>
            <w:shd w:val="clear" w:color="000000" w:fill="DCE6F1"/>
            <w:noWrap/>
            <w:vAlign w:val="bottom"/>
            <w:hideMark/>
          </w:tcPr>
          <w:p w:rsidR="00172120" w:rsidRPr="00172120" w:rsidRDefault="00172120" w:rsidP="00172120">
            <w:pPr>
              <w:spacing w:after="0" w:line="240" w:lineRule="auto"/>
              <w:jc w:val="center"/>
              <w:rPr>
                <w:rFonts w:ascii="Tahoma" w:eastAsia="Times New Roman" w:hAnsi="Tahoma" w:cs="Tahoma"/>
                <w:color w:val="000000"/>
                <w:sz w:val="18"/>
                <w:szCs w:val="18"/>
                <w:lang w:val="sr-Latn-RS" w:eastAsia="sr-Latn-RS"/>
              </w:rPr>
            </w:pPr>
            <w:r w:rsidRPr="00172120">
              <w:rPr>
                <w:rFonts w:ascii="Tahoma" w:eastAsia="Times New Roman" w:hAnsi="Tahoma" w:cs="Tahoma"/>
                <w:color w:val="000000"/>
                <w:sz w:val="18"/>
                <w:szCs w:val="18"/>
                <w:lang w:val="sr-Latn-RS" w:eastAsia="sr-Latn-RS"/>
              </w:rPr>
              <w:t xml:space="preserve">     729.747      </w:t>
            </w:r>
          </w:p>
        </w:tc>
        <w:tc>
          <w:tcPr>
            <w:tcW w:w="1223" w:type="dxa"/>
            <w:tcBorders>
              <w:top w:val="nil"/>
              <w:left w:val="nil"/>
              <w:bottom w:val="single" w:sz="4" w:space="0" w:color="1F497D"/>
              <w:right w:val="single" w:sz="4" w:space="0" w:color="1F497D"/>
            </w:tcBorders>
            <w:shd w:val="clear" w:color="000000" w:fill="DCE6F1"/>
            <w:noWrap/>
            <w:vAlign w:val="center"/>
            <w:hideMark/>
          </w:tcPr>
          <w:p w:rsidR="00172120" w:rsidRPr="00172120" w:rsidRDefault="00172120" w:rsidP="00172120">
            <w:pPr>
              <w:spacing w:after="0" w:line="240" w:lineRule="auto"/>
              <w:jc w:val="center"/>
              <w:rPr>
                <w:rFonts w:ascii="Tahoma" w:eastAsia="Times New Roman" w:hAnsi="Tahoma" w:cs="Tahoma"/>
                <w:color w:val="000000"/>
                <w:sz w:val="18"/>
                <w:szCs w:val="18"/>
                <w:lang w:val="sr-Latn-RS" w:eastAsia="sr-Latn-RS"/>
              </w:rPr>
            </w:pPr>
            <w:r w:rsidRPr="00172120">
              <w:rPr>
                <w:rFonts w:ascii="Tahoma" w:eastAsia="Times New Roman" w:hAnsi="Tahoma" w:cs="Tahoma"/>
                <w:color w:val="000000"/>
                <w:sz w:val="18"/>
                <w:szCs w:val="18"/>
                <w:lang w:val="sr-Latn-RS" w:eastAsia="sr-Latn-RS"/>
              </w:rPr>
              <w:t>100,00%</w:t>
            </w:r>
          </w:p>
        </w:tc>
        <w:tc>
          <w:tcPr>
            <w:tcW w:w="1366" w:type="dxa"/>
            <w:tcBorders>
              <w:top w:val="nil"/>
              <w:left w:val="nil"/>
              <w:bottom w:val="single" w:sz="4" w:space="0" w:color="1F497D"/>
              <w:right w:val="single" w:sz="8" w:space="0" w:color="1F497D"/>
            </w:tcBorders>
            <w:shd w:val="clear" w:color="000000" w:fill="DCE6F1"/>
            <w:noWrap/>
            <w:vAlign w:val="center"/>
            <w:hideMark/>
          </w:tcPr>
          <w:p w:rsidR="00172120" w:rsidRPr="00172120" w:rsidRDefault="00172120" w:rsidP="00172120">
            <w:pPr>
              <w:spacing w:after="0" w:line="240" w:lineRule="auto"/>
              <w:jc w:val="center"/>
              <w:rPr>
                <w:rFonts w:ascii="Tahoma" w:eastAsia="Times New Roman" w:hAnsi="Tahoma" w:cs="Tahoma"/>
                <w:color w:val="000000"/>
                <w:sz w:val="18"/>
                <w:szCs w:val="18"/>
                <w:lang w:val="sr-Latn-RS" w:eastAsia="sr-Latn-RS"/>
              </w:rPr>
            </w:pPr>
            <w:r w:rsidRPr="00172120">
              <w:rPr>
                <w:rFonts w:ascii="Tahoma" w:eastAsia="Times New Roman" w:hAnsi="Tahoma" w:cs="Tahoma"/>
                <w:color w:val="000000"/>
                <w:sz w:val="18"/>
                <w:szCs w:val="18"/>
                <w:lang w:val="sr-Latn-RS" w:eastAsia="sr-Latn-RS"/>
              </w:rPr>
              <w:t>95,42%</w:t>
            </w:r>
          </w:p>
        </w:tc>
      </w:tr>
      <w:tr w:rsidR="00172120" w:rsidRPr="00172120" w:rsidTr="009F3AB7">
        <w:trPr>
          <w:trHeight w:val="285"/>
        </w:trPr>
        <w:tc>
          <w:tcPr>
            <w:tcW w:w="382" w:type="dxa"/>
            <w:tcBorders>
              <w:top w:val="nil"/>
              <w:left w:val="single" w:sz="8" w:space="0" w:color="1F497D"/>
              <w:bottom w:val="double" w:sz="6" w:space="0" w:color="1F497D"/>
              <w:right w:val="single" w:sz="4" w:space="0" w:color="1F497D"/>
            </w:tcBorders>
            <w:shd w:val="clear" w:color="000000" w:fill="DCE6F1"/>
            <w:noWrap/>
            <w:vAlign w:val="center"/>
            <w:hideMark/>
          </w:tcPr>
          <w:p w:rsidR="00172120" w:rsidRPr="00172120" w:rsidRDefault="00172120" w:rsidP="00172120">
            <w:pPr>
              <w:spacing w:after="0" w:line="240" w:lineRule="auto"/>
              <w:jc w:val="center"/>
              <w:rPr>
                <w:rFonts w:ascii="Tahoma" w:eastAsia="Times New Roman" w:hAnsi="Tahoma" w:cs="Tahoma"/>
                <w:color w:val="000000"/>
                <w:sz w:val="16"/>
                <w:szCs w:val="16"/>
                <w:lang w:val="sr-Latn-RS" w:eastAsia="sr-Latn-RS"/>
              </w:rPr>
            </w:pPr>
            <w:r w:rsidRPr="00172120">
              <w:rPr>
                <w:rFonts w:ascii="Tahoma" w:eastAsia="Times New Roman" w:hAnsi="Tahoma" w:cs="Tahoma"/>
                <w:color w:val="000000"/>
                <w:sz w:val="16"/>
                <w:szCs w:val="16"/>
                <w:lang w:val="sr-Latn-RS" w:eastAsia="sr-Latn-RS"/>
              </w:rPr>
              <w:t>II</w:t>
            </w:r>
          </w:p>
        </w:tc>
        <w:tc>
          <w:tcPr>
            <w:tcW w:w="3855" w:type="dxa"/>
            <w:tcBorders>
              <w:top w:val="nil"/>
              <w:left w:val="nil"/>
              <w:bottom w:val="double" w:sz="6" w:space="0" w:color="1F497D"/>
              <w:right w:val="single" w:sz="4" w:space="0" w:color="1F497D"/>
            </w:tcBorders>
            <w:shd w:val="clear" w:color="000000" w:fill="DCE6F1"/>
            <w:noWrap/>
            <w:vAlign w:val="center"/>
            <w:hideMark/>
          </w:tcPr>
          <w:p w:rsidR="00172120" w:rsidRPr="00172120" w:rsidRDefault="00172120" w:rsidP="00172120">
            <w:pPr>
              <w:spacing w:after="0" w:line="240" w:lineRule="auto"/>
              <w:jc w:val="right"/>
              <w:rPr>
                <w:rFonts w:ascii="Tahoma" w:eastAsia="Times New Roman" w:hAnsi="Tahoma" w:cs="Tahoma"/>
                <w:b/>
                <w:bCs/>
                <w:color w:val="000000"/>
                <w:sz w:val="18"/>
                <w:szCs w:val="18"/>
                <w:lang w:val="sr-Latn-RS" w:eastAsia="sr-Latn-RS"/>
              </w:rPr>
            </w:pPr>
            <w:r w:rsidRPr="00172120">
              <w:rPr>
                <w:rFonts w:ascii="Tahoma" w:eastAsia="Times New Roman" w:hAnsi="Tahoma" w:cs="Tahoma"/>
                <w:b/>
                <w:bCs/>
                <w:color w:val="000000"/>
                <w:sz w:val="18"/>
                <w:szCs w:val="18"/>
                <w:lang w:val="sr-Latn-RS" w:eastAsia="sr-Latn-RS"/>
              </w:rPr>
              <w:t>Друштвени капитал</w:t>
            </w:r>
          </w:p>
        </w:tc>
        <w:tc>
          <w:tcPr>
            <w:tcW w:w="1191" w:type="dxa"/>
            <w:tcBorders>
              <w:top w:val="nil"/>
              <w:left w:val="nil"/>
              <w:bottom w:val="double" w:sz="6" w:space="0" w:color="1F497D"/>
              <w:right w:val="single" w:sz="4" w:space="0" w:color="1F497D"/>
            </w:tcBorders>
            <w:shd w:val="clear" w:color="000000" w:fill="DCE6F1"/>
            <w:noWrap/>
            <w:vAlign w:val="center"/>
            <w:hideMark/>
          </w:tcPr>
          <w:p w:rsidR="00172120" w:rsidRPr="00172120" w:rsidRDefault="00172120" w:rsidP="00172120">
            <w:pPr>
              <w:spacing w:after="0" w:line="240" w:lineRule="auto"/>
              <w:jc w:val="center"/>
              <w:rPr>
                <w:rFonts w:ascii="Tahoma" w:eastAsia="Times New Roman" w:hAnsi="Tahoma" w:cs="Tahoma"/>
                <w:color w:val="000000"/>
                <w:sz w:val="18"/>
                <w:szCs w:val="18"/>
                <w:lang w:val="sr-Latn-RS" w:eastAsia="sr-Latn-RS"/>
              </w:rPr>
            </w:pPr>
            <w:r w:rsidRPr="00172120">
              <w:rPr>
                <w:rFonts w:ascii="Tahoma" w:eastAsia="Times New Roman" w:hAnsi="Tahoma" w:cs="Tahoma"/>
                <w:color w:val="000000"/>
                <w:sz w:val="18"/>
                <w:szCs w:val="18"/>
                <w:lang w:val="sr-Latn-RS" w:eastAsia="sr-Latn-RS"/>
              </w:rPr>
              <w:t xml:space="preserve">      3.895      </w:t>
            </w:r>
          </w:p>
        </w:tc>
        <w:tc>
          <w:tcPr>
            <w:tcW w:w="1243" w:type="dxa"/>
            <w:tcBorders>
              <w:top w:val="nil"/>
              <w:left w:val="nil"/>
              <w:bottom w:val="double" w:sz="6" w:space="0" w:color="1F497D"/>
              <w:right w:val="single" w:sz="4" w:space="0" w:color="1F497D"/>
            </w:tcBorders>
            <w:shd w:val="clear" w:color="000000" w:fill="DCE6F1"/>
            <w:noWrap/>
            <w:vAlign w:val="bottom"/>
            <w:hideMark/>
          </w:tcPr>
          <w:p w:rsidR="00172120" w:rsidRPr="00172120" w:rsidRDefault="00172120" w:rsidP="00172120">
            <w:pPr>
              <w:spacing w:after="0" w:line="240" w:lineRule="auto"/>
              <w:jc w:val="center"/>
              <w:rPr>
                <w:rFonts w:ascii="Tahoma" w:eastAsia="Times New Roman" w:hAnsi="Tahoma" w:cs="Tahoma"/>
                <w:color w:val="000000"/>
                <w:sz w:val="18"/>
                <w:szCs w:val="18"/>
                <w:lang w:val="sr-Latn-RS" w:eastAsia="sr-Latn-RS"/>
              </w:rPr>
            </w:pPr>
            <w:r w:rsidRPr="00172120">
              <w:rPr>
                <w:rFonts w:ascii="Tahoma" w:eastAsia="Times New Roman" w:hAnsi="Tahoma" w:cs="Tahoma"/>
                <w:color w:val="000000"/>
                <w:sz w:val="18"/>
                <w:szCs w:val="18"/>
                <w:lang w:val="sr-Latn-RS" w:eastAsia="sr-Latn-RS"/>
              </w:rPr>
              <w:t xml:space="preserve">       35.055      </w:t>
            </w:r>
          </w:p>
        </w:tc>
        <w:tc>
          <w:tcPr>
            <w:tcW w:w="1223" w:type="dxa"/>
            <w:tcBorders>
              <w:top w:val="nil"/>
              <w:left w:val="nil"/>
              <w:bottom w:val="double" w:sz="6" w:space="0" w:color="1F497D"/>
              <w:right w:val="single" w:sz="4" w:space="0" w:color="1F497D"/>
            </w:tcBorders>
            <w:shd w:val="clear" w:color="000000" w:fill="DCE6F1"/>
            <w:noWrap/>
            <w:vAlign w:val="center"/>
            <w:hideMark/>
          </w:tcPr>
          <w:p w:rsidR="00172120" w:rsidRPr="00172120" w:rsidRDefault="00172120" w:rsidP="00172120">
            <w:pPr>
              <w:spacing w:after="0" w:line="240" w:lineRule="auto"/>
              <w:jc w:val="center"/>
              <w:rPr>
                <w:rFonts w:ascii="Tahoma" w:eastAsia="Times New Roman" w:hAnsi="Tahoma" w:cs="Tahoma"/>
                <w:color w:val="000000"/>
                <w:sz w:val="18"/>
                <w:szCs w:val="18"/>
                <w:lang w:val="sr-Latn-RS" w:eastAsia="sr-Latn-RS"/>
              </w:rPr>
            </w:pPr>
            <w:r w:rsidRPr="00172120">
              <w:rPr>
                <w:rFonts w:ascii="Tahoma" w:eastAsia="Times New Roman" w:hAnsi="Tahoma" w:cs="Tahoma"/>
                <w:color w:val="000000"/>
                <w:sz w:val="18"/>
                <w:szCs w:val="18"/>
                <w:lang w:val="sr-Latn-RS" w:eastAsia="sr-Latn-RS"/>
              </w:rPr>
              <w:t> </w:t>
            </w:r>
          </w:p>
        </w:tc>
        <w:tc>
          <w:tcPr>
            <w:tcW w:w="1366" w:type="dxa"/>
            <w:tcBorders>
              <w:top w:val="nil"/>
              <w:left w:val="nil"/>
              <w:bottom w:val="double" w:sz="6" w:space="0" w:color="1F497D"/>
              <w:right w:val="single" w:sz="8" w:space="0" w:color="1F497D"/>
            </w:tcBorders>
            <w:shd w:val="clear" w:color="000000" w:fill="DCE6F1"/>
            <w:noWrap/>
            <w:vAlign w:val="center"/>
            <w:hideMark/>
          </w:tcPr>
          <w:p w:rsidR="00172120" w:rsidRPr="00172120" w:rsidRDefault="00172120" w:rsidP="00172120">
            <w:pPr>
              <w:spacing w:after="0" w:line="240" w:lineRule="auto"/>
              <w:jc w:val="center"/>
              <w:rPr>
                <w:rFonts w:ascii="Tahoma" w:eastAsia="Times New Roman" w:hAnsi="Tahoma" w:cs="Tahoma"/>
                <w:color w:val="000000"/>
                <w:sz w:val="18"/>
                <w:szCs w:val="18"/>
                <w:lang w:val="sr-Latn-RS" w:eastAsia="sr-Latn-RS"/>
              </w:rPr>
            </w:pPr>
            <w:r w:rsidRPr="00172120">
              <w:rPr>
                <w:rFonts w:ascii="Tahoma" w:eastAsia="Times New Roman" w:hAnsi="Tahoma" w:cs="Tahoma"/>
                <w:color w:val="000000"/>
                <w:sz w:val="18"/>
                <w:szCs w:val="18"/>
                <w:lang w:val="sr-Latn-RS" w:eastAsia="sr-Latn-RS"/>
              </w:rPr>
              <w:t>4,58%</w:t>
            </w:r>
          </w:p>
        </w:tc>
      </w:tr>
      <w:tr w:rsidR="00172120" w:rsidRPr="00172120" w:rsidTr="009F3AB7">
        <w:trPr>
          <w:trHeight w:val="298"/>
        </w:trPr>
        <w:tc>
          <w:tcPr>
            <w:tcW w:w="382" w:type="dxa"/>
            <w:tcBorders>
              <w:top w:val="nil"/>
              <w:left w:val="single" w:sz="8" w:space="0" w:color="1F497D"/>
              <w:bottom w:val="single" w:sz="8"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color w:val="000000"/>
                <w:lang w:val="sr-Latn-RS" w:eastAsia="sr-Latn-RS"/>
              </w:rPr>
            </w:pPr>
          </w:p>
        </w:tc>
        <w:tc>
          <w:tcPr>
            <w:tcW w:w="3855" w:type="dxa"/>
            <w:tcBorders>
              <w:top w:val="nil"/>
              <w:left w:val="nil"/>
              <w:bottom w:val="single" w:sz="8"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right"/>
              <w:rPr>
                <w:rFonts w:ascii="Tahoma" w:eastAsia="Times New Roman" w:hAnsi="Tahoma" w:cs="Tahoma"/>
                <w:b/>
                <w:bCs/>
                <w:color w:val="000000"/>
                <w:sz w:val="18"/>
                <w:szCs w:val="18"/>
                <w:lang w:val="sr-Latn-RS" w:eastAsia="sr-Latn-RS"/>
              </w:rPr>
            </w:pPr>
            <w:r w:rsidRPr="00172120">
              <w:rPr>
                <w:rFonts w:ascii="Tahoma" w:eastAsia="Times New Roman" w:hAnsi="Tahoma" w:cs="Tahoma"/>
                <w:b/>
                <w:bCs/>
                <w:color w:val="000000"/>
                <w:sz w:val="18"/>
                <w:szCs w:val="18"/>
                <w:lang w:val="sr-Latn-RS" w:eastAsia="sr-Latn-RS"/>
              </w:rPr>
              <w:t>УКУПНО ОСНОВНИ КАПИТАЛ (I+II)</w:t>
            </w:r>
          </w:p>
        </w:tc>
        <w:tc>
          <w:tcPr>
            <w:tcW w:w="1191" w:type="dxa"/>
            <w:tcBorders>
              <w:top w:val="nil"/>
              <w:left w:val="nil"/>
              <w:bottom w:val="single" w:sz="8"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b/>
                <w:color w:val="000000"/>
                <w:sz w:val="18"/>
                <w:szCs w:val="18"/>
                <w:lang w:val="sr-Latn-RS" w:eastAsia="sr-Latn-RS"/>
              </w:rPr>
            </w:pPr>
            <w:r w:rsidRPr="00172120">
              <w:rPr>
                <w:rFonts w:ascii="Tahoma" w:eastAsia="Times New Roman" w:hAnsi="Tahoma" w:cs="Tahoma"/>
                <w:b/>
                <w:color w:val="000000"/>
                <w:sz w:val="18"/>
                <w:szCs w:val="18"/>
                <w:lang w:val="sr-Latn-RS" w:eastAsia="sr-Latn-RS"/>
              </w:rPr>
              <w:t>84.978</w:t>
            </w:r>
          </w:p>
        </w:tc>
        <w:tc>
          <w:tcPr>
            <w:tcW w:w="1243" w:type="dxa"/>
            <w:tcBorders>
              <w:top w:val="nil"/>
              <w:left w:val="nil"/>
              <w:bottom w:val="single" w:sz="8" w:space="0" w:color="1F497D"/>
              <w:right w:val="single" w:sz="4" w:space="0" w:color="1F497D"/>
            </w:tcBorders>
            <w:shd w:val="clear" w:color="auto" w:fill="auto"/>
            <w:noWrap/>
            <w:vAlign w:val="bottom"/>
            <w:hideMark/>
          </w:tcPr>
          <w:p w:rsidR="00172120" w:rsidRPr="00172120" w:rsidRDefault="00172120" w:rsidP="00172120">
            <w:pPr>
              <w:spacing w:after="0" w:line="240" w:lineRule="auto"/>
              <w:jc w:val="center"/>
              <w:rPr>
                <w:rFonts w:ascii="Tahoma" w:eastAsia="Times New Roman" w:hAnsi="Tahoma" w:cs="Tahoma"/>
                <w:b/>
                <w:bCs/>
                <w:color w:val="000000"/>
                <w:sz w:val="18"/>
                <w:szCs w:val="18"/>
                <w:lang w:val="sr-Latn-RS" w:eastAsia="sr-Latn-RS"/>
              </w:rPr>
            </w:pPr>
            <w:r w:rsidRPr="00172120">
              <w:rPr>
                <w:rFonts w:ascii="Tahoma" w:eastAsia="Times New Roman" w:hAnsi="Tahoma" w:cs="Tahoma"/>
                <w:b/>
                <w:bCs/>
                <w:color w:val="000000"/>
                <w:sz w:val="18"/>
                <w:szCs w:val="18"/>
                <w:lang w:val="sr-Latn-RS" w:eastAsia="sr-Latn-RS"/>
              </w:rPr>
              <w:t>764.802</w:t>
            </w:r>
          </w:p>
        </w:tc>
        <w:tc>
          <w:tcPr>
            <w:tcW w:w="1223" w:type="dxa"/>
            <w:tcBorders>
              <w:top w:val="nil"/>
              <w:left w:val="nil"/>
              <w:bottom w:val="single" w:sz="8" w:space="0" w:color="1F497D"/>
              <w:right w:val="single" w:sz="4"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b/>
                <w:color w:val="000000"/>
                <w:sz w:val="18"/>
                <w:szCs w:val="18"/>
                <w:lang w:val="sr-Latn-RS" w:eastAsia="sr-Latn-RS"/>
              </w:rPr>
            </w:pPr>
          </w:p>
        </w:tc>
        <w:tc>
          <w:tcPr>
            <w:tcW w:w="1366" w:type="dxa"/>
            <w:tcBorders>
              <w:top w:val="nil"/>
              <w:left w:val="nil"/>
              <w:bottom w:val="single" w:sz="8" w:space="0" w:color="1F497D"/>
              <w:right w:val="single" w:sz="8" w:space="0" w:color="1F497D"/>
            </w:tcBorders>
            <w:shd w:val="clear" w:color="auto" w:fill="auto"/>
            <w:noWrap/>
            <w:vAlign w:val="center"/>
            <w:hideMark/>
          </w:tcPr>
          <w:p w:rsidR="00172120" w:rsidRPr="00172120" w:rsidRDefault="00172120" w:rsidP="00172120">
            <w:pPr>
              <w:spacing w:after="0" w:line="240" w:lineRule="auto"/>
              <w:jc w:val="center"/>
              <w:rPr>
                <w:rFonts w:ascii="Tahoma" w:eastAsia="Times New Roman" w:hAnsi="Tahoma" w:cs="Tahoma"/>
                <w:b/>
                <w:bCs/>
                <w:color w:val="000000"/>
                <w:sz w:val="18"/>
                <w:szCs w:val="18"/>
                <w:lang w:val="sr-Latn-RS" w:eastAsia="sr-Latn-RS"/>
              </w:rPr>
            </w:pPr>
            <w:r w:rsidRPr="00172120">
              <w:rPr>
                <w:rFonts w:ascii="Tahoma" w:eastAsia="Times New Roman" w:hAnsi="Tahoma" w:cs="Tahoma"/>
                <w:b/>
                <w:bCs/>
                <w:color w:val="000000"/>
                <w:sz w:val="18"/>
                <w:szCs w:val="18"/>
                <w:lang w:val="sr-Latn-RS" w:eastAsia="sr-Latn-RS"/>
              </w:rPr>
              <w:t>100,00%</w:t>
            </w:r>
          </w:p>
        </w:tc>
      </w:tr>
    </w:tbl>
    <w:p w:rsidR="00CE7015" w:rsidRDefault="00CE7015" w:rsidP="00CF0ACE">
      <w:pPr>
        <w:spacing w:before="240" w:after="0"/>
        <w:jc w:val="both"/>
        <w:rPr>
          <w:b/>
          <w:i/>
          <w:noProof/>
          <w:color w:val="365F91" w:themeColor="accent1" w:themeShade="BF"/>
          <w:sz w:val="20"/>
          <w:lang w:val="sr-Cyrl-CS"/>
        </w:rPr>
      </w:pPr>
    </w:p>
    <w:p w:rsidR="00CE7015" w:rsidRDefault="00CE7015" w:rsidP="00CF0ACE">
      <w:pPr>
        <w:spacing w:before="240" w:after="0"/>
        <w:jc w:val="both"/>
        <w:rPr>
          <w:b/>
          <w:i/>
          <w:noProof/>
          <w:color w:val="365F91" w:themeColor="accent1" w:themeShade="BF"/>
          <w:sz w:val="20"/>
          <w:lang w:val="sr-Cyrl-CS"/>
        </w:rPr>
      </w:pPr>
    </w:p>
    <w:p w:rsidR="00CE7015" w:rsidRDefault="00CE7015" w:rsidP="00CF0ACE">
      <w:pPr>
        <w:spacing w:before="240" w:after="0"/>
        <w:jc w:val="both"/>
        <w:rPr>
          <w:b/>
          <w:i/>
          <w:noProof/>
          <w:color w:val="365F91" w:themeColor="accent1" w:themeShade="BF"/>
          <w:sz w:val="20"/>
          <w:lang w:val="sr-Cyrl-CS"/>
        </w:rPr>
      </w:pPr>
    </w:p>
    <w:p w:rsidR="00C9033A" w:rsidRPr="00BF3CDE" w:rsidRDefault="00BB2651" w:rsidP="00CF0ACE">
      <w:pPr>
        <w:spacing w:before="240" w:after="0"/>
        <w:jc w:val="both"/>
        <w:rPr>
          <w:b/>
          <w:i/>
          <w:noProof/>
          <w:color w:val="365F91" w:themeColor="accent1" w:themeShade="BF"/>
          <w:sz w:val="20"/>
          <w:lang w:val="sr-Cyrl-CS"/>
        </w:rPr>
      </w:pPr>
      <w:r w:rsidRPr="00BF3CDE">
        <w:rPr>
          <w:b/>
          <w:i/>
          <w:noProof/>
          <w:color w:val="365F91" w:themeColor="accent1" w:themeShade="BF"/>
          <w:sz w:val="20"/>
          <w:lang w:val="sr-Cyrl-CS"/>
        </w:rPr>
        <w:t>Резерве</w:t>
      </w:r>
    </w:p>
    <w:p w:rsidR="007F70AC" w:rsidRPr="00C32150" w:rsidRDefault="007F70AC" w:rsidP="00CF0ACE">
      <w:pPr>
        <w:spacing w:after="0"/>
        <w:ind w:firstLine="567"/>
        <w:jc w:val="right"/>
        <w:rPr>
          <w:noProof/>
          <w:sz w:val="18"/>
          <w:szCs w:val="18"/>
          <w:lang w:val="sr-Cyrl-CS"/>
        </w:rPr>
      </w:pPr>
      <w:r w:rsidRPr="00C32150">
        <w:rPr>
          <w:noProof/>
          <w:sz w:val="18"/>
          <w:szCs w:val="18"/>
          <w:lang w:val="sr-Cyrl-CS"/>
        </w:rPr>
        <w:t>у 000 РСД</w:t>
      </w:r>
    </w:p>
    <w:tbl>
      <w:tblPr>
        <w:tblW w:w="9080" w:type="dxa"/>
        <w:tblInd w:w="93" w:type="dxa"/>
        <w:tblLook w:val="04A0" w:firstRow="1" w:lastRow="0" w:firstColumn="1" w:lastColumn="0" w:noHBand="0" w:noVBand="1"/>
      </w:tblPr>
      <w:tblGrid>
        <w:gridCol w:w="4826"/>
        <w:gridCol w:w="2127"/>
        <w:gridCol w:w="2127"/>
      </w:tblGrid>
      <w:tr w:rsidR="007A4760" w:rsidRPr="00172120" w:rsidTr="009F3AB7">
        <w:trPr>
          <w:trHeight w:val="325"/>
        </w:trPr>
        <w:tc>
          <w:tcPr>
            <w:tcW w:w="4826" w:type="dxa"/>
            <w:tcBorders>
              <w:top w:val="nil"/>
              <w:left w:val="nil"/>
              <w:bottom w:val="single" w:sz="8" w:space="0" w:color="1F497D"/>
              <w:right w:val="nil"/>
            </w:tcBorders>
            <w:shd w:val="clear" w:color="auto" w:fill="auto"/>
            <w:noWrap/>
            <w:vAlign w:val="center"/>
            <w:hideMark/>
          </w:tcPr>
          <w:p w:rsidR="00172120" w:rsidRPr="00172120" w:rsidRDefault="00172120" w:rsidP="00172120">
            <w:pPr>
              <w:spacing w:after="0" w:line="240" w:lineRule="auto"/>
              <w:rPr>
                <w:rFonts w:ascii="Calibri" w:eastAsia="Times New Roman" w:hAnsi="Calibri" w:cs="Times New Roman"/>
                <w:color w:val="1F497D"/>
                <w:lang w:val="sr-Latn-RS" w:eastAsia="sr-Latn-RS"/>
              </w:rPr>
            </w:pPr>
            <w:r w:rsidRPr="00172120">
              <w:rPr>
                <w:rFonts w:ascii="Calibri" w:eastAsia="Times New Roman" w:hAnsi="Calibri" w:cs="Times New Roman"/>
                <w:color w:val="1F497D"/>
                <w:lang w:val="sr-Latn-RS" w:eastAsia="sr-Latn-RS"/>
              </w:rPr>
              <w:t> </w:t>
            </w:r>
          </w:p>
        </w:tc>
        <w:tc>
          <w:tcPr>
            <w:tcW w:w="2127" w:type="dxa"/>
            <w:tcBorders>
              <w:top w:val="nil"/>
              <w:left w:val="nil"/>
              <w:bottom w:val="single" w:sz="8" w:space="0" w:color="1F497D"/>
              <w:right w:val="nil"/>
            </w:tcBorders>
            <w:shd w:val="clear" w:color="auto" w:fill="auto"/>
            <w:noWrap/>
            <w:vAlign w:val="center"/>
            <w:hideMark/>
          </w:tcPr>
          <w:p w:rsidR="00172120" w:rsidRPr="00172120" w:rsidRDefault="00172120" w:rsidP="00172120">
            <w:pPr>
              <w:spacing w:after="0" w:line="240" w:lineRule="auto"/>
              <w:jc w:val="center"/>
              <w:rPr>
                <w:rFonts w:ascii="Calibri" w:eastAsia="Times New Roman" w:hAnsi="Calibri" w:cs="Times New Roman"/>
                <w:b/>
                <w:color w:val="000000" w:themeColor="text1"/>
                <w:lang w:val="sr-Latn-RS" w:eastAsia="sr-Latn-RS"/>
              </w:rPr>
            </w:pPr>
            <w:r w:rsidRPr="00172120">
              <w:rPr>
                <w:rFonts w:ascii="Calibri" w:eastAsia="Times New Roman" w:hAnsi="Calibri" w:cs="Times New Roman"/>
                <w:b/>
                <w:color w:val="000000" w:themeColor="text1"/>
                <w:lang w:val="sr-Latn-RS" w:eastAsia="sr-Latn-RS"/>
              </w:rPr>
              <w:t>2015</w:t>
            </w:r>
          </w:p>
        </w:tc>
        <w:tc>
          <w:tcPr>
            <w:tcW w:w="2127" w:type="dxa"/>
            <w:tcBorders>
              <w:top w:val="nil"/>
              <w:left w:val="nil"/>
              <w:bottom w:val="single" w:sz="8" w:space="0" w:color="1F497D"/>
              <w:right w:val="nil"/>
            </w:tcBorders>
            <w:shd w:val="clear" w:color="auto" w:fill="auto"/>
            <w:noWrap/>
            <w:vAlign w:val="center"/>
            <w:hideMark/>
          </w:tcPr>
          <w:p w:rsidR="00172120" w:rsidRPr="00172120" w:rsidRDefault="00172120" w:rsidP="00172120">
            <w:pPr>
              <w:spacing w:after="0" w:line="240" w:lineRule="auto"/>
              <w:jc w:val="center"/>
              <w:rPr>
                <w:rFonts w:ascii="Calibri" w:eastAsia="Times New Roman" w:hAnsi="Calibri" w:cs="Times New Roman"/>
                <w:b/>
                <w:color w:val="000000" w:themeColor="text1"/>
                <w:lang w:val="sr-Latn-RS" w:eastAsia="sr-Latn-RS"/>
              </w:rPr>
            </w:pPr>
            <w:r w:rsidRPr="00172120">
              <w:rPr>
                <w:rFonts w:ascii="Calibri" w:eastAsia="Times New Roman" w:hAnsi="Calibri" w:cs="Times New Roman"/>
                <w:b/>
                <w:color w:val="000000" w:themeColor="text1"/>
                <w:lang w:val="sr-Latn-RS" w:eastAsia="sr-Latn-RS"/>
              </w:rPr>
              <w:t>2014</w:t>
            </w:r>
          </w:p>
        </w:tc>
      </w:tr>
      <w:tr w:rsidR="00172120" w:rsidRPr="00172120" w:rsidTr="009F3AB7">
        <w:trPr>
          <w:trHeight w:val="309"/>
        </w:trPr>
        <w:tc>
          <w:tcPr>
            <w:tcW w:w="4826"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rPr>
                <w:rFonts w:eastAsia="Times New Roman" w:cs="Times New Roman"/>
                <w:color w:val="000000"/>
                <w:sz w:val="18"/>
                <w:szCs w:val="18"/>
                <w:lang w:val="sr-Latn-RS" w:eastAsia="sr-Latn-RS"/>
              </w:rPr>
            </w:pPr>
            <w:r w:rsidRPr="008D4D3A">
              <w:rPr>
                <w:rFonts w:eastAsia="Times New Roman" w:cs="Times New Roman"/>
                <w:color w:val="000000"/>
                <w:sz w:val="18"/>
                <w:szCs w:val="18"/>
                <w:lang w:val="sr-Latn-RS" w:eastAsia="sr-Latn-RS"/>
              </w:rPr>
              <w:t>I) Резерве</w:t>
            </w:r>
          </w:p>
        </w:tc>
        <w:tc>
          <w:tcPr>
            <w:tcW w:w="2127"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val="sr-Latn-RS" w:eastAsia="sr-Latn-RS"/>
              </w:rPr>
              <w:t>211.756</w:t>
            </w:r>
          </w:p>
        </w:tc>
        <w:tc>
          <w:tcPr>
            <w:tcW w:w="2127"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val="sr-Latn-RS" w:eastAsia="sr-Latn-RS"/>
              </w:rPr>
              <w:t>211.756</w:t>
            </w:r>
          </w:p>
        </w:tc>
      </w:tr>
      <w:tr w:rsidR="00172120" w:rsidRPr="00172120" w:rsidTr="009F3AB7">
        <w:trPr>
          <w:trHeight w:val="309"/>
        </w:trPr>
        <w:tc>
          <w:tcPr>
            <w:tcW w:w="4826"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right"/>
              <w:rPr>
                <w:rFonts w:eastAsia="Times New Roman" w:cs="Times New Roman"/>
                <w:i/>
                <w:iCs/>
                <w:color w:val="000000"/>
                <w:sz w:val="18"/>
                <w:szCs w:val="18"/>
                <w:lang w:val="sr-Latn-RS" w:eastAsia="sr-Latn-RS"/>
              </w:rPr>
            </w:pPr>
            <w:r w:rsidRPr="008D4D3A">
              <w:rPr>
                <w:rFonts w:eastAsia="Times New Roman" w:cs="Times New Roman"/>
                <w:i/>
                <w:iCs/>
                <w:color w:val="000000"/>
                <w:sz w:val="18"/>
                <w:szCs w:val="18"/>
                <w:lang w:val="sr-Cyrl-CS" w:eastAsia="sr-Latn-RS"/>
              </w:rPr>
              <w:t>1.Емисиона премија</w:t>
            </w:r>
          </w:p>
        </w:tc>
        <w:tc>
          <w:tcPr>
            <w:tcW w:w="2127"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57.996</w:t>
            </w:r>
          </w:p>
        </w:tc>
        <w:tc>
          <w:tcPr>
            <w:tcW w:w="2127"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57.996</w:t>
            </w:r>
          </w:p>
        </w:tc>
      </w:tr>
      <w:tr w:rsidR="00172120" w:rsidRPr="00172120" w:rsidTr="009F3AB7">
        <w:trPr>
          <w:trHeight w:val="309"/>
        </w:trPr>
        <w:tc>
          <w:tcPr>
            <w:tcW w:w="4826"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right"/>
              <w:rPr>
                <w:rFonts w:eastAsia="Times New Roman" w:cs="Times New Roman"/>
                <w:i/>
                <w:iCs/>
                <w:color w:val="000000"/>
                <w:sz w:val="18"/>
                <w:szCs w:val="18"/>
                <w:lang w:val="sr-Latn-RS" w:eastAsia="sr-Latn-RS"/>
              </w:rPr>
            </w:pPr>
            <w:r w:rsidRPr="008D4D3A">
              <w:rPr>
                <w:rFonts w:eastAsia="Times New Roman" w:cs="Times New Roman"/>
                <w:i/>
                <w:iCs/>
                <w:color w:val="000000"/>
                <w:sz w:val="18"/>
                <w:szCs w:val="18"/>
                <w:lang w:val="sr-Cyrl-CS" w:eastAsia="sr-Latn-RS"/>
              </w:rPr>
              <w:t xml:space="preserve">2.Резерве сигурности из добити </w:t>
            </w:r>
          </w:p>
        </w:tc>
        <w:tc>
          <w:tcPr>
            <w:tcW w:w="2127"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153.760</w:t>
            </w:r>
          </w:p>
        </w:tc>
        <w:tc>
          <w:tcPr>
            <w:tcW w:w="2127"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153.760</w:t>
            </w:r>
          </w:p>
        </w:tc>
      </w:tr>
      <w:tr w:rsidR="00172120" w:rsidRPr="00172120" w:rsidTr="009F3AB7">
        <w:trPr>
          <w:trHeight w:val="309"/>
        </w:trPr>
        <w:tc>
          <w:tcPr>
            <w:tcW w:w="4826"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rPr>
                <w:rFonts w:eastAsia="Times New Roman" w:cs="Times New Roman"/>
                <w:color w:val="000000"/>
                <w:sz w:val="18"/>
                <w:szCs w:val="18"/>
                <w:lang w:val="sr-Latn-RS" w:eastAsia="sr-Latn-RS"/>
              </w:rPr>
            </w:pPr>
            <w:r w:rsidRPr="008D4D3A">
              <w:rPr>
                <w:rFonts w:eastAsia="Times New Roman" w:cs="Times New Roman"/>
                <w:color w:val="000000"/>
                <w:sz w:val="18"/>
                <w:szCs w:val="18"/>
                <w:lang w:val="sr-Cyrl-CS" w:eastAsia="sr-Latn-RS"/>
              </w:rPr>
              <w:t>II) Нереализовани добици по основу ХоВ</w:t>
            </w:r>
          </w:p>
        </w:tc>
        <w:tc>
          <w:tcPr>
            <w:tcW w:w="2127"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40.861</w:t>
            </w:r>
          </w:p>
        </w:tc>
        <w:tc>
          <w:tcPr>
            <w:tcW w:w="2127"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39.182</w:t>
            </w:r>
          </w:p>
        </w:tc>
      </w:tr>
      <w:tr w:rsidR="00172120" w:rsidRPr="00172120" w:rsidTr="009F3AB7">
        <w:trPr>
          <w:trHeight w:val="309"/>
        </w:trPr>
        <w:tc>
          <w:tcPr>
            <w:tcW w:w="4826"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rPr>
                <w:rFonts w:eastAsia="Times New Roman" w:cs="Times New Roman"/>
                <w:color w:val="000000"/>
                <w:sz w:val="18"/>
                <w:szCs w:val="18"/>
                <w:lang w:val="sr-Latn-RS" w:eastAsia="sr-Latn-RS"/>
              </w:rPr>
            </w:pPr>
            <w:r w:rsidRPr="008D4D3A">
              <w:rPr>
                <w:rFonts w:eastAsia="Times New Roman" w:cs="Times New Roman"/>
                <w:color w:val="000000"/>
                <w:sz w:val="18"/>
                <w:szCs w:val="18"/>
                <w:lang w:val="sr-Cyrl-CS" w:eastAsia="sr-Latn-RS"/>
              </w:rPr>
              <w:t>III) Нереализовани губици по основу ХоВ</w:t>
            </w:r>
          </w:p>
        </w:tc>
        <w:tc>
          <w:tcPr>
            <w:tcW w:w="2127"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-1.427</w:t>
            </w:r>
          </w:p>
        </w:tc>
        <w:tc>
          <w:tcPr>
            <w:tcW w:w="2127"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-571</w:t>
            </w:r>
          </w:p>
        </w:tc>
      </w:tr>
      <w:tr w:rsidR="00172120" w:rsidRPr="00172120" w:rsidTr="009F3AB7">
        <w:trPr>
          <w:trHeight w:val="309"/>
        </w:trPr>
        <w:tc>
          <w:tcPr>
            <w:tcW w:w="4826"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rPr>
                <w:rFonts w:eastAsia="Times New Roman" w:cs="Times New Roman"/>
                <w:color w:val="000000"/>
                <w:sz w:val="18"/>
                <w:szCs w:val="18"/>
                <w:lang w:val="sr-Latn-RS" w:eastAsia="sr-Latn-RS"/>
              </w:rPr>
            </w:pPr>
            <w:r w:rsidRPr="008D4D3A">
              <w:rPr>
                <w:rFonts w:eastAsia="Times New Roman" w:cs="Times New Roman"/>
                <w:color w:val="000000"/>
                <w:sz w:val="18"/>
                <w:szCs w:val="18"/>
                <w:lang w:val="sr-Latn-RS" w:eastAsia="sr-Latn-RS"/>
              </w:rPr>
              <w:t>IV) Нераспоређени добитак</w:t>
            </w:r>
          </w:p>
        </w:tc>
        <w:tc>
          <w:tcPr>
            <w:tcW w:w="2127"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val="sr-Latn-RS" w:eastAsia="sr-Latn-RS"/>
              </w:rPr>
              <w:t>508.075</w:t>
            </w:r>
          </w:p>
        </w:tc>
        <w:tc>
          <w:tcPr>
            <w:tcW w:w="2127" w:type="dxa"/>
            <w:tcBorders>
              <w:top w:val="nil"/>
              <w:left w:val="nil"/>
              <w:bottom w:val="nil"/>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val="sr-Latn-RS" w:eastAsia="sr-Latn-RS"/>
              </w:rPr>
              <w:t>240.076</w:t>
            </w:r>
          </w:p>
        </w:tc>
      </w:tr>
      <w:tr w:rsidR="00172120" w:rsidRPr="00172120" w:rsidTr="009F3AB7">
        <w:trPr>
          <w:trHeight w:val="309"/>
        </w:trPr>
        <w:tc>
          <w:tcPr>
            <w:tcW w:w="4826"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right"/>
              <w:rPr>
                <w:rFonts w:eastAsia="Times New Roman" w:cs="Times New Roman"/>
                <w:i/>
                <w:iCs/>
                <w:color w:val="000000"/>
                <w:sz w:val="18"/>
                <w:szCs w:val="18"/>
                <w:lang w:val="sr-Latn-RS" w:eastAsia="sr-Latn-RS"/>
              </w:rPr>
            </w:pPr>
            <w:r w:rsidRPr="008D4D3A">
              <w:rPr>
                <w:rFonts w:eastAsia="Times New Roman" w:cs="Times New Roman"/>
                <w:i/>
                <w:iCs/>
                <w:color w:val="000000"/>
                <w:sz w:val="18"/>
                <w:szCs w:val="18"/>
                <w:lang w:val="sr-Cyrl-CS" w:eastAsia="sr-Latn-RS"/>
              </w:rPr>
              <w:t>1.Нераспоређена добит ранијих година</w:t>
            </w:r>
          </w:p>
        </w:tc>
        <w:tc>
          <w:tcPr>
            <w:tcW w:w="2127"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165.018</w:t>
            </w:r>
          </w:p>
        </w:tc>
        <w:tc>
          <w:tcPr>
            <w:tcW w:w="2127"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240.076</w:t>
            </w:r>
          </w:p>
        </w:tc>
      </w:tr>
      <w:tr w:rsidR="00172120" w:rsidRPr="00172120" w:rsidTr="009F3AB7">
        <w:trPr>
          <w:trHeight w:val="309"/>
        </w:trPr>
        <w:tc>
          <w:tcPr>
            <w:tcW w:w="4826"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right"/>
              <w:rPr>
                <w:rFonts w:eastAsia="Times New Roman" w:cs="Times New Roman"/>
                <w:i/>
                <w:iCs/>
                <w:color w:val="000000"/>
                <w:sz w:val="18"/>
                <w:szCs w:val="18"/>
                <w:lang w:val="sr-Latn-RS" w:eastAsia="sr-Latn-RS"/>
              </w:rPr>
            </w:pPr>
            <w:r w:rsidRPr="008D4D3A">
              <w:rPr>
                <w:rFonts w:eastAsia="Times New Roman" w:cs="Times New Roman"/>
                <w:i/>
                <w:iCs/>
                <w:color w:val="000000"/>
                <w:sz w:val="18"/>
                <w:szCs w:val="18"/>
                <w:lang w:val="sr-Cyrl-CS" w:eastAsia="sr-Latn-RS"/>
              </w:rPr>
              <w:t>2.Нераспоређена добит текуће године</w:t>
            </w:r>
          </w:p>
        </w:tc>
        <w:tc>
          <w:tcPr>
            <w:tcW w:w="2127" w:type="dxa"/>
            <w:tcBorders>
              <w:top w:val="nil"/>
              <w:left w:val="nil"/>
              <w:bottom w:val="nil"/>
              <w:right w:val="nil"/>
            </w:tcBorders>
            <w:shd w:val="clear" w:color="auto" w:fill="auto"/>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343.057</w:t>
            </w:r>
          </w:p>
        </w:tc>
        <w:tc>
          <w:tcPr>
            <w:tcW w:w="2127" w:type="dxa"/>
            <w:tcBorders>
              <w:top w:val="nil"/>
              <w:left w:val="nil"/>
              <w:bottom w:val="nil"/>
              <w:right w:val="nil"/>
            </w:tcBorders>
            <w:shd w:val="clear" w:color="auto" w:fill="auto"/>
            <w:noWrap/>
            <w:vAlign w:val="bottom"/>
            <w:hideMark/>
          </w:tcPr>
          <w:p w:rsidR="00172120" w:rsidRPr="008D4D3A" w:rsidRDefault="00172120" w:rsidP="00172120">
            <w:pPr>
              <w:spacing w:after="0" w:line="240" w:lineRule="auto"/>
              <w:jc w:val="center"/>
              <w:rPr>
                <w:rFonts w:ascii="Verdana" w:eastAsia="Times New Roman" w:hAnsi="Verdana" w:cs="Times New Roman"/>
                <w:color w:val="000000"/>
                <w:sz w:val="18"/>
                <w:szCs w:val="18"/>
                <w:lang w:val="sr-Latn-RS" w:eastAsia="sr-Latn-RS"/>
              </w:rPr>
            </w:pPr>
          </w:p>
        </w:tc>
      </w:tr>
      <w:tr w:rsidR="00172120" w:rsidRPr="00172120" w:rsidTr="009F3AB7">
        <w:trPr>
          <w:trHeight w:val="325"/>
        </w:trPr>
        <w:tc>
          <w:tcPr>
            <w:tcW w:w="4826" w:type="dxa"/>
            <w:tcBorders>
              <w:top w:val="nil"/>
              <w:left w:val="nil"/>
              <w:bottom w:val="double" w:sz="6" w:space="0" w:color="4F81BD"/>
              <w:right w:val="nil"/>
            </w:tcBorders>
            <w:shd w:val="clear" w:color="000000" w:fill="DCE6F1"/>
            <w:noWrap/>
            <w:vAlign w:val="center"/>
            <w:hideMark/>
          </w:tcPr>
          <w:p w:rsidR="00172120" w:rsidRPr="008D4D3A" w:rsidRDefault="00172120" w:rsidP="00172120">
            <w:pPr>
              <w:spacing w:after="0" w:line="240" w:lineRule="auto"/>
              <w:rPr>
                <w:rFonts w:eastAsia="Times New Roman" w:cs="Times New Roman"/>
                <w:color w:val="000000"/>
                <w:sz w:val="18"/>
                <w:szCs w:val="18"/>
                <w:lang w:val="sr-Latn-RS" w:eastAsia="sr-Latn-RS"/>
              </w:rPr>
            </w:pPr>
            <w:r w:rsidRPr="008D4D3A">
              <w:rPr>
                <w:rFonts w:eastAsia="Times New Roman" w:cs="Times New Roman"/>
                <w:color w:val="000000"/>
                <w:sz w:val="18"/>
                <w:szCs w:val="18"/>
                <w:lang w:val="sr-Cyrl-CS" w:eastAsia="sr-Latn-RS"/>
              </w:rPr>
              <w:t>V) Губитак текуће године</w:t>
            </w:r>
          </w:p>
        </w:tc>
        <w:tc>
          <w:tcPr>
            <w:tcW w:w="2127" w:type="dxa"/>
            <w:tcBorders>
              <w:top w:val="nil"/>
              <w:left w:val="nil"/>
              <w:bottom w:val="double" w:sz="6" w:space="0" w:color="4F81BD"/>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0</w:t>
            </w:r>
          </w:p>
        </w:tc>
        <w:tc>
          <w:tcPr>
            <w:tcW w:w="2127" w:type="dxa"/>
            <w:tcBorders>
              <w:top w:val="nil"/>
              <w:left w:val="nil"/>
              <w:bottom w:val="double" w:sz="6" w:space="0" w:color="4F81BD"/>
              <w:right w:val="nil"/>
            </w:tcBorders>
            <w:shd w:val="clear" w:color="000000" w:fill="DCE6F1"/>
            <w:noWrap/>
            <w:vAlign w:val="center"/>
            <w:hideMark/>
          </w:tcPr>
          <w:p w:rsidR="00172120" w:rsidRPr="008D4D3A" w:rsidRDefault="00172120" w:rsidP="00172120">
            <w:pPr>
              <w:spacing w:after="0" w:line="240" w:lineRule="auto"/>
              <w:jc w:val="center"/>
              <w:rPr>
                <w:rFonts w:ascii="Calibri" w:eastAsia="Times New Roman" w:hAnsi="Calibri" w:cs="Times New Roman"/>
                <w:color w:val="000000"/>
                <w:sz w:val="18"/>
                <w:szCs w:val="18"/>
                <w:lang w:val="sr-Latn-RS" w:eastAsia="sr-Latn-RS"/>
              </w:rPr>
            </w:pPr>
            <w:r w:rsidRPr="008D4D3A">
              <w:rPr>
                <w:rFonts w:ascii="Calibri" w:eastAsia="Times New Roman" w:hAnsi="Calibri" w:cs="Times New Roman"/>
                <w:color w:val="000000"/>
                <w:sz w:val="18"/>
                <w:szCs w:val="18"/>
                <w:lang w:eastAsia="sr-Latn-RS"/>
              </w:rPr>
              <w:t>-75.057</w:t>
            </w:r>
          </w:p>
        </w:tc>
      </w:tr>
      <w:tr w:rsidR="00172120" w:rsidRPr="00172120" w:rsidTr="009F3AB7">
        <w:trPr>
          <w:trHeight w:val="341"/>
        </w:trPr>
        <w:tc>
          <w:tcPr>
            <w:tcW w:w="4826" w:type="dxa"/>
            <w:tcBorders>
              <w:top w:val="nil"/>
              <w:left w:val="nil"/>
              <w:bottom w:val="single" w:sz="8" w:space="0" w:color="629DD1"/>
              <w:right w:val="nil"/>
            </w:tcBorders>
            <w:shd w:val="clear" w:color="auto" w:fill="auto"/>
            <w:vAlign w:val="center"/>
            <w:hideMark/>
          </w:tcPr>
          <w:p w:rsidR="00172120" w:rsidRPr="00172120" w:rsidRDefault="00172120" w:rsidP="00172120">
            <w:pPr>
              <w:spacing w:after="0" w:line="240" w:lineRule="auto"/>
              <w:rPr>
                <w:rFonts w:ascii="Verdana" w:eastAsia="Times New Roman" w:hAnsi="Verdana" w:cs="Times New Roman"/>
                <w:b/>
                <w:bCs/>
                <w:color w:val="000000"/>
                <w:sz w:val="20"/>
                <w:szCs w:val="20"/>
                <w:lang w:val="sr-Latn-RS" w:eastAsia="sr-Latn-RS"/>
              </w:rPr>
            </w:pPr>
            <w:r w:rsidRPr="00172120">
              <w:rPr>
                <w:rFonts w:ascii="Verdana" w:eastAsia="Times New Roman" w:hAnsi="Verdana" w:cs="Times New Roman"/>
                <w:b/>
                <w:bCs/>
                <w:color w:val="000000"/>
                <w:sz w:val="20"/>
                <w:szCs w:val="20"/>
                <w:lang w:val="sr-Cyrl-CS" w:eastAsia="sr-Latn-RS"/>
              </w:rPr>
              <w:t>УКУПНО</w:t>
            </w:r>
          </w:p>
        </w:tc>
        <w:tc>
          <w:tcPr>
            <w:tcW w:w="2127" w:type="dxa"/>
            <w:tcBorders>
              <w:top w:val="nil"/>
              <w:left w:val="nil"/>
              <w:bottom w:val="single" w:sz="8" w:space="0" w:color="629DD1"/>
              <w:right w:val="nil"/>
            </w:tcBorders>
            <w:shd w:val="clear" w:color="auto" w:fill="auto"/>
            <w:vAlign w:val="center"/>
            <w:hideMark/>
          </w:tcPr>
          <w:p w:rsidR="00172120" w:rsidRPr="00172120" w:rsidRDefault="00172120" w:rsidP="00172120">
            <w:pPr>
              <w:spacing w:after="0" w:line="240" w:lineRule="auto"/>
              <w:jc w:val="center"/>
              <w:rPr>
                <w:rFonts w:ascii="Verdana" w:eastAsia="Times New Roman" w:hAnsi="Verdana" w:cs="Times New Roman"/>
                <w:b/>
                <w:bCs/>
                <w:color w:val="000000"/>
                <w:sz w:val="20"/>
                <w:szCs w:val="20"/>
                <w:lang w:val="sr-Latn-RS" w:eastAsia="sr-Latn-RS"/>
              </w:rPr>
            </w:pPr>
            <w:r w:rsidRPr="00172120">
              <w:rPr>
                <w:rFonts w:ascii="Verdana" w:eastAsia="Times New Roman" w:hAnsi="Verdana" w:cs="Times New Roman"/>
                <w:b/>
                <w:bCs/>
                <w:color w:val="000000"/>
                <w:sz w:val="20"/>
                <w:szCs w:val="20"/>
                <w:lang w:eastAsia="sr-Latn-RS"/>
              </w:rPr>
              <w:t>759.265</w:t>
            </w:r>
          </w:p>
        </w:tc>
        <w:tc>
          <w:tcPr>
            <w:tcW w:w="2127" w:type="dxa"/>
            <w:tcBorders>
              <w:top w:val="nil"/>
              <w:left w:val="nil"/>
              <w:bottom w:val="single" w:sz="8" w:space="0" w:color="629DD1"/>
              <w:right w:val="nil"/>
            </w:tcBorders>
            <w:shd w:val="clear" w:color="auto" w:fill="auto"/>
            <w:vAlign w:val="center"/>
            <w:hideMark/>
          </w:tcPr>
          <w:p w:rsidR="00172120" w:rsidRPr="00172120" w:rsidRDefault="00172120" w:rsidP="00172120">
            <w:pPr>
              <w:spacing w:after="0" w:line="240" w:lineRule="auto"/>
              <w:jc w:val="center"/>
              <w:rPr>
                <w:rFonts w:ascii="Verdana" w:eastAsia="Times New Roman" w:hAnsi="Verdana" w:cs="Times New Roman"/>
                <w:b/>
                <w:bCs/>
                <w:color w:val="000000"/>
                <w:sz w:val="20"/>
                <w:szCs w:val="20"/>
                <w:lang w:val="sr-Latn-RS" w:eastAsia="sr-Latn-RS"/>
              </w:rPr>
            </w:pPr>
            <w:r w:rsidRPr="00172120">
              <w:rPr>
                <w:rFonts w:ascii="Verdana" w:eastAsia="Times New Roman" w:hAnsi="Verdana" w:cs="Times New Roman"/>
                <w:b/>
                <w:bCs/>
                <w:color w:val="000000"/>
                <w:sz w:val="20"/>
                <w:szCs w:val="20"/>
                <w:lang w:eastAsia="sr-Latn-RS"/>
              </w:rPr>
              <w:t>415.386</w:t>
            </w:r>
          </w:p>
        </w:tc>
      </w:tr>
    </w:tbl>
    <w:p w:rsidR="000359C0" w:rsidRPr="00AB2079" w:rsidRDefault="003724D4" w:rsidP="005F5689">
      <w:pPr>
        <w:spacing w:before="120" w:after="80"/>
        <w:ind w:firstLine="567"/>
        <w:jc w:val="both"/>
        <w:rPr>
          <w:noProof/>
          <w:sz w:val="20"/>
          <w:szCs w:val="20"/>
          <w:lang w:val="sr-Cyrl-CS"/>
        </w:rPr>
      </w:pPr>
      <w:r w:rsidRPr="00AB2079">
        <w:rPr>
          <w:noProof/>
          <w:sz w:val="20"/>
          <w:szCs w:val="20"/>
          <w:lang w:val="sr-Cyrl-CS"/>
        </w:rPr>
        <w:t>Резерве Друшт</w:t>
      </w:r>
      <w:r w:rsidR="00983D47" w:rsidRPr="00AB2079">
        <w:rPr>
          <w:noProof/>
          <w:sz w:val="20"/>
          <w:szCs w:val="20"/>
          <w:lang w:val="sr-Cyrl-CS"/>
        </w:rPr>
        <w:t>в</w:t>
      </w:r>
      <w:r w:rsidRPr="00AB2079">
        <w:rPr>
          <w:noProof/>
          <w:sz w:val="20"/>
          <w:szCs w:val="20"/>
          <w:lang w:val="sr-Cyrl-CS"/>
        </w:rPr>
        <w:t xml:space="preserve">а износе </w:t>
      </w:r>
      <w:r w:rsidR="00C779EB" w:rsidRPr="00AB2079">
        <w:rPr>
          <w:noProof/>
          <w:sz w:val="20"/>
          <w:szCs w:val="20"/>
          <w:lang w:val="sr-Cyrl-CS"/>
        </w:rPr>
        <w:t>2</w:t>
      </w:r>
      <w:r w:rsidR="000359C0" w:rsidRPr="00AB2079">
        <w:rPr>
          <w:noProof/>
          <w:sz w:val="20"/>
          <w:szCs w:val="20"/>
          <w:lang w:val="sr-Cyrl-CS"/>
        </w:rPr>
        <w:t>11.756</w:t>
      </w:r>
      <w:r w:rsidRPr="00AB2079">
        <w:rPr>
          <w:noProof/>
          <w:sz w:val="20"/>
          <w:szCs w:val="20"/>
          <w:lang w:val="sr-Cyrl-CS"/>
        </w:rPr>
        <w:t xml:space="preserve"> хиљада динара и однос</w:t>
      </w:r>
      <w:r w:rsidR="009A70FE" w:rsidRPr="00AB2079">
        <w:rPr>
          <w:noProof/>
          <w:sz w:val="20"/>
          <w:szCs w:val="20"/>
          <w:lang w:val="sr-Cyrl-CS"/>
        </w:rPr>
        <w:t>е</w:t>
      </w:r>
      <w:r w:rsidRPr="00AB2079">
        <w:rPr>
          <w:noProof/>
          <w:sz w:val="20"/>
          <w:szCs w:val="20"/>
          <w:lang w:val="sr-Cyrl-CS"/>
        </w:rPr>
        <w:t xml:space="preserve"> се на емисиону премију и резерве сигурности из добити. </w:t>
      </w:r>
    </w:p>
    <w:p w:rsidR="004E6E16" w:rsidRPr="00AB2079" w:rsidRDefault="004E6E16" w:rsidP="004E6E16">
      <w:pPr>
        <w:spacing w:before="80" w:after="80"/>
        <w:ind w:firstLine="567"/>
        <w:jc w:val="both"/>
        <w:rPr>
          <w:noProof/>
          <w:sz w:val="20"/>
          <w:szCs w:val="20"/>
          <w:lang w:val="sr-Cyrl-CS"/>
        </w:rPr>
      </w:pPr>
      <w:r w:rsidRPr="00AB2079">
        <w:rPr>
          <w:noProof/>
          <w:sz w:val="20"/>
          <w:szCs w:val="20"/>
          <w:lang w:val="sr-Cyrl-CS"/>
        </w:rPr>
        <w:t>Друштво има у свом портфолију ХОВ које су сагласно рачуноводственој политици разврстане у ХОВ расположиве за продају и намењене трговини и њихове осцилације фер вредности евидентирају се преко биланса стања. Нереализовани добици по основу ХоВ износе на дан 31.12.201</w:t>
      </w:r>
      <w:r w:rsidR="007A4760" w:rsidRPr="00AB2079">
        <w:rPr>
          <w:noProof/>
          <w:sz w:val="20"/>
          <w:szCs w:val="20"/>
          <w:lang w:val="sr-Cyrl-CS"/>
        </w:rPr>
        <w:t>5</w:t>
      </w:r>
      <w:r w:rsidRPr="00AB2079">
        <w:rPr>
          <w:noProof/>
          <w:sz w:val="20"/>
          <w:szCs w:val="20"/>
          <w:lang w:val="sr-Cyrl-CS"/>
        </w:rPr>
        <w:t xml:space="preserve">. године </w:t>
      </w:r>
      <w:r w:rsidR="007A4760" w:rsidRPr="00AB2079">
        <w:rPr>
          <w:noProof/>
          <w:sz w:val="20"/>
          <w:szCs w:val="20"/>
          <w:lang w:val="sr-Cyrl-CS"/>
        </w:rPr>
        <w:t>40.861</w:t>
      </w:r>
      <w:r w:rsidRPr="00AB2079">
        <w:rPr>
          <w:noProof/>
          <w:sz w:val="20"/>
          <w:szCs w:val="20"/>
          <w:lang w:val="sr-Cyrl-CS"/>
        </w:rPr>
        <w:t xml:space="preserve"> хиљада динара, док нереализовани губици по основу ХоВ износе </w:t>
      </w:r>
      <w:r w:rsidR="007A4760" w:rsidRPr="00AB2079">
        <w:rPr>
          <w:noProof/>
          <w:sz w:val="20"/>
          <w:szCs w:val="20"/>
          <w:lang w:val="sr-Cyrl-CS"/>
        </w:rPr>
        <w:t>1.427</w:t>
      </w:r>
      <w:r w:rsidRPr="00AB2079">
        <w:rPr>
          <w:noProof/>
          <w:sz w:val="20"/>
          <w:szCs w:val="20"/>
          <w:lang w:val="sr-Cyrl-CS"/>
        </w:rPr>
        <w:t xml:space="preserve"> хиљада динара. </w:t>
      </w:r>
    </w:p>
    <w:p w:rsidR="003724D4" w:rsidRPr="00AB2079" w:rsidRDefault="00AB2079" w:rsidP="009A70FE">
      <w:pPr>
        <w:spacing w:before="80" w:after="80"/>
        <w:ind w:firstLine="567"/>
        <w:jc w:val="both"/>
        <w:rPr>
          <w:noProof/>
          <w:sz w:val="20"/>
          <w:szCs w:val="20"/>
          <w:lang w:val="sr-Cyrl-CS"/>
        </w:rPr>
      </w:pPr>
      <w:r w:rsidRPr="00AB2079">
        <w:rPr>
          <w:noProof/>
          <w:sz w:val="20"/>
          <w:szCs w:val="20"/>
          <w:lang w:val="sr-Cyrl-CS"/>
        </w:rPr>
        <w:t>Нераспоређена добит текуће године износи 343.057</w:t>
      </w:r>
      <w:r w:rsidR="003724D4" w:rsidRPr="00AB2079">
        <w:rPr>
          <w:noProof/>
          <w:sz w:val="20"/>
          <w:szCs w:val="20"/>
          <w:lang w:val="sr-Cyrl-CS"/>
        </w:rPr>
        <w:t xml:space="preserve"> хиљада динара, а нераспоређена добит претходних година износи </w:t>
      </w:r>
      <w:r w:rsidRPr="00AB2079">
        <w:rPr>
          <w:noProof/>
          <w:sz w:val="20"/>
          <w:szCs w:val="20"/>
          <w:lang w:val="sr-Cyrl-CS"/>
        </w:rPr>
        <w:t>165.018</w:t>
      </w:r>
      <w:r w:rsidR="003724D4" w:rsidRPr="00AB2079">
        <w:rPr>
          <w:noProof/>
          <w:sz w:val="20"/>
          <w:szCs w:val="20"/>
          <w:lang w:val="sr-Cyrl-CS"/>
        </w:rPr>
        <w:t xml:space="preserve"> хиљада динара.</w:t>
      </w:r>
    </w:p>
    <w:p w:rsidR="00BB2651" w:rsidRPr="00BF3CDE" w:rsidRDefault="00BB2651" w:rsidP="009A70FE">
      <w:pPr>
        <w:spacing w:before="120" w:after="0"/>
        <w:jc w:val="both"/>
        <w:rPr>
          <w:b/>
          <w:i/>
          <w:noProof/>
          <w:color w:val="365F91" w:themeColor="accent1" w:themeShade="BF"/>
          <w:sz w:val="20"/>
          <w:lang w:val="sr-Cyrl-CS"/>
        </w:rPr>
      </w:pPr>
      <w:r w:rsidRPr="00BF3CDE">
        <w:rPr>
          <w:b/>
          <w:i/>
          <w:noProof/>
          <w:color w:val="365F91" w:themeColor="accent1" w:themeShade="BF"/>
          <w:sz w:val="20"/>
          <w:lang w:val="sr-Cyrl-CS"/>
        </w:rPr>
        <w:t>Дугорочна резервисања</w:t>
      </w:r>
    </w:p>
    <w:p w:rsidR="007F70AC" w:rsidRPr="007A4760" w:rsidRDefault="007F70AC" w:rsidP="009A70FE">
      <w:pPr>
        <w:spacing w:after="0"/>
        <w:ind w:firstLine="567"/>
        <w:jc w:val="right"/>
        <w:rPr>
          <w:noProof/>
          <w:sz w:val="18"/>
          <w:szCs w:val="18"/>
          <w:lang w:val="sr-Cyrl-CS"/>
        </w:rPr>
      </w:pPr>
      <w:r w:rsidRPr="007A4760">
        <w:rPr>
          <w:noProof/>
          <w:sz w:val="18"/>
          <w:szCs w:val="18"/>
          <w:lang w:val="sr-Cyrl-CS"/>
        </w:rPr>
        <w:t>у 000 РСД</w:t>
      </w:r>
    </w:p>
    <w:tbl>
      <w:tblPr>
        <w:tblW w:w="9148" w:type="dxa"/>
        <w:tblInd w:w="93" w:type="dxa"/>
        <w:tblLook w:val="04A0" w:firstRow="1" w:lastRow="0" w:firstColumn="1" w:lastColumn="0" w:noHBand="0" w:noVBand="1"/>
      </w:tblPr>
      <w:tblGrid>
        <w:gridCol w:w="871"/>
        <w:gridCol w:w="3795"/>
        <w:gridCol w:w="1693"/>
        <w:gridCol w:w="287"/>
        <w:gridCol w:w="1142"/>
        <w:gridCol w:w="1360"/>
      </w:tblGrid>
      <w:tr w:rsidR="0061552B" w:rsidRPr="00BF3CDE" w:rsidTr="009A70FE">
        <w:trPr>
          <w:trHeight w:val="227"/>
        </w:trPr>
        <w:tc>
          <w:tcPr>
            <w:tcW w:w="871" w:type="dxa"/>
            <w:tcBorders>
              <w:top w:val="nil"/>
              <w:left w:val="nil"/>
              <w:bottom w:val="single" w:sz="8" w:space="0" w:color="629DD1"/>
              <w:right w:val="nil"/>
            </w:tcBorders>
            <w:shd w:val="clear" w:color="auto" w:fill="auto"/>
            <w:noWrap/>
            <w:vAlign w:val="center"/>
            <w:hideMark/>
          </w:tcPr>
          <w:p w:rsidR="0061552B" w:rsidRPr="007A4760" w:rsidRDefault="0061552B" w:rsidP="0061552B">
            <w:pPr>
              <w:spacing w:after="0" w:line="240" w:lineRule="auto"/>
              <w:rPr>
                <w:rFonts w:ascii="Verdana" w:eastAsia="Times New Roman" w:hAnsi="Verdana" w:cs="Calibri"/>
                <w:noProof/>
                <w:color w:val="000000" w:themeColor="text1"/>
                <w:lang w:val="sr-Cyrl-CS" w:eastAsia="sr-Latn-RS"/>
              </w:rPr>
            </w:pPr>
            <w:r w:rsidRPr="007A4760">
              <w:rPr>
                <w:rFonts w:ascii="Verdana" w:eastAsia="Times New Roman" w:hAnsi="Verdana" w:cs="Calibri"/>
                <w:noProof/>
                <w:color w:val="000000" w:themeColor="text1"/>
                <w:lang w:val="sr-Cyrl-CS" w:eastAsia="sr-Latn-RS"/>
              </w:rPr>
              <w:t> </w:t>
            </w:r>
          </w:p>
        </w:tc>
        <w:tc>
          <w:tcPr>
            <w:tcW w:w="3795" w:type="dxa"/>
            <w:tcBorders>
              <w:top w:val="nil"/>
              <w:left w:val="nil"/>
              <w:bottom w:val="single" w:sz="8" w:space="0" w:color="629DD1"/>
              <w:right w:val="nil"/>
            </w:tcBorders>
            <w:shd w:val="clear" w:color="auto" w:fill="auto"/>
            <w:vAlign w:val="center"/>
            <w:hideMark/>
          </w:tcPr>
          <w:p w:rsidR="0061552B" w:rsidRPr="007A4760" w:rsidRDefault="0061552B" w:rsidP="0061552B">
            <w:pPr>
              <w:spacing w:after="0" w:line="240" w:lineRule="auto"/>
              <w:jc w:val="center"/>
              <w:rPr>
                <w:rFonts w:ascii="Verdana" w:eastAsia="Times New Roman" w:hAnsi="Verdana" w:cs="Calibri"/>
                <w:b/>
                <w:bCs/>
                <w:noProof/>
                <w:color w:val="000000" w:themeColor="text1"/>
                <w:sz w:val="20"/>
                <w:szCs w:val="20"/>
                <w:lang w:val="sr-Cyrl-CS" w:eastAsia="sr-Latn-RS"/>
              </w:rPr>
            </w:pPr>
            <w:r w:rsidRPr="007A4760">
              <w:rPr>
                <w:rFonts w:ascii="Verdana" w:eastAsia="Times New Roman" w:hAnsi="Verdana" w:cs="Calibri"/>
                <w:b/>
                <w:bCs/>
                <w:noProof/>
                <w:color w:val="000000" w:themeColor="text1"/>
                <w:sz w:val="20"/>
                <w:szCs w:val="20"/>
                <w:lang w:val="sr-Cyrl-CS" w:eastAsia="sr-Latn-RS"/>
              </w:rPr>
              <w:t> </w:t>
            </w:r>
          </w:p>
        </w:tc>
        <w:tc>
          <w:tcPr>
            <w:tcW w:w="1693" w:type="dxa"/>
            <w:tcBorders>
              <w:top w:val="nil"/>
              <w:left w:val="nil"/>
              <w:bottom w:val="single" w:sz="8" w:space="0" w:color="629DD1"/>
              <w:right w:val="nil"/>
            </w:tcBorders>
            <w:shd w:val="clear" w:color="auto" w:fill="auto"/>
            <w:noWrap/>
            <w:vAlign w:val="center"/>
            <w:hideMark/>
          </w:tcPr>
          <w:p w:rsidR="0061552B" w:rsidRPr="007A4760" w:rsidRDefault="0061552B" w:rsidP="0061552B">
            <w:pPr>
              <w:spacing w:after="0" w:line="240" w:lineRule="auto"/>
              <w:jc w:val="center"/>
              <w:rPr>
                <w:rFonts w:ascii="Verdana" w:eastAsia="Times New Roman" w:hAnsi="Verdana" w:cs="Calibri"/>
                <w:b/>
                <w:bCs/>
                <w:noProof/>
                <w:color w:val="000000" w:themeColor="text1"/>
                <w:sz w:val="20"/>
                <w:szCs w:val="20"/>
                <w:lang w:val="sr-Cyrl-CS" w:eastAsia="sr-Latn-RS"/>
              </w:rPr>
            </w:pPr>
            <w:r w:rsidRPr="007A4760">
              <w:rPr>
                <w:rFonts w:ascii="Verdana" w:eastAsia="Times New Roman" w:hAnsi="Verdana" w:cs="Calibri"/>
                <w:b/>
                <w:bCs/>
                <w:noProof/>
                <w:color w:val="000000" w:themeColor="text1"/>
                <w:sz w:val="20"/>
                <w:szCs w:val="20"/>
                <w:lang w:val="sr-Cyrl-CS" w:eastAsia="sr-Latn-RS"/>
              </w:rPr>
              <w:t> </w:t>
            </w:r>
          </w:p>
        </w:tc>
        <w:tc>
          <w:tcPr>
            <w:tcW w:w="287" w:type="dxa"/>
            <w:tcBorders>
              <w:top w:val="nil"/>
              <w:left w:val="nil"/>
              <w:bottom w:val="single" w:sz="8" w:space="0" w:color="629DD1"/>
              <w:right w:val="nil"/>
            </w:tcBorders>
            <w:shd w:val="clear" w:color="auto" w:fill="auto"/>
            <w:vAlign w:val="center"/>
            <w:hideMark/>
          </w:tcPr>
          <w:p w:rsidR="0061552B" w:rsidRPr="007A4760" w:rsidRDefault="0061552B" w:rsidP="0061552B">
            <w:pPr>
              <w:spacing w:after="0" w:line="240" w:lineRule="auto"/>
              <w:jc w:val="center"/>
              <w:rPr>
                <w:rFonts w:ascii="Verdana" w:eastAsia="Times New Roman" w:hAnsi="Verdana" w:cs="Calibri"/>
                <w:b/>
                <w:bCs/>
                <w:noProof/>
                <w:color w:val="000000" w:themeColor="text1"/>
                <w:sz w:val="18"/>
                <w:szCs w:val="18"/>
                <w:lang w:val="sr-Cyrl-CS" w:eastAsia="sr-Latn-RS"/>
              </w:rPr>
            </w:pPr>
            <w:r w:rsidRPr="007A4760">
              <w:rPr>
                <w:rFonts w:ascii="Verdana" w:eastAsia="Times New Roman" w:hAnsi="Verdana" w:cs="Calibri"/>
                <w:b/>
                <w:bCs/>
                <w:noProof/>
                <w:color w:val="000000" w:themeColor="text1"/>
                <w:sz w:val="18"/>
                <w:szCs w:val="18"/>
                <w:lang w:val="sr-Cyrl-CS" w:eastAsia="sr-Latn-RS"/>
              </w:rPr>
              <w:t> </w:t>
            </w:r>
          </w:p>
        </w:tc>
        <w:tc>
          <w:tcPr>
            <w:tcW w:w="1142" w:type="dxa"/>
            <w:tcBorders>
              <w:top w:val="nil"/>
              <w:left w:val="nil"/>
              <w:bottom w:val="single" w:sz="8" w:space="0" w:color="629DD1"/>
              <w:right w:val="nil"/>
            </w:tcBorders>
            <w:shd w:val="clear" w:color="auto" w:fill="auto"/>
            <w:vAlign w:val="center"/>
            <w:hideMark/>
          </w:tcPr>
          <w:p w:rsidR="0061552B" w:rsidRPr="007A4760" w:rsidRDefault="0061552B" w:rsidP="007B6A55">
            <w:pPr>
              <w:spacing w:after="0" w:line="240" w:lineRule="auto"/>
              <w:jc w:val="center"/>
              <w:rPr>
                <w:rFonts w:ascii="Verdana" w:eastAsia="Times New Roman" w:hAnsi="Verdana" w:cs="Calibri"/>
                <w:b/>
                <w:bCs/>
                <w:noProof/>
                <w:color w:val="000000" w:themeColor="text1"/>
                <w:sz w:val="18"/>
                <w:szCs w:val="18"/>
                <w:lang w:val="sr-Latn-RS" w:eastAsia="sr-Latn-RS"/>
              </w:rPr>
            </w:pPr>
            <w:r w:rsidRPr="007A4760">
              <w:rPr>
                <w:rFonts w:ascii="Verdana" w:eastAsia="Times New Roman" w:hAnsi="Verdana" w:cs="Calibri"/>
                <w:b/>
                <w:bCs/>
                <w:noProof/>
                <w:color w:val="000000" w:themeColor="text1"/>
                <w:sz w:val="18"/>
                <w:szCs w:val="18"/>
                <w:lang w:val="sr-Cyrl-CS" w:eastAsia="sr-Latn-RS"/>
              </w:rPr>
              <w:t>201</w:t>
            </w:r>
            <w:r w:rsidR="007B6A55" w:rsidRPr="007A4760">
              <w:rPr>
                <w:rFonts w:ascii="Verdana" w:eastAsia="Times New Roman" w:hAnsi="Verdana" w:cs="Calibri"/>
                <w:b/>
                <w:bCs/>
                <w:noProof/>
                <w:color w:val="000000" w:themeColor="text1"/>
                <w:sz w:val="18"/>
                <w:szCs w:val="18"/>
                <w:lang w:val="sr-Latn-RS" w:eastAsia="sr-Latn-RS"/>
              </w:rPr>
              <w:t>5</w:t>
            </w:r>
          </w:p>
        </w:tc>
        <w:tc>
          <w:tcPr>
            <w:tcW w:w="1360" w:type="dxa"/>
            <w:tcBorders>
              <w:top w:val="nil"/>
              <w:left w:val="nil"/>
              <w:bottom w:val="single" w:sz="8" w:space="0" w:color="629DD1"/>
              <w:right w:val="nil"/>
            </w:tcBorders>
            <w:shd w:val="clear" w:color="auto" w:fill="auto"/>
            <w:noWrap/>
            <w:vAlign w:val="center"/>
            <w:hideMark/>
          </w:tcPr>
          <w:p w:rsidR="0061552B" w:rsidRPr="007A4760" w:rsidRDefault="0061552B" w:rsidP="007B6A55">
            <w:pPr>
              <w:spacing w:after="0" w:line="240" w:lineRule="auto"/>
              <w:jc w:val="center"/>
              <w:rPr>
                <w:rFonts w:ascii="Verdana" w:eastAsia="Times New Roman" w:hAnsi="Verdana" w:cs="Calibri"/>
                <w:b/>
                <w:bCs/>
                <w:noProof/>
                <w:color w:val="000000" w:themeColor="text1"/>
                <w:sz w:val="18"/>
                <w:szCs w:val="18"/>
                <w:lang w:val="sr-Latn-RS" w:eastAsia="sr-Latn-RS"/>
              </w:rPr>
            </w:pPr>
            <w:r w:rsidRPr="007A4760">
              <w:rPr>
                <w:rFonts w:ascii="Verdana" w:eastAsia="Times New Roman" w:hAnsi="Verdana" w:cs="Calibri"/>
                <w:b/>
                <w:bCs/>
                <w:noProof/>
                <w:color w:val="000000" w:themeColor="text1"/>
                <w:sz w:val="18"/>
                <w:szCs w:val="18"/>
                <w:lang w:val="sr-Cyrl-CS" w:eastAsia="sr-Latn-RS"/>
              </w:rPr>
              <w:t>201</w:t>
            </w:r>
            <w:r w:rsidR="007B6A55" w:rsidRPr="007A4760">
              <w:rPr>
                <w:rFonts w:ascii="Verdana" w:eastAsia="Times New Roman" w:hAnsi="Verdana" w:cs="Calibri"/>
                <w:b/>
                <w:bCs/>
                <w:noProof/>
                <w:color w:val="000000" w:themeColor="text1"/>
                <w:sz w:val="18"/>
                <w:szCs w:val="18"/>
                <w:lang w:val="sr-Latn-RS" w:eastAsia="sr-Latn-RS"/>
              </w:rPr>
              <w:t>4</w:t>
            </w:r>
          </w:p>
        </w:tc>
      </w:tr>
      <w:tr w:rsidR="00A205B2" w:rsidRPr="00BF3CDE" w:rsidTr="009A70FE">
        <w:trPr>
          <w:trHeight w:val="227"/>
        </w:trPr>
        <w:tc>
          <w:tcPr>
            <w:tcW w:w="6359" w:type="dxa"/>
            <w:gridSpan w:val="3"/>
            <w:tcBorders>
              <w:top w:val="single" w:sz="8" w:space="0" w:color="629DD1"/>
              <w:left w:val="nil"/>
              <w:bottom w:val="nil"/>
              <w:right w:val="nil"/>
            </w:tcBorders>
            <w:shd w:val="clear" w:color="000000" w:fill="DFEBF5"/>
            <w:noWrap/>
            <w:vAlign w:val="center"/>
            <w:hideMark/>
          </w:tcPr>
          <w:p w:rsidR="00A205B2" w:rsidRPr="007A4760" w:rsidRDefault="00A205B2" w:rsidP="0061552B">
            <w:pPr>
              <w:spacing w:after="0" w:line="240" w:lineRule="auto"/>
              <w:rPr>
                <w:rFonts w:ascii="Verdana" w:eastAsia="Times New Roman" w:hAnsi="Verdana" w:cs="Calibri"/>
                <w:noProof/>
                <w:color w:val="000000" w:themeColor="text1"/>
                <w:sz w:val="18"/>
                <w:szCs w:val="18"/>
                <w:lang w:val="sr-Cyrl-CS" w:eastAsia="sr-Latn-RS"/>
              </w:rPr>
            </w:pPr>
            <w:r w:rsidRPr="007A4760">
              <w:rPr>
                <w:rFonts w:ascii="Verdana" w:eastAsia="Times New Roman" w:hAnsi="Verdana" w:cs="Calibri"/>
                <w:noProof/>
                <w:color w:val="000000" w:themeColor="text1"/>
                <w:sz w:val="18"/>
                <w:szCs w:val="18"/>
                <w:lang w:val="sr-Cyrl-CS" w:eastAsia="sr-Latn-RS"/>
              </w:rPr>
              <w:t>Математичка резерва животног реосигурања</w:t>
            </w:r>
          </w:p>
        </w:tc>
        <w:tc>
          <w:tcPr>
            <w:tcW w:w="287" w:type="dxa"/>
            <w:tcBorders>
              <w:top w:val="nil"/>
              <w:left w:val="nil"/>
              <w:bottom w:val="nil"/>
              <w:right w:val="nil"/>
            </w:tcBorders>
            <w:shd w:val="clear" w:color="000000" w:fill="D8E6F3"/>
            <w:vAlign w:val="center"/>
            <w:hideMark/>
          </w:tcPr>
          <w:p w:rsidR="00A205B2" w:rsidRPr="007A4760" w:rsidRDefault="00A205B2" w:rsidP="0061552B">
            <w:pPr>
              <w:spacing w:after="0" w:line="240" w:lineRule="auto"/>
              <w:jc w:val="right"/>
              <w:rPr>
                <w:rFonts w:ascii="Verdana" w:eastAsia="Times New Roman" w:hAnsi="Verdana" w:cs="Calibri"/>
                <w:noProof/>
                <w:color w:val="000000" w:themeColor="text1"/>
                <w:sz w:val="18"/>
                <w:szCs w:val="18"/>
                <w:lang w:val="sr-Cyrl-CS" w:eastAsia="sr-Latn-RS"/>
              </w:rPr>
            </w:pPr>
            <w:r w:rsidRPr="007A4760">
              <w:rPr>
                <w:rFonts w:ascii="Verdana" w:eastAsia="Times New Roman" w:hAnsi="Verdana" w:cs="Calibri"/>
                <w:noProof/>
                <w:color w:val="000000" w:themeColor="text1"/>
                <w:sz w:val="18"/>
                <w:szCs w:val="18"/>
                <w:lang w:val="sr-Cyrl-CS" w:eastAsia="sr-Latn-RS"/>
              </w:rPr>
              <w:t> </w:t>
            </w:r>
          </w:p>
        </w:tc>
        <w:tc>
          <w:tcPr>
            <w:tcW w:w="1142" w:type="dxa"/>
            <w:tcBorders>
              <w:top w:val="nil"/>
              <w:left w:val="nil"/>
              <w:bottom w:val="nil"/>
              <w:right w:val="nil"/>
            </w:tcBorders>
            <w:shd w:val="clear" w:color="000000" w:fill="D8E6F3"/>
            <w:vAlign w:val="center"/>
            <w:hideMark/>
          </w:tcPr>
          <w:p w:rsidR="00A205B2" w:rsidRPr="007A4760" w:rsidRDefault="007B6A55" w:rsidP="00C031DE">
            <w:pPr>
              <w:spacing w:after="0" w:line="240" w:lineRule="auto"/>
              <w:jc w:val="right"/>
              <w:rPr>
                <w:rFonts w:ascii="Verdana" w:eastAsia="Times New Roman" w:hAnsi="Verdana" w:cs="Calibri"/>
                <w:noProof/>
                <w:color w:val="000000" w:themeColor="text1"/>
                <w:sz w:val="18"/>
                <w:szCs w:val="18"/>
                <w:lang w:val="sr-Latn-RS" w:eastAsia="sr-Latn-RS"/>
              </w:rPr>
            </w:pPr>
            <w:r w:rsidRPr="007A4760">
              <w:rPr>
                <w:rFonts w:ascii="Verdana" w:eastAsia="Times New Roman" w:hAnsi="Verdana" w:cs="Calibri"/>
                <w:noProof/>
                <w:color w:val="000000" w:themeColor="text1"/>
                <w:sz w:val="18"/>
                <w:szCs w:val="18"/>
                <w:lang w:val="sr-Latn-RS" w:eastAsia="sr-Latn-RS"/>
              </w:rPr>
              <w:t>22.076</w:t>
            </w:r>
          </w:p>
        </w:tc>
        <w:tc>
          <w:tcPr>
            <w:tcW w:w="1360" w:type="dxa"/>
            <w:tcBorders>
              <w:top w:val="nil"/>
              <w:left w:val="nil"/>
              <w:bottom w:val="nil"/>
              <w:right w:val="nil"/>
            </w:tcBorders>
            <w:shd w:val="clear" w:color="000000" w:fill="D8E6F3"/>
            <w:noWrap/>
            <w:vAlign w:val="center"/>
          </w:tcPr>
          <w:p w:rsidR="00A205B2" w:rsidRPr="007A4760" w:rsidRDefault="00A205B2" w:rsidP="00A205B2">
            <w:pPr>
              <w:spacing w:after="0" w:line="240" w:lineRule="auto"/>
              <w:jc w:val="right"/>
              <w:rPr>
                <w:rFonts w:ascii="Verdana" w:eastAsia="Times New Roman" w:hAnsi="Verdana" w:cs="Calibri"/>
                <w:noProof/>
                <w:color w:val="000000" w:themeColor="text1"/>
                <w:sz w:val="18"/>
                <w:szCs w:val="18"/>
                <w:lang w:val="sr-Cyrl-CS" w:eastAsia="sr-Latn-RS"/>
              </w:rPr>
            </w:pPr>
            <w:r w:rsidRPr="007A4760">
              <w:rPr>
                <w:rFonts w:ascii="Verdana" w:eastAsia="Times New Roman" w:hAnsi="Verdana" w:cs="Calibri"/>
                <w:noProof/>
                <w:color w:val="000000" w:themeColor="text1"/>
                <w:sz w:val="18"/>
                <w:szCs w:val="18"/>
                <w:lang w:val="sr-Cyrl-CS" w:eastAsia="sr-Latn-RS"/>
              </w:rPr>
              <w:t>21,585</w:t>
            </w:r>
          </w:p>
        </w:tc>
      </w:tr>
      <w:tr w:rsidR="00A205B2" w:rsidRPr="00BF3CDE" w:rsidTr="009A70FE">
        <w:trPr>
          <w:trHeight w:val="227"/>
        </w:trPr>
        <w:tc>
          <w:tcPr>
            <w:tcW w:w="6359" w:type="dxa"/>
            <w:gridSpan w:val="3"/>
            <w:tcBorders>
              <w:top w:val="nil"/>
              <w:left w:val="nil"/>
              <w:bottom w:val="nil"/>
              <w:right w:val="nil"/>
            </w:tcBorders>
            <w:shd w:val="clear" w:color="auto" w:fill="auto"/>
            <w:noWrap/>
            <w:vAlign w:val="center"/>
            <w:hideMark/>
          </w:tcPr>
          <w:p w:rsidR="00A205B2" w:rsidRPr="007A4760" w:rsidRDefault="00A205B2" w:rsidP="0061552B">
            <w:pPr>
              <w:spacing w:after="0" w:line="240" w:lineRule="auto"/>
              <w:rPr>
                <w:rFonts w:ascii="Verdana" w:eastAsia="Times New Roman" w:hAnsi="Verdana" w:cs="Calibri"/>
                <w:noProof/>
                <w:color w:val="000000" w:themeColor="text1"/>
                <w:sz w:val="18"/>
                <w:szCs w:val="18"/>
                <w:lang w:val="sr-Cyrl-CS" w:eastAsia="sr-Latn-RS"/>
              </w:rPr>
            </w:pPr>
            <w:r w:rsidRPr="007A4760">
              <w:rPr>
                <w:rFonts w:ascii="Verdana" w:eastAsia="Times New Roman" w:hAnsi="Verdana" w:cs="Calibri"/>
                <w:noProof/>
                <w:color w:val="000000" w:themeColor="text1"/>
                <w:sz w:val="18"/>
                <w:szCs w:val="18"/>
                <w:lang w:val="sr-Cyrl-CS" w:eastAsia="sr-Latn-RS"/>
              </w:rPr>
              <w:t>Резерве за изравнање ризика</w:t>
            </w:r>
          </w:p>
        </w:tc>
        <w:tc>
          <w:tcPr>
            <w:tcW w:w="287" w:type="dxa"/>
            <w:tcBorders>
              <w:top w:val="nil"/>
              <w:left w:val="nil"/>
              <w:bottom w:val="nil"/>
              <w:right w:val="nil"/>
            </w:tcBorders>
            <w:shd w:val="clear" w:color="auto" w:fill="auto"/>
            <w:vAlign w:val="center"/>
            <w:hideMark/>
          </w:tcPr>
          <w:p w:rsidR="00A205B2" w:rsidRPr="007A4760" w:rsidRDefault="00A205B2" w:rsidP="0061552B">
            <w:pPr>
              <w:spacing w:after="0" w:line="240" w:lineRule="auto"/>
              <w:jc w:val="right"/>
              <w:rPr>
                <w:rFonts w:ascii="Verdana" w:eastAsia="Times New Roman" w:hAnsi="Verdana" w:cs="Calibri"/>
                <w:noProof/>
                <w:color w:val="000000" w:themeColor="text1"/>
                <w:sz w:val="18"/>
                <w:szCs w:val="18"/>
                <w:lang w:val="sr-Cyrl-CS" w:eastAsia="sr-Latn-RS"/>
              </w:rPr>
            </w:pPr>
          </w:p>
        </w:tc>
        <w:tc>
          <w:tcPr>
            <w:tcW w:w="1142" w:type="dxa"/>
            <w:tcBorders>
              <w:top w:val="nil"/>
              <w:left w:val="nil"/>
              <w:bottom w:val="nil"/>
              <w:right w:val="nil"/>
            </w:tcBorders>
            <w:shd w:val="clear" w:color="auto" w:fill="auto"/>
            <w:vAlign w:val="center"/>
            <w:hideMark/>
          </w:tcPr>
          <w:p w:rsidR="00A205B2" w:rsidRPr="007A4760" w:rsidRDefault="007B6A55" w:rsidP="00C031DE">
            <w:pPr>
              <w:spacing w:after="0" w:line="240" w:lineRule="auto"/>
              <w:jc w:val="right"/>
              <w:rPr>
                <w:rFonts w:ascii="Verdana" w:eastAsia="Times New Roman" w:hAnsi="Verdana" w:cs="Calibri"/>
                <w:noProof/>
                <w:color w:val="000000" w:themeColor="text1"/>
                <w:sz w:val="18"/>
                <w:szCs w:val="18"/>
                <w:lang w:val="sr-Latn-RS" w:eastAsia="sr-Latn-RS"/>
              </w:rPr>
            </w:pPr>
            <w:r w:rsidRPr="007A4760">
              <w:rPr>
                <w:rFonts w:ascii="Verdana" w:eastAsia="Times New Roman" w:hAnsi="Verdana" w:cs="Calibri"/>
                <w:noProof/>
                <w:color w:val="000000" w:themeColor="text1"/>
                <w:sz w:val="18"/>
                <w:szCs w:val="18"/>
                <w:lang w:val="sr-Latn-RS" w:eastAsia="sr-Latn-RS"/>
              </w:rPr>
              <w:t>205</w:t>
            </w:r>
          </w:p>
        </w:tc>
        <w:tc>
          <w:tcPr>
            <w:tcW w:w="1360" w:type="dxa"/>
            <w:tcBorders>
              <w:top w:val="nil"/>
              <w:left w:val="nil"/>
              <w:bottom w:val="nil"/>
              <w:right w:val="nil"/>
            </w:tcBorders>
            <w:shd w:val="clear" w:color="auto" w:fill="auto"/>
            <w:noWrap/>
            <w:vAlign w:val="center"/>
          </w:tcPr>
          <w:p w:rsidR="00A205B2" w:rsidRPr="007A4760" w:rsidRDefault="00A205B2" w:rsidP="00A205B2">
            <w:pPr>
              <w:spacing w:after="0" w:line="240" w:lineRule="auto"/>
              <w:jc w:val="right"/>
              <w:rPr>
                <w:rFonts w:ascii="Verdana" w:eastAsia="Times New Roman" w:hAnsi="Verdana" w:cs="Calibri"/>
                <w:noProof/>
                <w:color w:val="000000" w:themeColor="text1"/>
                <w:sz w:val="18"/>
                <w:szCs w:val="18"/>
                <w:lang w:val="sr-Cyrl-CS" w:eastAsia="sr-Latn-RS"/>
              </w:rPr>
            </w:pPr>
            <w:r w:rsidRPr="007A4760">
              <w:rPr>
                <w:rFonts w:ascii="Verdana" w:eastAsia="Times New Roman" w:hAnsi="Verdana" w:cs="Calibri"/>
                <w:noProof/>
                <w:color w:val="000000" w:themeColor="text1"/>
                <w:sz w:val="18"/>
                <w:szCs w:val="18"/>
                <w:lang w:val="sr-Cyrl-CS" w:eastAsia="sr-Latn-RS"/>
              </w:rPr>
              <w:t>220,696</w:t>
            </w:r>
          </w:p>
        </w:tc>
      </w:tr>
      <w:tr w:rsidR="00A205B2" w:rsidRPr="00BF3CDE" w:rsidTr="009A70FE">
        <w:trPr>
          <w:trHeight w:val="227"/>
        </w:trPr>
        <w:tc>
          <w:tcPr>
            <w:tcW w:w="6359" w:type="dxa"/>
            <w:gridSpan w:val="3"/>
            <w:tcBorders>
              <w:top w:val="nil"/>
              <w:left w:val="nil"/>
              <w:bottom w:val="single" w:sz="8" w:space="0" w:color="629DD1"/>
              <w:right w:val="nil"/>
            </w:tcBorders>
            <w:shd w:val="clear" w:color="000000" w:fill="DFEBF5"/>
            <w:noWrap/>
            <w:vAlign w:val="center"/>
            <w:hideMark/>
          </w:tcPr>
          <w:p w:rsidR="00A205B2" w:rsidRPr="007A4760" w:rsidRDefault="00A205B2" w:rsidP="00895061">
            <w:pPr>
              <w:spacing w:after="0" w:line="240" w:lineRule="auto"/>
              <w:rPr>
                <w:rFonts w:ascii="Verdana" w:eastAsia="Times New Roman" w:hAnsi="Verdana" w:cs="Calibri"/>
                <w:noProof/>
                <w:color w:val="000000" w:themeColor="text1"/>
                <w:sz w:val="18"/>
                <w:szCs w:val="18"/>
                <w:lang w:val="sr-Cyrl-CS" w:eastAsia="sr-Latn-RS"/>
              </w:rPr>
            </w:pPr>
            <w:r w:rsidRPr="007A4760">
              <w:rPr>
                <w:rFonts w:ascii="Verdana" w:eastAsia="Times New Roman" w:hAnsi="Verdana" w:cs="Calibri"/>
                <w:noProof/>
                <w:color w:val="000000" w:themeColor="text1"/>
                <w:sz w:val="18"/>
                <w:szCs w:val="18"/>
                <w:lang w:val="sr-Cyrl-CS" w:eastAsia="sr-Latn-RS"/>
              </w:rPr>
              <w:t>Рез. за отпремнине и јубиларне награде по МРС 19</w:t>
            </w:r>
          </w:p>
        </w:tc>
        <w:tc>
          <w:tcPr>
            <w:tcW w:w="287" w:type="dxa"/>
            <w:tcBorders>
              <w:top w:val="nil"/>
              <w:left w:val="nil"/>
              <w:bottom w:val="nil"/>
              <w:right w:val="nil"/>
            </w:tcBorders>
            <w:shd w:val="clear" w:color="000000" w:fill="D8E6F3"/>
            <w:vAlign w:val="center"/>
            <w:hideMark/>
          </w:tcPr>
          <w:p w:rsidR="00A205B2" w:rsidRPr="007A4760" w:rsidRDefault="00A205B2" w:rsidP="0061552B">
            <w:pPr>
              <w:spacing w:after="0" w:line="240" w:lineRule="auto"/>
              <w:jc w:val="right"/>
              <w:rPr>
                <w:rFonts w:ascii="Verdana" w:eastAsia="Times New Roman" w:hAnsi="Verdana" w:cs="Calibri"/>
                <w:noProof/>
                <w:color w:val="000000" w:themeColor="text1"/>
                <w:sz w:val="18"/>
                <w:szCs w:val="18"/>
                <w:lang w:val="sr-Cyrl-CS" w:eastAsia="sr-Latn-RS"/>
              </w:rPr>
            </w:pPr>
            <w:r w:rsidRPr="007A4760">
              <w:rPr>
                <w:rFonts w:ascii="Verdana" w:eastAsia="Times New Roman" w:hAnsi="Verdana" w:cs="Calibri"/>
                <w:noProof/>
                <w:color w:val="000000" w:themeColor="text1"/>
                <w:sz w:val="18"/>
                <w:szCs w:val="18"/>
                <w:lang w:val="sr-Cyrl-CS" w:eastAsia="sr-Latn-RS"/>
              </w:rPr>
              <w:t> </w:t>
            </w:r>
          </w:p>
        </w:tc>
        <w:tc>
          <w:tcPr>
            <w:tcW w:w="1142" w:type="dxa"/>
            <w:tcBorders>
              <w:top w:val="nil"/>
              <w:left w:val="nil"/>
              <w:bottom w:val="nil"/>
              <w:right w:val="nil"/>
            </w:tcBorders>
            <w:shd w:val="clear" w:color="000000" w:fill="D8E6F3"/>
            <w:vAlign w:val="center"/>
            <w:hideMark/>
          </w:tcPr>
          <w:p w:rsidR="00A205B2" w:rsidRPr="007A4760" w:rsidRDefault="007B6A55" w:rsidP="00C031DE">
            <w:pPr>
              <w:spacing w:after="0" w:line="240" w:lineRule="auto"/>
              <w:jc w:val="right"/>
              <w:rPr>
                <w:rFonts w:ascii="Verdana" w:eastAsia="Times New Roman" w:hAnsi="Verdana" w:cs="Calibri"/>
                <w:noProof/>
                <w:color w:val="000000" w:themeColor="text1"/>
                <w:sz w:val="18"/>
                <w:szCs w:val="18"/>
                <w:lang w:val="sr-Latn-RS" w:eastAsia="sr-Latn-RS"/>
              </w:rPr>
            </w:pPr>
            <w:r w:rsidRPr="007A4760">
              <w:rPr>
                <w:rFonts w:ascii="Verdana" w:eastAsia="Times New Roman" w:hAnsi="Verdana" w:cs="Calibri"/>
                <w:noProof/>
                <w:color w:val="000000" w:themeColor="text1"/>
                <w:sz w:val="18"/>
                <w:szCs w:val="18"/>
                <w:lang w:val="sr-Latn-RS" w:eastAsia="sr-Latn-RS"/>
              </w:rPr>
              <w:t>11.880</w:t>
            </w:r>
          </w:p>
        </w:tc>
        <w:tc>
          <w:tcPr>
            <w:tcW w:w="1360" w:type="dxa"/>
            <w:tcBorders>
              <w:top w:val="nil"/>
              <w:left w:val="nil"/>
              <w:bottom w:val="nil"/>
              <w:right w:val="nil"/>
            </w:tcBorders>
            <w:shd w:val="clear" w:color="000000" w:fill="D8E6F3"/>
            <w:noWrap/>
            <w:vAlign w:val="center"/>
          </w:tcPr>
          <w:p w:rsidR="00A205B2" w:rsidRPr="007A4760" w:rsidRDefault="00A205B2" w:rsidP="00A205B2">
            <w:pPr>
              <w:spacing w:after="0" w:line="240" w:lineRule="auto"/>
              <w:jc w:val="right"/>
              <w:rPr>
                <w:rFonts w:ascii="Verdana" w:eastAsia="Times New Roman" w:hAnsi="Verdana" w:cs="Calibri"/>
                <w:noProof/>
                <w:color w:val="000000" w:themeColor="text1"/>
                <w:sz w:val="18"/>
                <w:szCs w:val="18"/>
                <w:lang w:val="sr-Cyrl-CS" w:eastAsia="sr-Latn-RS"/>
              </w:rPr>
            </w:pPr>
            <w:r w:rsidRPr="007A4760">
              <w:rPr>
                <w:rFonts w:ascii="Verdana" w:eastAsia="Times New Roman" w:hAnsi="Verdana" w:cs="Calibri"/>
                <w:noProof/>
                <w:color w:val="000000" w:themeColor="text1"/>
                <w:sz w:val="18"/>
                <w:szCs w:val="18"/>
                <w:lang w:val="sr-Cyrl-CS" w:eastAsia="sr-Latn-RS"/>
              </w:rPr>
              <w:t>7,262</w:t>
            </w:r>
          </w:p>
        </w:tc>
      </w:tr>
      <w:tr w:rsidR="00A205B2" w:rsidRPr="00BF3CDE" w:rsidTr="009A70FE">
        <w:trPr>
          <w:trHeight w:val="227"/>
        </w:trPr>
        <w:tc>
          <w:tcPr>
            <w:tcW w:w="6359" w:type="dxa"/>
            <w:gridSpan w:val="3"/>
            <w:tcBorders>
              <w:top w:val="single" w:sz="8" w:space="0" w:color="629DD1"/>
              <w:left w:val="nil"/>
              <w:bottom w:val="single" w:sz="8" w:space="0" w:color="629DD1"/>
              <w:right w:val="nil"/>
            </w:tcBorders>
            <w:shd w:val="clear" w:color="auto" w:fill="auto"/>
            <w:noWrap/>
            <w:vAlign w:val="center"/>
            <w:hideMark/>
          </w:tcPr>
          <w:p w:rsidR="00A205B2" w:rsidRPr="007A4760" w:rsidRDefault="00A205B2" w:rsidP="0061552B">
            <w:pPr>
              <w:spacing w:after="0" w:line="240" w:lineRule="auto"/>
              <w:rPr>
                <w:rFonts w:ascii="Verdana" w:eastAsia="Times New Roman" w:hAnsi="Verdana" w:cs="Calibri"/>
                <w:b/>
                <w:bCs/>
                <w:noProof/>
                <w:color w:val="000000" w:themeColor="text1"/>
                <w:sz w:val="18"/>
                <w:szCs w:val="18"/>
                <w:lang w:val="sr-Cyrl-CS" w:eastAsia="sr-Latn-RS"/>
              </w:rPr>
            </w:pPr>
            <w:r w:rsidRPr="007A4760">
              <w:rPr>
                <w:rFonts w:ascii="Verdana" w:eastAsia="Times New Roman" w:hAnsi="Verdana" w:cs="Calibri"/>
                <w:b/>
                <w:bCs/>
                <w:noProof/>
                <w:color w:val="000000" w:themeColor="text1"/>
                <w:sz w:val="18"/>
                <w:szCs w:val="18"/>
                <w:lang w:val="sr-Cyrl-CS" w:eastAsia="sr-Latn-RS"/>
              </w:rPr>
              <w:t>УКУПНО</w:t>
            </w:r>
          </w:p>
        </w:tc>
        <w:tc>
          <w:tcPr>
            <w:tcW w:w="287" w:type="dxa"/>
            <w:tcBorders>
              <w:top w:val="single" w:sz="8" w:space="0" w:color="629DD1"/>
              <w:left w:val="nil"/>
              <w:bottom w:val="single" w:sz="8" w:space="0" w:color="629DD1"/>
              <w:right w:val="nil"/>
            </w:tcBorders>
            <w:shd w:val="clear" w:color="auto" w:fill="auto"/>
            <w:vAlign w:val="center"/>
            <w:hideMark/>
          </w:tcPr>
          <w:p w:rsidR="00A205B2" w:rsidRPr="007A4760" w:rsidRDefault="00A205B2" w:rsidP="0061552B">
            <w:pPr>
              <w:spacing w:after="0" w:line="240" w:lineRule="auto"/>
              <w:jc w:val="center"/>
              <w:rPr>
                <w:rFonts w:ascii="Verdana" w:eastAsia="Times New Roman" w:hAnsi="Verdana" w:cs="Calibri"/>
                <w:b/>
                <w:bCs/>
                <w:noProof/>
                <w:color w:val="000000" w:themeColor="text1"/>
                <w:sz w:val="18"/>
                <w:szCs w:val="18"/>
                <w:lang w:val="sr-Cyrl-CS" w:eastAsia="sr-Latn-RS"/>
              </w:rPr>
            </w:pPr>
            <w:r w:rsidRPr="007A4760">
              <w:rPr>
                <w:rFonts w:ascii="Verdana" w:eastAsia="Times New Roman" w:hAnsi="Verdana" w:cs="Calibri"/>
                <w:b/>
                <w:bCs/>
                <w:noProof/>
                <w:color w:val="000000" w:themeColor="text1"/>
                <w:sz w:val="18"/>
                <w:szCs w:val="18"/>
                <w:lang w:val="sr-Cyrl-CS" w:eastAsia="sr-Latn-RS"/>
              </w:rPr>
              <w:t> </w:t>
            </w:r>
          </w:p>
        </w:tc>
        <w:tc>
          <w:tcPr>
            <w:tcW w:w="1142" w:type="dxa"/>
            <w:tcBorders>
              <w:top w:val="single" w:sz="8" w:space="0" w:color="629DD1"/>
              <w:left w:val="nil"/>
              <w:bottom w:val="single" w:sz="8" w:space="0" w:color="629DD1"/>
              <w:right w:val="nil"/>
            </w:tcBorders>
            <w:shd w:val="clear" w:color="auto" w:fill="auto"/>
            <w:vAlign w:val="center"/>
            <w:hideMark/>
          </w:tcPr>
          <w:p w:rsidR="00A205B2" w:rsidRPr="007A4760" w:rsidRDefault="007B6A55" w:rsidP="008D4D3A">
            <w:pPr>
              <w:spacing w:after="0" w:line="240" w:lineRule="auto"/>
              <w:jc w:val="right"/>
              <w:rPr>
                <w:rFonts w:ascii="Verdana" w:eastAsia="Times New Roman" w:hAnsi="Verdana" w:cs="Calibri"/>
                <w:b/>
                <w:bCs/>
                <w:noProof/>
                <w:color w:val="000000" w:themeColor="text1"/>
                <w:sz w:val="18"/>
                <w:szCs w:val="18"/>
                <w:lang w:val="sr-Latn-RS" w:eastAsia="sr-Latn-RS"/>
              </w:rPr>
            </w:pPr>
            <w:r w:rsidRPr="007A4760">
              <w:rPr>
                <w:rFonts w:ascii="Verdana" w:eastAsia="Times New Roman" w:hAnsi="Verdana" w:cs="Calibri"/>
                <w:b/>
                <w:bCs/>
                <w:noProof/>
                <w:color w:val="000000" w:themeColor="text1"/>
                <w:sz w:val="18"/>
                <w:szCs w:val="18"/>
                <w:lang w:val="sr-Latn-RS" w:eastAsia="sr-Latn-RS"/>
              </w:rPr>
              <w:t>34.161</w:t>
            </w:r>
          </w:p>
        </w:tc>
        <w:tc>
          <w:tcPr>
            <w:tcW w:w="1360" w:type="dxa"/>
            <w:tcBorders>
              <w:top w:val="single" w:sz="8" w:space="0" w:color="629DD1"/>
              <w:left w:val="nil"/>
              <w:bottom w:val="single" w:sz="8" w:space="0" w:color="629DD1"/>
              <w:right w:val="nil"/>
            </w:tcBorders>
            <w:shd w:val="clear" w:color="auto" w:fill="auto"/>
            <w:vAlign w:val="center"/>
          </w:tcPr>
          <w:p w:rsidR="00A205B2" w:rsidRPr="007A4760" w:rsidRDefault="00A205B2" w:rsidP="008D4D3A">
            <w:pPr>
              <w:spacing w:after="0" w:line="240" w:lineRule="auto"/>
              <w:jc w:val="right"/>
              <w:rPr>
                <w:rFonts w:ascii="Verdana" w:eastAsia="Times New Roman" w:hAnsi="Verdana" w:cs="Calibri"/>
                <w:b/>
                <w:bCs/>
                <w:noProof/>
                <w:color w:val="000000" w:themeColor="text1"/>
                <w:sz w:val="18"/>
                <w:szCs w:val="18"/>
                <w:lang w:val="sr-Cyrl-CS" w:eastAsia="sr-Latn-RS"/>
              </w:rPr>
            </w:pPr>
            <w:r w:rsidRPr="007A4760">
              <w:rPr>
                <w:rFonts w:ascii="Verdana" w:eastAsia="Times New Roman" w:hAnsi="Verdana" w:cs="Calibri"/>
                <w:b/>
                <w:bCs/>
                <w:noProof/>
                <w:color w:val="000000" w:themeColor="text1"/>
                <w:sz w:val="18"/>
                <w:szCs w:val="18"/>
                <w:lang w:val="sr-Cyrl-CS" w:eastAsia="sr-Latn-RS"/>
              </w:rPr>
              <w:t>249,543</w:t>
            </w:r>
          </w:p>
        </w:tc>
      </w:tr>
    </w:tbl>
    <w:p w:rsidR="0095294C" w:rsidRPr="0095294C" w:rsidRDefault="0095294C" w:rsidP="0095294C">
      <w:pPr>
        <w:pStyle w:val="NoSpacing"/>
        <w:spacing w:before="80" w:after="80"/>
        <w:ind w:firstLine="567"/>
        <w:jc w:val="both"/>
        <w:rPr>
          <w:rFonts w:eastAsiaTheme="minorHAnsi"/>
          <w:noProof/>
          <w:sz w:val="20"/>
          <w:szCs w:val="20"/>
          <w:lang w:val="sr-Cyrl-CS" w:eastAsia="en-US"/>
        </w:rPr>
      </w:pPr>
      <w:r w:rsidRPr="0095294C">
        <w:rPr>
          <w:rFonts w:eastAsiaTheme="minorHAnsi"/>
          <w:noProof/>
          <w:sz w:val="20"/>
          <w:szCs w:val="20"/>
          <w:lang w:val="sr-Cyrl-CS" w:eastAsia="en-US"/>
        </w:rPr>
        <w:t>У структури дугорочних резервисања доминирају,  резревисања по МРС 19, 11.880 хиљада динара или 34,78% и математичка резерва осигурања живота 22.076 хиљада динара или 64,62%.</w:t>
      </w:r>
    </w:p>
    <w:p w:rsidR="006963FE" w:rsidRPr="00BF3CDE" w:rsidRDefault="0095294C" w:rsidP="0095294C">
      <w:pPr>
        <w:pStyle w:val="NoSpacing"/>
        <w:spacing w:before="80" w:after="80" w:line="276" w:lineRule="auto"/>
        <w:ind w:firstLine="567"/>
        <w:jc w:val="both"/>
        <w:rPr>
          <w:rFonts w:eastAsiaTheme="minorHAnsi"/>
          <w:noProof/>
          <w:sz w:val="20"/>
          <w:szCs w:val="20"/>
          <w:lang w:val="sr-Cyrl-CS" w:eastAsia="en-US"/>
        </w:rPr>
      </w:pPr>
      <w:r w:rsidRPr="0095294C">
        <w:rPr>
          <w:rFonts w:eastAsiaTheme="minorHAnsi"/>
          <w:noProof/>
          <w:sz w:val="20"/>
          <w:szCs w:val="20"/>
          <w:lang w:val="sr-Cyrl-CS" w:eastAsia="en-US"/>
        </w:rPr>
        <w:t>На дан 31.12.2015. године према Правилнику о образовању резерви за изравнавање ризика а у складу са Одлуком о техничким резервама НБС и законским прописима, Друштво је обрачунало резерве за изравнавање ризика само у врсти осигурања кредита у износу од 205 хиљада динара. Претходне године према тада важећем Правилнику и законској регулативи резерве су утврђене у укупном износу од 220.696 хиљада динара по више врста осигурања. Код овог облика резервисања због измене законске регулативе, односно методологије обрачуна имамо укупно смањење резерви за израв</w:t>
      </w:r>
      <w:r>
        <w:rPr>
          <w:rFonts w:eastAsiaTheme="minorHAnsi"/>
          <w:noProof/>
          <w:sz w:val="20"/>
          <w:szCs w:val="20"/>
          <w:lang w:val="sr-Cyrl-CS" w:eastAsia="en-US"/>
        </w:rPr>
        <w:t>навање ризика за 220.491 хиљада.</w:t>
      </w:r>
    </w:p>
    <w:p w:rsidR="00DC51FA" w:rsidRPr="00BF3CDE" w:rsidRDefault="00492321" w:rsidP="00860C32">
      <w:pPr>
        <w:pStyle w:val="Heading1"/>
        <w:numPr>
          <w:ilvl w:val="2"/>
          <w:numId w:val="6"/>
        </w:numPr>
      </w:pPr>
      <w:bookmarkStart w:id="36" w:name="_Toc445975033"/>
      <w:r w:rsidRPr="00BF3CDE">
        <w:t>Краткорочне обавезе</w:t>
      </w:r>
      <w:bookmarkEnd w:id="36"/>
    </w:p>
    <w:p w:rsidR="00D623A6" w:rsidRDefault="00D623A6" w:rsidP="00412AD5">
      <w:pPr>
        <w:spacing w:before="240" w:after="120"/>
        <w:ind w:firstLine="567"/>
        <w:jc w:val="both"/>
        <w:rPr>
          <w:noProof/>
          <w:sz w:val="20"/>
          <w:szCs w:val="20"/>
          <w:lang w:val="sr-Cyrl-CS"/>
        </w:rPr>
      </w:pPr>
      <w:r w:rsidRPr="00BF3CDE">
        <w:rPr>
          <w:noProof/>
          <w:sz w:val="20"/>
          <w:szCs w:val="20"/>
          <w:lang w:val="sr-Cyrl-CS"/>
        </w:rPr>
        <w:t xml:space="preserve">Краткорочне обавезе Друштва износе </w:t>
      </w:r>
      <w:r w:rsidR="0075313E">
        <w:rPr>
          <w:noProof/>
          <w:sz w:val="20"/>
          <w:szCs w:val="20"/>
          <w:lang w:val="sr-Latn-RS"/>
        </w:rPr>
        <w:t>862.737</w:t>
      </w:r>
      <w:r w:rsidR="00CD69ED" w:rsidRPr="00BF3CDE">
        <w:rPr>
          <w:noProof/>
          <w:sz w:val="20"/>
          <w:szCs w:val="20"/>
          <w:lang w:val="sr-Cyrl-CS"/>
        </w:rPr>
        <w:t xml:space="preserve"> </w:t>
      </w:r>
      <w:r w:rsidRPr="00BF3CDE">
        <w:rPr>
          <w:noProof/>
          <w:sz w:val="20"/>
          <w:szCs w:val="20"/>
          <w:lang w:val="sr-Cyrl-CS"/>
        </w:rPr>
        <w:t>хиљада динара, а састоје се од:</w:t>
      </w:r>
    </w:p>
    <w:tbl>
      <w:tblPr>
        <w:tblW w:w="9195" w:type="dxa"/>
        <w:tblInd w:w="93" w:type="dxa"/>
        <w:tblLook w:val="04A0" w:firstRow="1" w:lastRow="0" w:firstColumn="1" w:lastColumn="0" w:noHBand="0" w:noVBand="1"/>
      </w:tblPr>
      <w:tblGrid>
        <w:gridCol w:w="5603"/>
        <w:gridCol w:w="1796"/>
        <w:gridCol w:w="1796"/>
      </w:tblGrid>
      <w:tr w:rsidR="007A4760" w:rsidRPr="007A4760" w:rsidTr="009F3AB7">
        <w:trPr>
          <w:trHeight w:val="265"/>
        </w:trPr>
        <w:tc>
          <w:tcPr>
            <w:tcW w:w="5603" w:type="dxa"/>
            <w:tcBorders>
              <w:top w:val="nil"/>
              <w:left w:val="nil"/>
              <w:bottom w:val="nil"/>
              <w:right w:val="nil"/>
            </w:tcBorders>
            <w:shd w:val="clear" w:color="auto" w:fill="auto"/>
            <w:noWrap/>
            <w:vAlign w:val="bottom"/>
            <w:hideMark/>
          </w:tcPr>
          <w:p w:rsidR="007A4760" w:rsidRPr="007A4760" w:rsidRDefault="007A4760" w:rsidP="007A4760">
            <w:pPr>
              <w:spacing w:after="0" w:line="240" w:lineRule="auto"/>
              <w:rPr>
                <w:rFonts w:ascii="Calibri" w:eastAsia="Times New Roman" w:hAnsi="Calibri" w:cs="Times New Roman"/>
                <w:color w:val="000000"/>
                <w:lang w:val="sr-Latn-RS" w:eastAsia="sr-Latn-RS"/>
              </w:rPr>
            </w:pPr>
          </w:p>
        </w:tc>
        <w:tc>
          <w:tcPr>
            <w:tcW w:w="1796" w:type="dxa"/>
            <w:tcBorders>
              <w:top w:val="nil"/>
              <w:left w:val="nil"/>
              <w:bottom w:val="nil"/>
              <w:right w:val="nil"/>
            </w:tcBorders>
            <w:shd w:val="clear" w:color="auto" w:fill="auto"/>
            <w:noWrap/>
            <w:vAlign w:val="bottom"/>
            <w:hideMark/>
          </w:tcPr>
          <w:p w:rsidR="007A4760" w:rsidRPr="007A4760" w:rsidRDefault="007A4760" w:rsidP="007A4760">
            <w:pPr>
              <w:spacing w:after="0" w:line="240" w:lineRule="auto"/>
              <w:rPr>
                <w:rFonts w:ascii="Calibri" w:eastAsia="Times New Roman" w:hAnsi="Calibri" w:cs="Times New Roman"/>
                <w:color w:val="000000"/>
                <w:lang w:val="sr-Latn-RS" w:eastAsia="sr-Latn-RS"/>
              </w:rPr>
            </w:pPr>
          </w:p>
        </w:tc>
        <w:tc>
          <w:tcPr>
            <w:tcW w:w="1796" w:type="dxa"/>
            <w:tcBorders>
              <w:top w:val="nil"/>
              <w:left w:val="nil"/>
              <w:bottom w:val="nil"/>
              <w:right w:val="nil"/>
            </w:tcBorders>
            <w:shd w:val="clear" w:color="auto" w:fill="auto"/>
            <w:noWrap/>
            <w:vAlign w:val="center"/>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noProof/>
                <w:color w:val="000000"/>
                <w:sz w:val="18"/>
                <w:szCs w:val="18"/>
                <w:lang w:val="sr-Cyrl-CS" w:eastAsia="sr-Latn-RS"/>
              </w:rPr>
              <w:t>у 000 РСД</w:t>
            </w:r>
          </w:p>
        </w:tc>
      </w:tr>
      <w:tr w:rsidR="007A4760" w:rsidRPr="007A4760" w:rsidTr="009F3AB7">
        <w:trPr>
          <w:trHeight w:val="278"/>
        </w:trPr>
        <w:tc>
          <w:tcPr>
            <w:tcW w:w="5603" w:type="dxa"/>
            <w:tcBorders>
              <w:top w:val="nil"/>
              <w:left w:val="nil"/>
              <w:bottom w:val="single" w:sz="8" w:space="0" w:color="1F497D"/>
              <w:right w:val="nil"/>
            </w:tcBorders>
            <w:shd w:val="clear" w:color="auto" w:fill="auto"/>
            <w:vAlign w:val="center"/>
            <w:hideMark/>
          </w:tcPr>
          <w:p w:rsidR="007A4760" w:rsidRPr="007A4760" w:rsidRDefault="007A4760" w:rsidP="007A4760">
            <w:pPr>
              <w:spacing w:after="0" w:line="240" w:lineRule="auto"/>
              <w:jc w:val="center"/>
              <w:rPr>
                <w:rFonts w:ascii="Verdana" w:eastAsia="Times New Roman" w:hAnsi="Verdana" w:cs="Times New Roman"/>
                <w:b/>
                <w:bCs/>
                <w:color w:val="000000"/>
                <w:sz w:val="20"/>
                <w:szCs w:val="20"/>
                <w:lang w:val="sr-Latn-RS" w:eastAsia="sr-Latn-RS"/>
              </w:rPr>
            </w:pPr>
            <w:r w:rsidRPr="007A4760">
              <w:rPr>
                <w:rFonts w:ascii="Verdana" w:eastAsia="Times New Roman" w:hAnsi="Verdana" w:cs="Times New Roman"/>
                <w:b/>
                <w:bCs/>
                <w:color w:val="000000"/>
                <w:sz w:val="20"/>
                <w:szCs w:val="20"/>
                <w:lang w:val="sr-Cyrl-CS" w:eastAsia="sr-Latn-RS"/>
              </w:rPr>
              <w:t> </w:t>
            </w:r>
          </w:p>
        </w:tc>
        <w:tc>
          <w:tcPr>
            <w:tcW w:w="1796" w:type="dxa"/>
            <w:tcBorders>
              <w:top w:val="nil"/>
              <w:left w:val="nil"/>
              <w:bottom w:val="single" w:sz="8" w:space="0" w:color="1F497D"/>
              <w:right w:val="nil"/>
            </w:tcBorders>
            <w:shd w:val="clear" w:color="auto" w:fill="auto"/>
            <w:noWrap/>
            <w:vAlign w:val="center"/>
            <w:hideMark/>
          </w:tcPr>
          <w:p w:rsidR="007A4760" w:rsidRPr="007A4760" w:rsidRDefault="007A4760" w:rsidP="007A4760">
            <w:pPr>
              <w:spacing w:after="0" w:line="240" w:lineRule="auto"/>
              <w:jc w:val="center"/>
              <w:rPr>
                <w:rFonts w:ascii="Verdana" w:eastAsia="Times New Roman" w:hAnsi="Verdana" w:cs="Times New Roman"/>
                <w:b/>
                <w:bCs/>
                <w:color w:val="000000"/>
                <w:sz w:val="20"/>
                <w:szCs w:val="20"/>
                <w:lang w:val="sr-Latn-RS" w:eastAsia="sr-Latn-RS"/>
              </w:rPr>
            </w:pPr>
            <w:r w:rsidRPr="007A4760">
              <w:rPr>
                <w:rFonts w:ascii="Verdana" w:eastAsia="Times New Roman" w:hAnsi="Verdana" w:cs="Times New Roman"/>
                <w:b/>
                <w:bCs/>
                <w:color w:val="000000"/>
                <w:sz w:val="20"/>
                <w:szCs w:val="20"/>
                <w:lang w:val="sr-Cyrl-CS" w:eastAsia="sr-Latn-RS"/>
              </w:rPr>
              <w:t>2015</w:t>
            </w:r>
          </w:p>
        </w:tc>
        <w:tc>
          <w:tcPr>
            <w:tcW w:w="1796" w:type="dxa"/>
            <w:tcBorders>
              <w:top w:val="nil"/>
              <w:left w:val="nil"/>
              <w:bottom w:val="single" w:sz="8" w:space="0" w:color="1F497D"/>
              <w:right w:val="nil"/>
            </w:tcBorders>
            <w:shd w:val="clear" w:color="auto" w:fill="auto"/>
            <w:vAlign w:val="center"/>
            <w:hideMark/>
          </w:tcPr>
          <w:p w:rsidR="007A4760" w:rsidRPr="007A4760" w:rsidRDefault="007A4760" w:rsidP="007A4760">
            <w:pPr>
              <w:spacing w:after="0" w:line="240" w:lineRule="auto"/>
              <w:jc w:val="center"/>
              <w:rPr>
                <w:rFonts w:ascii="Verdana" w:eastAsia="Times New Roman" w:hAnsi="Verdana" w:cs="Times New Roman"/>
                <w:b/>
                <w:bCs/>
                <w:color w:val="000000"/>
                <w:sz w:val="20"/>
                <w:szCs w:val="20"/>
                <w:lang w:val="sr-Latn-RS" w:eastAsia="sr-Latn-RS"/>
              </w:rPr>
            </w:pPr>
            <w:r w:rsidRPr="007A4760">
              <w:rPr>
                <w:rFonts w:ascii="Verdana" w:eastAsia="Times New Roman" w:hAnsi="Verdana" w:cs="Times New Roman"/>
                <w:b/>
                <w:bCs/>
                <w:color w:val="000000"/>
                <w:sz w:val="20"/>
                <w:szCs w:val="20"/>
                <w:lang w:val="sr-Cyrl-CS" w:eastAsia="sr-Latn-RS"/>
              </w:rPr>
              <w:t>2014</w:t>
            </w:r>
          </w:p>
        </w:tc>
      </w:tr>
      <w:tr w:rsidR="007A4760" w:rsidRPr="007A4760" w:rsidTr="009F3AB7">
        <w:trPr>
          <w:trHeight w:val="265"/>
        </w:trPr>
        <w:tc>
          <w:tcPr>
            <w:tcW w:w="5603" w:type="dxa"/>
            <w:tcBorders>
              <w:top w:val="nil"/>
              <w:left w:val="nil"/>
              <w:bottom w:val="nil"/>
              <w:right w:val="nil"/>
            </w:tcBorders>
            <w:shd w:val="clear" w:color="000000" w:fill="DCE6F1"/>
            <w:noWrap/>
            <w:vAlign w:val="bottom"/>
            <w:hideMark/>
          </w:tcPr>
          <w:p w:rsidR="007A4760" w:rsidRPr="007A4760" w:rsidRDefault="007A4760" w:rsidP="007A4760">
            <w:pPr>
              <w:spacing w:after="0" w:line="240" w:lineRule="auto"/>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Краткорочне финансијске обавезе</w:t>
            </w:r>
          </w:p>
        </w:tc>
        <w:tc>
          <w:tcPr>
            <w:tcW w:w="1796" w:type="dxa"/>
            <w:tcBorders>
              <w:top w:val="nil"/>
              <w:left w:val="nil"/>
              <w:bottom w:val="nil"/>
              <w:right w:val="nil"/>
            </w:tcBorders>
            <w:shd w:val="clear" w:color="000000" w:fill="DCE6F1"/>
            <w:noWrap/>
            <w:vAlign w:val="bottom"/>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1.630</w:t>
            </w:r>
          </w:p>
        </w:tc>
        <w:tc>
          <w:tcPr>
            <w:tcW w:w="1796" w:type="dxa"/>
            <w:tcBorders>
              <w:top w:val="nil"/>
              <w:left w:val="nil"/>
              <w:bottom w:val="nil"/>
              <w:right w:val="nil"/>
            </w:tcBorders>
            <w:shd w:val="clear" w:color="000000" w:fill="DCE6F1"/>
            <w:noWrap/>
            <w:vAlign w:val="bottom"/>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1.457</w:t>
            </w:r>
          </w:p>
        </w:tc>
      </w:tr>
      <w:tr w:rsidR="007A4760" w:rsidRPr="007A4760" w:rsidTr="009F3AB7">
        <w:trPr>
          <w:trHeight w:val="265"/>
        </w:trPr>
        <w:tc>
          <w:tcPr>
            <w:tcW w:w="5603" w:type="dxa"/>
            <w:tcBorders>
              <w:top w:val="nil"/>
              <w:left w:val="nil"/>
              <w:bottom w:val="nil"/>
              <w:right w:val="nil"/>
            </w:tcBorders>
            <w:shd w:val="clear" w:color="auto" w:fill="auto"/>
            <w:noWrap/>
            <w:vAlign w:val="bottom"/>
            <w:hideMark/>
          </w:tcPr>
          <w:p w:rsidR="007A4760" w:rsidRPr="007A4760" w:rsidRDefault="007A4760" w:rsidP="007A4760">
            <w:pPr>
              <w:spacing w:after="0" w:line="240" w:lineRule="auto"/>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Обавезе по основу штета и уговорених износа</w:t>
            </w:r>
          </w:p>
        </w:tc>
        <w:tc>
          <w:tcPr>
            <w:tcW w:w="1796" w:type="dxa"/>
            <w:tcBorders>
              <w:top w:val="nil"/>
              <w:left w:val="nil"/>
              <w:bottom w:val="nil"/>
              <w:right w:val="nil"/>
            </w:tcBorders>
            <w:shd w:val="clear" w:color="auto" w:fill="auto"/>
            <w:noWrap/>
            <w:vAlign w:val="bottom"/>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313.546</w:t>
            </w:r>
          </w:p>
        </w:tc>
        <w:tc>
          <w:tcPr>
            <w:tcW w:w="1796" w:type="dxa"/>
            <w:tcBorders>
              <w:top w:val="nil"/>
              <w:left w:val="nil"/>
              <w:bottom w:val="nil"/>
              <w:right w:val="nil"/>
            </w:tcBorders>
            <w:shd w:val="clear" w:color="auto" w:fill="auto"/>
            <w:noWrap/>
            <w:vAlign w:val="bottom"/>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407.230</w:t>
            </w:r>
          </w:p>
        </w:tc>
      </w:tr>
      <w:tr w:rsidR="007A4760" w:rsidRPr="007A4760" w:rsidTr="009F3AB7">
        <w:trPr>
          <w:trHeight w:val="278"/>
        </w:trPr>
        <w:tc>
          <w:tcPr>
            <w:tcW w:w="5603" w:type="dxa"/>
            <w:tcBorders>
              <w:top w:val="nil"/>
              <w:left w:val="nil"/>
              <w:bottom w:val="nil"/>
              <w:right w:val="nil"/>
            </w:tcBorders>
            <w:shd w:val="clear" w:color="000000" w:fill="DCE6F1"/>
            <w:noWrap/>
            <w:vAlign w:val="bottom"/>
            <w:hideMark/>
          </w:tcPr>
          <w:p w:rsidR="007A4760" w:rsidRPr="007A4760" w:rsidRDefault="007A4760" w:rsidP="007A4760">
            <w:pPr>
              <w:spacing w:after="0" w:line="240" w:lineRule="auto"/>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Обавезе за премију, зараде и друге обавезе</w:t>
            </w:r>
          </w:p>
        </w:tc>
        <w:tc>
          <w:tcPr>
            <w:tcW w:w="1796" w:type="dxa"/>
            <w:tcBorders>
              <w:top w:val="nil"/>
              <w:left w:val="nil"/>
              <w:bottom w:val="nil"/>
              <w:right w:val="nil"/>
            </w:tcBorders>
            <w:shd w:val="clear" w:color="000000" w:fill="DCE6F1"/>
            <w:noWrap/>
            <w:vAlign w:val="bottom"/>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545.611</w:t>
            </w:r>
          </w:p>
        </w:tc>
        <w:tc>
          <w:tcPr>
            <w:tcW w:w="1796" w:type="dxa"/>
            <w:tcBorders>
              <w:top w:val="nil"/>
              <w:left w:val="nil"/>
              <w:bottom w:val="nil"/>
              <w:right w:val="nil"/>
            </w:tcBorders>
            <w:shd w:val="clear" w:color="000000" w:fill="DCE6F1"/>
            <w:noWrap/>
            <w:vAlign w:val="bottom"/>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396.243</w:t>
            </w:r>
          </w:p>
        </w:tc>
      </w:tr>
      <w:tr w:rsidR="007A4760" w:rsidRPr="007A4760" w:rsidTr="009F3AB7">
        <w:trPr>
          <w:trHeight w:val="292"/>
        </w:trPr>
        <w:tc>
          <w:tcPr>
            <w:tcW w:w="5603" w:type="dxa"/>
            <w:tcBorders>
              <w:top w:val="nil"/>
              <w:left w:val="nil"/>
              <w:bottom w:val="single" w:sz="8" w:space="0" w:color="1F497D"/>
              <w:right w:val="nil"/>
            </w:tcBorders>
            <w:shd w:val="clear" w:color="auto" w:fill="auto"/>
            <w:noWrap/>
            <w:vAlign w:val="bottom"/>
            <w:hideMark/>
          </w:tcPr>
          <w:p w:rsidR="007A4760" w:rsidRPr="007A4760" w:rsidRDefault="007A4760" w:rsidP="007A4760">
            <w:pPr>
              <w:spacing w:after="0" w:line="240" w:lineRule="auto"/>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Оабезе за порез из резулатата</w:t>
            </w:r>
          </w:p>
        </w:tc>
        <w:tc>
          <w:tcPr>
            <w:tcW w:w="1796" w:type="dxa"/>
            <w:tcBorders>
              <w:top w:val="nil"/>
              <w:left w:val="nil"/>
              <w:bottom w:val="single" w:sz="8" w:space="0" w:color="1F497D"/>
              <w:right w:val="nil"/>
            </w:tcBorders>
            <w:shd w:val="clear" w:color="auto" w:fill="auto"/>
            <w:noWrap/>
            <w:vAlign w:val="bottom"/>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1.950</w:t>
            </w:r>
          </w:p>
        </w:tc>
        <w:tc>
          <w:tcPr>
            <w:tcW w:w="1796" w:type="dxa"/>
            <w:tcBorders>
              <w:top w:val="nil"/>
              <w:left w:val="nil"/>
              <w:bottom w:val="single" w:sz="8" w:space="0" w:color="1F497D"/>
              <w:right w:val="nil"/>
            </w:tcBorders>
            <w:shd w:val="clear" w:color="auto" w:fill="auto"/>
            <w:noWrap/>
            <w:vAlign w:val="bottom"/>
            <w:hideMark/>
          </w:tcPr>
          <w:p w:rsidR="007A4760" w:rsidRPr="007A4760" w:rsidRDefault="007A4760" w:rsidP="007A4760">
            <w:pPr>
              <w:spacing w:after="0" w:line="240" w:lineRule="auto"/>
              <w:jc w:val="right"/>
              <w:rPr>
                <w:rFonts w:ascii="Verdana" w:eastAsia="Times New Roman" w:hAnsi="Verdana" w:cs="Times New Roman"/>
                <w:color w:val="000000"/>
                <w:sz w:val="18"/>
                <w:szCs w:val="18"/>
                <w:lang w:val="sr-Latn-RS" w:eastAsia="sr-Latn-RS"/>
              </w:rPr>
            </w:pPr>
            <w:r w:rsidRPr="007A4760">
              <w:rPr>
                <w:rFonts w:ascii="Verdana" w:eastAsia="Times New Roman" w:hAnsi="Verdana" w:cs="Times New Roman"/>
                <w:color w:val="000000"/>
                <w:sz w:val="18"/>
                <w:szCs w:val="18"/>
                <w:lang w:val="sr-Latn-RS" w:eastAsia="sr-Latn-RS"/>
              </w:rPr>
              <w:t>0</w:t>
            </w:r>
          </w:p>
        </w:tc>
      </w:tr>
      <w:tr w:rsidR="007A4760" w:rsidRPr="007A4760" w:rsidTr="009F3AB7">
        <w:trPr>
          <w:trHeight w:val="278"/>
        </w:trPr>
        <w:tc>
          <w:tcPr>
            <w:tcW w:w="5603" w:type="dxa"/>
            <w:tcBorders>
              <w:top w:val="nil"/>
              <w:left w:val="nil"/>
              <w:bottom w:val="single" w:sz="8" w:space="0" w:color="1F497D"/>
              <w:right w:val="nil"/>
            </w:tcBorders>
            <w:shd w:val="clear" w:color="auto" w:fill="auto"/>
            <w:noWrap/>
            <w:vAlign w:val="center"/>
            <w:hideMark/>
          </w:tcPr>
          <w:p w:rsidR="007A4760" w:rsidRPr="007A4760" w:rsidRDefault="007A4760" w:rsidP="007A4760">
            <w:pPr>
              <w:spacing w:after="0" w:line="240" w:lineRule="auto"/>
              <w:rPr>
                <w:rFonts w:ascii="Verdana" w:eastAsia="Times New Roman" w:hAnsi="Verdana" w:cs="Times New Roman"/>
                <w:b/>
                <w:bCs/>
                <w:color w:val="000000"/>
                <w:sz w:val="20"/>
                <w:szCs w:val="20"/>
                <w:lang w:val="sr-Latn-RS" w:eastAsia="sr-Latn-RS"/>
              </w:rPr>
            </w:pPr>
            <w:r w:rsidRPr="007A4760">
              <w:rPr>
                <w:rFonts w:ascii="Verdana" w:eastAsia="Times New Roman" w:hAnsi="Verdana" w:cs="Times New Roman"/>
                <w:b/>
                <w:bCs/>
                <w:color w:val="000000"/>
                <w:sz w:val="20"/>
                <w:szCs w:val="20"/>
                <w:lang w:val="sr-Cyrl-CS" w:eastAsia="sr-Latn-RS"/>
              </w:rPr>
              <w:t>УКУПНО</w:t>
            </w:r>
          </w:p>
        </w:tc>
        <w:tc>
          <w:tcPr>
            <w:tcW w:w="1796" w:type="dxa"/>
            <w:tcBorders>
              <w:top w:val="nil"/>
              <w:left w:val="nil"/>
              <w:bottom w:val="single" w:sz="8" w:space="0" w:color="1F497D"/>
              <w:right w:val="nil"/>
            </w:tcBorders>
            <w:shd w:val="clear" w:color="auto" w:fill="auto"/>
            <w:noWrap/>
            <w:vAlign w:val="center"/>
            <w:hideMark/>
          </w:tcPr>
          <w:p w:rsidR="007A4760" w:rsidRPr="007A4760" w:rsidRDefault="007A4760" w:rsidP="007A4760">
            <w:pPr>
              <w:spacing w:after="0" w:line="240" w:lineRule="auto"/>
              <w:jc w:val="right"/>
              <w:rPr>
                <w:rFonts w:ascii="Verdana" w:eastAsia="Times New Roman" w:hAnsi="Verdana" w:cs="Times New Roman"/>
                <w:b/>
                <w:bCs/>
                <w:color w:val="000000"/>
                <w:sz w:val="18"/>
                <w:szCs w:val="18"/>
                <w:lang w:val="sr-Latn-RS" w:eastAsia="sr-Latn-RS"/>
              </w:rPr>
            </w:pPr>
            <w:r w:rsidRPr="007A4760">
              <w:rPr>
                <w:rFonts w:ascii="Verdana" w:eastAsia="Times New Roman" w:hAnsi="Verdana" w:cs="Times New Roman"/>
                <w:b/>
                <w:bCs/>
                <w:color w:val="000000"/>
                <w:sz w:val="18"/>
                <w:szCs w:val="18"/>
                <w:lang w:val="sr-Latn-RS" w:eastAsia="sr-Latn-RS"/>
              </w:rPr>
              <w:t>862.737</w:t>
            </w:r>
          </w:p>
        </w:tc>
        <w:tc>
          <w:tcPr>
            <w:tcW w:w="1796" w:type="dxa"/>
            <w:tcBorders>
              <w:top w:val="nil"/>
              <w:left w:val="nil"/>
              <w:bottom w:val="single" w:sz="8" w:space="0" w:color="1F497D"/>
              <w:right w:val="nil"/>
            </w:tcBorders>
            <w:shd w:val="clear" w:color="auto" w:fill="auto"/>
            <w:noWrap/>
            <w:vAlign w:val="center"/>
            <w:hideMark/>
          </w:tcPr>
          <w:p w:rsidR="007A4760" w:rsidRPr="007A4760" w:rsidRDefault="007A4760" w:rsidP="007A4760">
            <w:pPr>
              <w:spacing w:after="0" w:line="240" w:lineRule="auto"/>
              <w:jc w:val="right"/>
              <w:rPr>
                <w:rFonts w:ascii="Verdana" w:eastAsia="Times New Roman" w:hAnsi="Verdana" w:cs="Times New Roman"/>
                <w:b/>
                <w:bCs/>
                <w:color w:val="000000"/>
                <w:sz w:val="18"/>
                <w:szCs w:val="18"/>
                <w:lang w:val="sr-Latn-RS" w:eastAsia="sr-Latn-RS"/>
              </w:rPr>
            </w:pPr>
            <w:r w:rsidRPr="007A4760">
              <w:rPr>
                <w:rFonts w:ascii="Verdana" w:eastAsia="Times New Roman" w:hAnsi="Verdana" w:cs="Times New Roman"/>
                <w:b/>
                <w:bCs/>
                <w:color w:val="000000"/>
                <w:sz w:val="18"/>
                <w:szCs w:val="18"/>
                <w:lang w:val="sr-Latn-RS" w:eastAsia="sr-Latn-RS"/>
              </w:rPr>
              <w:t>804.930</w:t>
            </w:r>
          </w:p>
        </w:tc>
      </w:tr>
    </w:tbl>
    <w:p w:rsidR="007A4760" w:rsidRDefault="007A4760" w:rsidP="007A4760">
      <w:pPr>
        <w:spacing w:before="240" w:after="120"/>
        <w:jc w:val="both"/>
        <w:rPr>
          <w:noProof/>
          <w:sz w:val="20"/>
          <w:szCs w:val="20"/>
          <w:lang w:val="sr-Cyrl-CS"/>
        </w:rPr>
      </w:pPr>
      <w:r>
        <w:rPr>
          <w:noProof/>
          <w:lang w:val="sr-Latn-RS" w:eastAsia="sr-Latn-RS"/>
        </w:rPr>
        <w:drawing>
          <wp:inline distT="0" distB="0" distL="0" distR="0" wp14:anchorId="08114AEE" wp14:editId="1A74373F">
            <wp:extent cx="6074797" cy="2003729"/>
            <wp:effectExtent l="0" t="0" r="21590" b="15875"/>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4F2EE0" w:rsidRPr="007A4760" w:rsidRDefault="0075313E" w:rsidP="007A4760">
      <w:pPr>
        <w:spacing w:before="120" w:after="120"/>
        <w:ind w:right="-428"/>
        <w:rPr>
          <w:noProof/>
          <w:color w:val="FF0000"/>
          <w:sz w:val="20"/>
          <w:szCs w:val="20"/>
          <w:lang w:val="sr-Cyrl-CS"/>
        </w:rPr>
      </w:pPr>
      <w:r w:rsidRPr="00BF3CDE">
        <w:rPr>
          <w:noProof/>
          <w:lang w:val="sr-Latn-RS" w:eastAsia="sr-Latn-RS"/>
        </w:rPr>
        <w:t xml:space="preserve"> </w:t>
      </w:r>
      <w:r w:rsidR="004F2EE0" w:rsidRPr="00BF3CDE">
        <w:rPr>
          <w:b/>
          <w:i/>
          <w:noProof/>
          <w:color w:val="365F91" w:themeColor="accent1" w:themeShade="BF"/>
          <w:sz w:val="20"/>
          <w:lang w:val="sr-Cyrl-CS"/>
        </w:rPr>
        <w:t xml:space="preserve">Преглед дуговања по највећим по највећим повериоцима </w:t>
      </w:r>
    </w:p>
    <w:p w:rsidR="004E6E16" w:rsidRPr="00BF3CDE" w:rsidRDefault="004E6E16" w:rsidP="004E6E16">
      <w:pPr>
        <w:spacing w:before="120" w:after="0"/>
        <w:ind w:firstLine="284"/>
        <w:jc w:val="both"/>
        <w:rPr>
          <w:rStyle w:val="Hyperlink"/>
          <w:noProof/>
          <w:color w:val="auto"/>
          <w:sz w:val="20"/>
          <w:lang w:val="sr-Cyrl-CS"/>
        </w:rPr>
      </w:pPr>
      <w:r w:rsidRPr="00953663">
        <w:rPr>
          <w:rStyle w:val="Hyperlink"/>
          <w:noProof/>
          <w:color w:val="auto"/>
          <w:sz w:val="20"/>
          <w:lang w:val="sr-Cyrl-CS"/>
        </w:rPr>
        <w:t>Највеће укупно дуговање у земљи на дан 31.12.201</w:t>
      </w:r>
      <w:r w:rsidR="005A7856" w:rsidRPr="00953663">
        <w:rPr>
          <w:rStyle w:val="Hyperlink"/>
          <w:noProof/>
          <w:color w:val="auto"/>
          <w:sz w:val="20"/>
          <w:lang w:val="sr-Cyrl-CS"/>
        </w:rPr>
        <w:t>5</w:t>
      </w:r>
      <w:r w:rsidRPr="00953663">
        <w:rPr>
          <w:rStyle w:val="Hyperlink"/>
          <w:noProof/>
          <w:color w:val="auto"/>
          <w:sz w:val="20"/>
          <w:lang w:val="sr-Cyrl-CS"/>
        </w:rPr>
        <w:t xml:space="preserve">. године Друштво има према Компанији Дунав осигурање а.д.о Београд у износу од </w:t>
      </w:r>
      <w:r w:rsidR="005A7856" w:rsidRPr="00953663">
        <w:rPr>
          <w:rStyle w:val="Hyperlink"/>
          <w:noProof/>
          <w:color w:val="auto"/>
          <w:sz w:val="20"/>
          <w:lang w:val="sr-Cyrl-CS"/>
        </w:rPr>
        <w:t>210.368</w:t>
      </w:r>
      <w:r w:rsidRPr="00953663">
        <w:rPr>
          <w:rStyle w:val="Hyperlink"/>
          <w:noProof/>
          <w:color w:val="auto"/>
          <w:sz w:val="20"/>
          <w:lang w:val="sr-Cyrl-CS"/>
        </w:rPr>
        <w:t xml:space="preserve"> хиљада динара, а највећа укупна обавеза према  иностранству износи </w:t>
      </w:r>
      <w:r w:rsidR="005A7856" w:rsidRPr="00953663">
        <w:rPr>
          <w:rStyle w:val="Hyperlink"/>
          <w:noProof/>
          <w:color w:val="auto"/>
          <w:sz w:val="20"/>
          <w:lang w:val="sr-Cyrl-CS"/>
        </w:rPr>
        <w:t>144.027</w:t>
      </w:r>
      <w:r w:rsidRPr="00953663">
        <w:rPr>
          <w:rStyle w:val="Hyperlink"/>
          <w:noProof/>
          <w:color w:val="auto"/>
          <w:sz w:val="20"/>
          <w:lang w:val="sr-Cyrl-CS"/>
        </w:rPr>
        <w:t xml:space="preserve"> хиљада динара </w:t>
      </w:r>
      <w:r w:rsidR="005A7856" w:rsidRPr="00953663">
        <w:rPr>
          <w:rStyle w:val="Hyperlink"/>
          <w:noProof/>
          <w:color w:val="auto"/>
          <w:sz w:val="20"/>
          <w:lang w:val="sr-Cyrl-CS"/>
        </w:rPr>
        <w:t>према брокеру Willis Limited</w:t>
      </w:r>
    </w:p>
    <w:p w:rsidR="004F2EE0" w:rsidRPr="00BF3CDE" w:rsidRDefault="004F2EE0" w:rsidP="004F2EE0">
      <w:pPr>
        <w:spacing w:after="0"/>
        <w:jc w:val="center"/>
        <w:rPr>
          <w:b/>
          <w:i/>
          <w:noProof/>
          <w:color w:val="4F81BD" w:themeColor="accent1"/>
          <w:sz w:val="20"/>
          <w:lang w:val="sr-Cyrl-CS"/>
        </w:rPr>
      </w:pPr>
      <w:r w:rsidRPr="00BF3CDE">
        <w:rPr>
          <w:b/>
          <w:i/>
          <w:noProof/>
          <w:color w:val="4F81BD" w:themeColor="accent1"/>
          <w:sz w:val="20"/>
          <w:lang w:val="sr-Cyrl-CS"/>
        </w:rPr>
        <w:t>5 највећих поверилаца у земљи</w:t>
      </w:r>
    </w:p>
    <w:p w:rsidR="004F2EE0" w:rsidRDefault="004F2EE0" w:rsidP="004F2EE0">
      <w:pPr>
        <w:pStyle w:val="NoSpacing"/>
        <w:jc w:val="right"/>
        <w:rPr>
          <w:rFonts w:ascii="Tahoma" w:hAnsi="Tahoma" w:cs="Tahoma"/>
          <w:noProof/>
          <w:color w:val="000000" w:themeColor="text1"/>
          <w:sz w:val="20"/>
          <w:szCs w:val="18"/>
          <w:lang w:val="sr-Cyrl-CS"/>
        </w:rPr>
      </w:pPr>
      <w:r w:rsidRPr="00AA4A36">
        <w:rPr>
          <w:rFonts w:ascii="Tahoma" w:hAnsi="Tahoma" w:cs="Tahoma"/>
          <w:noProof/>
          <w:color w:val="000000" w:themeColor="text1"/>
          <w:sz w:val="20"/>
          <w:szCs w:val="18"/>
          <w:lang w:val="sr-Cyrl-CS"/>
        </w:rPr>
        <w:t>У 000 РСД</w:t>
      </w:r>
    </w:p>
    <w:tbl>
      <w:tblPr>
        <w:tblW w:w="9356" w:type="dxa"/>
        <w:tblInd w:w="93" w:type="dxa"/>
        <w:tblLook w:val="04A0" w:firstRow="1" w:lastRow="0" w:firstColumn="1" w:lastColumn="0" w:noHBand="0" w:noVBand="1"/>
      </w:tblPr>
      <w:tblGrid>
        <w:gridCol w:w="742"/>
        <w:gridCol w:w="2815"/>
        <w:gridCol w:w="1933"/>
        <w:gridCol w:w="1933"/>
        <w:gridCol w:w="1933"/>
      </w:tblGrid>
      <w:tr w:rsidR="007E3D96" w:rsidRPr="007E3D96" w:rsidTr="007E3D96">
        <w:trPr>
          <w:trHeight w:val="265"/>
        </w:trPr>
        <w:tc>
          <w:tcPr>
            <w:tcW w:w="742" w:type="dxa"/>
            <w:tcBorders>
              <w:top w:val="nil"/>
              <w:left w:val="nil"/>
              <w:bottom w:val="single" w:sz="4"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РБ</w:t>
            </w:r>
          </w:p>
        </w:tc>
        <w:tc>
          <w:tcPr>
            <w:tcW w:w="2815" w:type="dxa"/>
            <w:tcBorders>
              <w:top w:val="nil"/>
              <w:left w:val="nil"/>
              <w:bottom w:val="single" w:sz="4" w:space="0" w:color="auto"/>
              <w:right w:val="nil"/>
            </w:tcBorders>
            <w:shd w:val="clear" w:color="auto" w:fill="auto"/>
            <w:noWrap/>
            <w:vAlign w:val="bottom"/>
            <w:hideMark/>
          </w:tcPr>
          <w:p w:rsidR="007E3D96" w:rsidRPr="00E35037" w:rsidRDefault="007E3D96" w:rsidP="00E35037">
            <w:pPr>
              <w:spacing w:after="0" w:line="240" w:lineRule="auto"/>
              <w:jc w:val="center"/>
              <w:rPr>
                <w:rFonts w:ascii="Calibri" w:eastAsia="Times New Roman" w:hAnsi="Calibri" w:cs="Times New Roman"/>
                <w:color w:val="000000"/>
                <w:sz w:val="18"/>
                <w:szCs w:val="18"/>
                <w:lang w:val="sr-Cyrl-RS" w:eastAsia="sr-Latn-RS"/>
              </w:rPr>
            </w:pPr>
            <w:r w:rsidRPr="007E3D96">
              <w:rPr>
                <w:rFonts w:ascii="Calibri" w:eastAsia="Times New Roman" w:hAnsi="Calibri" w:cs="Times New Roman"/>
                <w:color w:val="000000"/>
                <w:sz w:val="18"/>
                <w:szCs w:val="18"/>
                <w:lang w:val="sr-Latn-RS" w:eastAsia="sr-Latn-RS"/>
              </w:rPr>
              <w:t xml:space="preserve">Назив </w:t>
            </w:r>
            <w:r w:rsidR="00E35037">
              <w:rPr>
                <w:rFonts w:ascii="Calibri" w:eastAsia="Times New Roman" w:hAnsi="Calibri" w:cs="Times New Roman"/>
                <w:color w:val="000000"/>
                <w:sz w:val="18"/>
                <w:szCs w:val="18"/>
                <w:lang w:val="sr-Cyrl-RS" w:eastAsia="sr-Latn-RS"/>
              </w:rPr>
              <w:t>повериоца</w:t>
            </w:r>
          </w:p>
        </w:tc>
        <w:tc>
          <w:tcPr>
            <w:tcW w:w="1933" w:type="dxa"/>
            <w:tcBorders>
              <w:top w:val="nil"/>
              <w:left w:val="nil"/>
              <w:bottom w:val="single" w:sz="4"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Укупна потраживања</w:t>
            </w:r>
          </w:p>
        </w:tc>
        <w:tc>
          <w:tcPr>
            <w:tcW w:w="1933" w:type="dxa"/>
            <w:tcBorders>
              <w:top w:val="nil"/>
              <w:left w:val="nil"/>
              <w:bottom w:val="single" w:sz="4"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Доспела потраживања</w:t>
            </w:r>
          </w:p>
        </w:tc>
        <w:tc>
          <w:tcPr>
            <w:tcW w:w="1933" w:type="dxa"/>
            <w:tcBorders>
              <w:top w:val="nil"/>
              <w:left w:val="nil"/>
              <w:bottom w:val="single" w:sz="4"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Недоспела потраљивањ</w:t>
            </w:r>
          </w:p>
        </w:tc>
      </w:tr>
      <w:tr w:rsidR="007E3D96" w:rsidRPr="007E3D96" w:rsidTr="007E3D96">
        <w:trPr>
          <w:trHeight w:val="265"/>
        </w:trPr>
        <w:tc>
          <w:tcPr>
            <w:tcW w:w="742"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w:t>
            </w:r>
          </w:p>
        </w:tc>
        <w:tc>
          <w:tcPr>
            <w:tcW w:w="2815"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Компанија Дунав Осигурање адо</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210.684</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316</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210.368</w:t>
            </w:r>
          </w:p>
        </w:tc>
      </w:tr>
      <w:tr w:rsidR="007E3D96" w:rsidRPr="007E3D96" w:rsidTr="007E3D96">
        <w:trPr>
          <w:trHeight w:val="265"/>
        </w:trPr>
        <w:tc>
          <w:tcPr>
            <w:tcW w:w="742"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w:t>
            </w:r>
          </w:p>
        </w:tc>
        <w:tc>
          <w:tcPr>
            <w:tcW w:w="281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Миленијум Осигурање адо, Београд</w:t>
            </w: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30.207</w:t>
            </w: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30.207</w:t>
            </w:r>
          </w:p>
        </w:tc>
      </w:tr>
      <w:tr w:rsidR="007E3D96" w:rsidRPr="007E3D96" w:rsidTr="007E3D96">
        <w:trPr>
          <w:trHeight w:val="265"/>
        </w:trPr>
        <w:tc>
          <w:tcPr>
            <w:tcW w:w="742"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w:t>
            </w:r>
          </w:p>
        </w:tc>
        <w:tc>
          <w:tcPr>
            <w:tcW w:w="2815"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Меркур осигурање адо, Београд</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27.252</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 </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27.252</w:t>
            </w:r>
          </w:p>
        </w:tc>
      </w:tr>
      <w:tr w:rsidR="007E3D96" w:rsidRPr="007E3D96" w:rsidTr="007E3D96">
        <w:trPr>
          <w:trHeight w:val="265"/>
        </w:trPr>
        <w:tc>
          <w:tcPr>
            <w:tcW w:w="742"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4</w:t>
            </w:r>
          </w:p>
        </w:tc>
        <w:tc>
          <w:tcPr>
            <w:tcW w:w="281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Grawe осигурање адо, Београд</w:t>
            </w: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24.743</w:t>
            </w: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24.743</w:t>
            </w:r>
          </w:p>
        </w:tc>
      </w:tr>
      <w:tr w:rsidR="007E3D96" w:rsidRPr="007E3D96" w:rsidTr="007E3D96">
        <w:trPr>
          <w:trHeight w:val="265"/>
        </w:trPr>
        <w:tc>
          <w:tcPr>
            <w:tcW w:w="742"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5</w:t>
            </w:r>
          </w:p>
        </w:tc>
        <w:tc>
          <w:tcPr>
            <w:tcW w:w="2815"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Сава осигурање адо, Београд</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19.068</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 </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19.068</w:t>
            </w:r>
          </w:p>
        </w:tc>
      </w:tr>
      <w:tr w:rsidR="007E3D96" w:rsidRPr="007E3D96" w:rsidTr="007E3D96">
        <w:trPr>
          <w:trHeight w:val="278"/>
        </w:trPr>
        <w:tc>
          <w:tcPr>
            <w:tcW w:w="742"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6</w:t>
            </w:r>
          </w:p>
        </w:tc>
        <w:tc>
          <w:tcPr>
            <w:tcW w:w="2815"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Остало</w:t>
            </w:r>
          </w:p>
        </w:tc>
        <w:tc>
          <w:tcPr>
            <w:tcW w:w="1933"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21.417</w:t>
            </w:r>
          </w:p>
        </w:tc>
        <w:tc>
          <w:tcPr>
            <w:tcW w:w="1933"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4.281</w:t>
            </w:r>
          </w:p>
        </w:tc>
        <w:tc>
          <w:tcPr>
            <w:tcW w:w="1933"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17.136</w:t>
            </w:r>
          </w:p>
        </w:tc>
      </w:tr>
      <w:tr w:rsidR="007E3D96" w:rsidRPr="007E3D96" w:rsidTr="007E3D96">
        <w:trPr>
          <w:trHeight w:val="278"/>
        </w:trPr>
        <w:tc>
          <w:tcPr>
            <w:tcW w:w="742"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center"/>
              <w:rPr>
                <w:rFonts w:ascii="Calibri" w:eastAsia="Times New Roman" w:hAnsi="Calibri" w:cs="Times New Roman"/>
                <w:b/>
                <w:bCs/>
                <w:color w:val="000000"/>
                <w:sz w:val="18"/>
                <w:szCs w:val="18"/>
                <w:lang w:val="sr-Latn-RS" w:eastAsia="sr-Latn-RS"/>
              </w:rPr>
            </w:pPr>
          </w:p>
        </w:tc>
        <w:tc>
          <w:tcPr>
            <w:tcW w:w="2815"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Укупно (ред.бр.од 1 до 6)</w:t>
            </w:r>
          </w:p>
        </w:tc>
        <w:tc>
          <w:tcPr>
            <w:tcW w:w="1933"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333.371</w:t>
            </w:r>
          </w:p>
        </w:tc>
        <w:tc>
          <w:tcPr>
            <w:tcW w:w="1933"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4.597</w:t>
            </w:r>
          </w:p>
        </w:tc>
        <w:tc>
          <w:tcPr>
            <w:tcW w:w="1933"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328.774</w:t>
            </w:r>
          </w:p>
        </w:tc>
      </w:tr>
      <w:tr w:rsidR="007E3D96" w:rsidRPr="007E3D96" w:rsidTr="007E3D96">
        <w:trPr>
          <w:trHeight w:val="265"/>
        </w:trPr>
        <w:tc>
          <w:tcPr>
            <w:tcW w:w="742"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p>
        </w:tc>
        <w:tc>
          <w:tcPr>
            <w:tcW w:w="281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r>
      <w:tr w:rsidR="007E3D96" w:rsidRPr="007E3D96" w:rsidTr="007E3D96">
        <w:trPr>
          <w:trHeight w:val="265"/>
        </w:trPr>
        <w:tc>
          <w:tcPr>
            <w:tcW w:w="742"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Cyrl-RS" w:eastAsia="sr-Latn-RS"/>
              </w:rPr>
            </w:pPr>
            <w:r>
              <w:rPr>
                <w:rFonts w:ascii="Calibri" w:eastAsia="Times New Roman" w:hAnsi="Calibri" w:cs="Times New Roman"/>
                <w:color w:val="000000"/>
                <w:sz w:val="18"/>
                <w:szCs w:val="18"/>
                <w:lang w:val="sr-Cyrl-RS" w:eastAsia="sr-Latn-RS"/>
              </w:rPr>
              <w:t>1</w:t>
            </w:r>
          </w:p>
        </w:tc>
        <w:tc>
          <w:tcPr>
            <w:tcW w:w="2815"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Cyrl-RS" w:eastAsia="sr-Latn-RS"/>
              </w:rPr>
            </w:pPr>
            <w:r>
              <w:rPr>
                <w:rFonts w:ascii="Calibri" w:eastAsia="Times New Roman" w:hAnsi="Calibri" w:cs="Times New Roman"/>
                <w:color w:val="000000"/>
                <w:sz w:val="18"/>
                <w:szCs w:val="18"/>
                <w:lang w:val="sr-Cyrl-RS" w:eastAsia="sr-Latn-RS"/>
              </w:rPr>
              <w:t>премија</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2.236</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 </w:t>
            </w:r>
          </w:p>
        </w:tc>
        <w:tc>
          <w:tcPr>
            <w:tcW w:w="1933" w:type="dxa"/>
            <w:tcBorders>
              <w:top w:val="nil"/>
              <w:left w:val="nil"/>
              <w:bottom w:val="nil"/>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2.236</w:t>
            </w:r>
          </w:p>
        </w:tc>
      </w:tr>
      <w:tr w:rsidR="007E3D96" w:rsidRPr="007E3D96" w:rsidTr="007E3D96">
        <w:trPr>
          <w:trHeight w:val="265"/>
        </w:trPr>
        <w:tc>
          <w:tcPr>
            <w:tcW w:w="742"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Cyrl-RS" w:eastAsia="sr-Latn-RS"/>
              </w:rPr>
            </w:pPr>
            <w:r>
              <w:rPr>
                <w:rFonts w:ascii="Calibri" w:eastAsia="Times New Roman" w:hAnsi="Calibri" w:cs="Times New Roman"/>
                <w:color w:val="000000"/>
                <w:sz w:val="18"/>
                <w:szCs w:val="18"/>
                <w:lang w:val="sr-Cyrl-RS" w:eastAsia="sr-Latn-RS"/>
              </w:rPr>
              <w:t>2</w:t>
            </w:r>
          </w:p>
        </w:tc>
        <w:tc>
          <w:tcPr>
            <w:tcW w:w="281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Cyrl-RS" w:eastAsia="sr-Latn-RS"/>
              </w:rPr>
            </w:pPr>
            <w:r>
              <w:rPr>
                <w:rFonts w:ascii="Calibri" w:eastAsia="Times New Roman" w:hAnsi="Calibri" w:cs="Times New Roman"/>
                <w:color w:val="000000"/>
                <w:sz w:val="18"/>
                <w:szCs w:val="18"/>
                <w:lang w:val="sr-Cyrl-RS" w:eastAsia="sr-Latn-RS"/>
              </w:rPr>
              <w:t>провизија</w:t>
            </w: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51.169</w:t>
            </w: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316</w:t>
            </w:r>
          </w:p>
        </w:tc>
        <w:tc>
          <w:tcPr>
            <w:tcW w:w="193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50.853</w:t>
            </w:r>
          </w:p>
        </w:tc>
      </w:tr>
      <w:tr w:rsidR="007E3D96" w:rsidRPr="007E3D96" w:rsidTr="007E3D96">
        <w:trPr>
          <w:trHeight w:val="278"/>
        </w:trPr>
        <w:tc>
          <w:tcPr>
            <w:tcW w:w="742" w:type="dxa"/>
            <w:tcBorders>
              <w:top w:val="nil"/>
              <w:left w:val="nil"/>
              <w:bottom w:val="double" w:sz="6" w:space="0" w:color="auto"/>
              <w:right w:val="nil"/>
            </w:tcBorders>
            <w:shd w:val="clear" w:color="auto" w:fill="DBE5F1" w:themeFill="accent1" w:themeFillTint="33"/>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Cyrl-RS" w:eastAsia="sr-Latn-RS"/>
              </w:rPr>
            </w:pPr>
            <w:r>
              <w:rPr>
                <w:rFonts w:ascii="Calibri" w:eastAsia="Times New Roman" w:hAnsi="Calibri" w:cs="Times New Roman"/>
                <w:color w:val="000000"/>
                <w:sz w:val="18"/>
                <w:szCs w:val="18"/>
                <w:lang w:val="sr-Cyrl-RS" w:eastAsia="sr-Latn-RS"/>
              </w:rPr>
              <w:t>3</w:t>
            </w:r>
          </w:p>
        </w:tc>
        <w:tc>
          <w:tcPr>
            <w:tcW w:w="2815" w:type="dxa"/>
            <w:tcBorders>
              <w:top w:val="nil"/>
              <w:left w:val="nil"/>
              <w:bottom w:val="double" w:sz="6" w:space="0" w:color="auto"/>
              <w:right w:val="nil"/>
            </w:tcBorders>
            <w:shd w:val="clear" w:color="auto" w:fill="DBE5F1" w:themeFill="accent1" w:themeFillTint="33"/>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Cyrl-RS" w:eastAsia="sr-Latn-RS"/>
              </w:rPr>
            </w:pPr>
            <w:r>
              <w:rPr>
                <w:rFonts w:ascii="Calibri" w:eastAsia="Times New Roman" w:hAnsi="Calibri" w:cs="Times New Roman"/>
                <w:color w:val="000000"/>
                <w:sz w:val="18"/>
                <w:szCs w:val="18"/>
                <w:lang w:val="sr-Cyrl-RS" w:eastAsia="sr-Latn-RS"/>
              </w:rPr>
              <w:t>штете</w:t>
            </w:r>
          </w:p>
        </w:tc>
        <w:tc>
          <w:tcPr>
            <w:tcW w:w="1933" w:type="dxa"/>
            <w:tcBorders>
              <w:top w:val="nil"/>
              <w:left w:val="nil"/>
              <w:bottom w:val="double" w:sz="6" w:space="0" w:color="auto"/>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279.966</w:t>
            </w:r>
          </w:p>
        </w:tc>
        <w:tc>
          <w:tcPr>
            <w:tcW w:w="1933" w:type="dxa"/>
            <w:tcBorders>
              <w:top w:val="nil"/>
              <w:left w:val="nil"/>
              <w:bottom w:val="double" w:sz="6" w:space="0" w:color="auto"/>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4.281</w:t>
            </w:r>
          </w:p>
        </w:tc>
        <w:tc>
          <w:tcPr>
            <w:tcW w:w="1933" w:type="dxa"/>
            <w:tcBorders>
              <w:top w:val="nil"/>
              <w:left w:val="nil"/>
              <w:bottom w:val="double" w:sz="6" w:space="0" w:color="auto"/>
              <w:right w:val="nil"/>
            </w:tcBorders>
            <w:shd w:val="clear" w:color="auto" w:fill="DBE5F1" w:themeFill="accent1" w:themeFillTint="33"/>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275.685</w:t>
            </w:r>
          </w:p>
        </w:tc>
      </w:tr>
      <w:tr w:rsidR="007E3D96" w:rsidRPr="007E3D96" w:rsidTr="007E3D96">
        <w:trPr>
          <w:trHeight w:val="278"/>
        </w:trPr>
        <w:tc>
          <w:tcPr>
            <w:tcW w:w="742"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 </w:t>
            </w:r>
          </w:p>
        </w:tc>
        <w:tc>
          <w:tcPr>
            <w:tcW w:w="2815"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Укупно (ред.бр.од 1 до 3)</w:t>
            </w:r>
          </w:p>
        </w:tc>
        <w:tc>
          <w:tcPr>
            <w:tcW w:w="1933"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333.371</w:t>
            </w:r>
          </w:p>
        </w:tc>
        <w:tc>
          <w:tcPr>
            <w:tcW w:w="1933"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4.597</w:t>
            </w:r>
          </w:p>
        </w:tc>
        <w:tc>
          <w:tcPr>
            <w:tcW w:w="1933"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328.774</w:t>
            </w:r>
          </w:p>
        </w:tc>
      </w:tr>
    </w:tbl>
    <w:p w:rsidR="007E3D96" w:rsidRDefault="007E3D96" w:rsidP="004F2EE0">
      <w:pPr>
        <w:pStyle w:val="NoSpacing"/>
        <w:jc w:val="right"/>
        <w:rPr>
          <w:rFonts w:ascii="Tahoma" w:hAnsi="Tahoma" w:cs="Tahoma"/>
          <w:noProof/>
          <w:color w:val="000000" w:themeColor="text1"/>
          <w:sz w:val="20"/>
          <w:szCs w:val="18"/>
          <w:lang w:val="sr-Cyrl-CS"/>
        </w:rPr>
      </w:pPr>
    </w:p>
    <w:p w:rsidR="007E3D96" w:rsidRPr="0034641B" w:rsidRDefault="007E3D96" w:rsidP="007E3D96">
      <w:pPr>
        <w:pStyle w:val="NoSpacing"/>
        <w:jc w:val="both"/>
        <w:rPr>
          <w:rFonts w:cs="Tahoma"/>
          <w:noProof/>
          <w:color w:val="000000" w:themeColor="text1"/>
          <w:sz w:val="20"/>
          <w:szCs w:val="20"/>
          <w:lang w:val="sr-Cyrl-CS"/>
        </w:rPr>
      </w:pPr>
      <w:r>
        <w:rPr>
          <w:rFonts w:cs="Tahoma"/>
          <w:noProof/>
          <w:color w:val="000000" w:themeColor="text1"/>
          <w:sz w:val="20"/>
          <w:szCs w:val="20"/>
          <w:lang w:val="sr-Cyrl-CS"/>
        </w:rPr>
        <w:t>Укупне обавезе у земљи износе 333.371 хиљада динара од 0,67% се односи на премију, 15,35% се односи на провизију и 83,98% на штете.</w:t>
      </w:r>
    </w:p>
    <w:p w:rsidR="004F2EE0" w:rsidRPr="00AA4A36" w:rsidRDefault="004F2EE0" w:rsidP="004F2EE0">
      <w:pPr>
        <w:pStyle w:val="NoSpacing"/>
        <w:jc w:val="right"/>
        <w:rPr>
          <w:rFonts w:ascii="Tahoma" w:hAnsi="Tahoma" w:cs="Tahoma"/>
          <w:noProof/>
          <w:color w:val="000000" w:themeColor="text1"/>
          <w:sz w:val="2"/>
          <w:szCs w:val="2"/>
          <w:lang w:val="sr-Cyrl-CS"/>
        </w:rPr>
      </w:pPr>
    </w:p>
    <w:p w:rsidR="004F2EE0" w:rsidRPr="00BF3CDE" w:rsidRDefault="004F2EE0" w:rsidP="004F2EE0">
      <w:pPr>
        <w:spacing w:before="120" w:after="0"/>
        <w:jc w:val="center"/>
        <w:rPr>
          <w:b/>
          <w:i/>
          <w:noProof/>
          <w:color w:val="4F81BD" w:themeColor="accent1"/>
          <w:sz w:val="20"/>
          <w:lang w:val="sr-Cyrl-CS"/>
        </w:rPr>
      </w:pPr>
      <w:r w:rsidRPr="00BF3CDE">
        <w:rPr>
          <w:b/>
          <w:i/>
          <w:noProof/>
          <w:color w:val="4F81BD" w:themeColor="accent1"/>
          <w:sz w:val="20"/>
          <w:lang w:val="sr-Cyrl-CS"/>
        </w:rPr>
        <w:t>5 највећих поверилаца у иностранству</w:t>
      </w:r>
    </w:p>
    <w:p w:rsidR="004F2EE0" w:rsidRPr="00AA4A36" w:rsidRDefault="004F2EE0" w:rsidP="004F2EE0">
      <w:pPr>
        <w:pStyle w:val="NoSpacing"/>
        <w:jc w:val="right"/>
        <w:rPr>
          <w:rFonts w:ascii="Tahoma" w:hAnsi="Tahoma" w:cs="Tahoma"/>
          <w:noProof/>
          <w:sz w:val="20"/>
          <w:szCs w:val="18"/>
          <w:lang w:val="sr-Cyrl-CS"/>
        </w:rPr>
      </w:pPr>
      <w:r w:rsidRPr="00AA4A36">
        <w:rPr>
          <w:rFonts w:ascii="Tahoma" w:hAnsi="Tahoma" w:cs="Tahoma"/>
          <w:noProof/>
          <w:sz w:val="20"/>
          <w:szCs w:val="18"/>
          <w:lang w:val="sr-Cyrl-CS"/>
        </w:rPr>
        <w:t>У 000 РСД</w:t>
      </w:r>
    </w:p>
    <w:p w:rsidR="004F2EE0" w:rsidRPr="00AA4A36" w:rsidRDefault="004F2EE0" w:rsidP="004F2EE0">
      <w:pPr>
        <w:pStyle w:val="NoSpacing"/>
        <w:jc w:val="right"/>
        <w:rPr>
          <w:rFonts w:ascii="Tahoma" w:hAnsi="Tahoma" w:cs="Tahoma"/>
          <w:noProof/>
          <w:sz w:val="2"/>
          <w:szCs w:val="2"/>
          <w:lang w:val="sr-Cyrl-CS"/>
        </w:rPr>
      </w:pPr>
    </w:p>
    <w:tbl>
      <w:tblPr>
        <w:tblW w:w="9219" w:type="dxa"/>
        <w:tblInd w:w="93" w:type="dxa"/>
        <w:tblLook w:val="04A0" w:firstRow="1" w:lastRow="0" w:firstColumn="1" w:lastColumn="0" w:noHBand="0" w:noVBand="1"/>
      </w:tblPr>
      <w:tblGrid>
        <w:gridCol w:w="731"/>
        <w:gridCol w:w="2773"/>
        <w:gridCol w:w="1905"/>
        <w:gridCol w:w="1905"/>
        <w:gridCol w:w="1905"/>
      </w:tblGrid>
      <w:tr w:rsidR="007E3D96" w:rsidRPr="007E3D96" w:rsidTr="007E3D96">
        <w:trPr>
          <w:trHeight w:val="278"/>
        </w:trPr>
        <w:tc>
          <w:tcPr>
            <w:tcW w:w="731" w:type="dxa"/>
            <w:tcBorders>
              <w:top w:val="nil"/>
              <w:left w:val="nil"/>
              <w:bottom w:val="single" w:sz="4"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РБ</w:t>
            </w:r>
          </w:p>
        </w:tc>
        <w:tc>
          <w:tcPr>
            <w:tcW w:w="2773" w:type="dxa"/>
            <w:tcBorders>
              <w:top w:val="nil"/>
              <w:left w:val="nil"/>
              <w:bottom w:val="single" w:sz="4" w:space="0" w:color="auto"/>
              <w:right w:val="nil"/>
            </w:tcBorders>
            <w:shd w:val="clear" w:color="auto" w:fill="auto"/>
            <w:noWrap/>
            <w:vAlign w:val="bottom"/>
            <w:hideMark/>
          </w:tcPr>
          <w:p w:rsidR="007E3D96" w:rsidRPr="00E35037" w:rsidRDefault="007E3D96" w:rsidP="00E35037">
            <w:pPr>
              <w:spacing w:after="0" w:line="240" w:lineRule="auto"/>
              <w:jc w:val="center"/>
              <w:rPr>
                <w:rFonts w:ascii="Calibri" w:eastAsia="Times New Roman" w:hAnsi="Calibri" w:cs="Times New Roman"/>
                <w:color w:val="000000"/>
                <w:sz w:val="18"/>
                <w:szCs w:val="18"/>
                <w:lang w:val="sr-Cyrl-RS" w:eastAsia="sr-Latn-RS"/>
              </w:rPr>
            </w:pPr>
            <w:r w:rsidRPr="007E3D96">
              <w:rPr>
                <w:rFonts w:ascii="Calibri" w:eastAsia="Times New Roman" w:hAnsi="Calibri" w:cs="Times New Roman"/>
                <w:color w:val="000000"/>
                <w:sz w:val="18"/>
                <w:szCs w:val="18"/>
                <w:lang w:val="sr-Latn-RS" w:eastAsia="sr-Latn-RS"/>
              </w:rPr>
              <w:t xml:space="preserve">Назив </w:t>
            </w:r>
            <w:r w:rsidR="00E35037">
              <w:rPr>
                <w:rFonts w:ascii="Calibri" w:eastAsia="Times New Roman" w:hAnsi="Calibri" w:cs="Times New Roman"/>
                <w:color w:val="000000"/>
                <w:sz w:val="18"/>
                <w:szCs w:val="18"/>
                <w:lang w:val="sr-Cyrl-RS" w:eastAsia="sr-Latn-RS"/>
              </w:rPr>
              <w:t>повериоца</w:t>
            </w:r>
          </w:p>
        </w:tc>
        <w:tc>
          <w:tcPr>
            <w:tcW w:w="1905" w:type="dxa"/>
            <w:tcBorders>
              <w:top w:val="nil"/>
              <w:left w:val="nil"/>
              <w:bottom w:val="single" w:sz="4"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Укупна потраживања</w:t>
            </w:r>
          </w:p>
        </w:tc>
        <w:tc>
          <w:tcPr>
            <w:tcW w:w="1905" w:type="dxa"/>
            <w:tcBorders>
              <w:top w:val="nil"/>
              <w:left w:val="nil"/>
              <w:bottom w:val="single" w:sz="4"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Доспела потраживања</w:t>
            </w:r>
          </w:p>
        </w:tc>
        <w:tc>
          <w:tcPr>
            <w:tcW w:w="1905" w:type="dxa"/>
            <w:tcBorders>
              <w:top w:val="nil"/>
              <w:left w:val="nil"/>
              <w:bottom w:val="single" w:sz="4" w:space="0" w:color="auto"/>
              <w:right w:val="nil"/>
            </w:tcBorders>
            <w:shd w:val="clear" w:color="auto" w:fill="auto"/>
            <w:noWrap/>
            <w:vAlign w:val="bottom"/>
            <w:hideMark/>
          </w:tcPr>
          <w:p w:rsidR="007E3D96" w:rsidRPr="007E3D96" w:rsidRDefault="007E3D96" w:rsidP="007E3D96">
            <w:pPr>
              <w:spacing w:after="0" w:line="240" w:lineRule="auto"/>
              <w:jc w:val="center"/>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Недоспела потраљивањ</w:t>
            </w:r>
          </w:p>
        </w:tc>
      </w:tr>
      <w:tr w:rsidR="007E3D96" w:rsidRPr="007E3D96" w:rsidTr="007E3D96">
        <w:trPr>
          <w:trHeight w:val="278"/>
        </w:trPr>
        <w:tc>
          <w:tcPr>
            <w:tcW w:w="731"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w:t>
            </w:r>
          </w:p>
        </w:tc>
        <w:tc>
          <w:tcPr>
            <w:tcW w:w="2773"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Willis Limited, London</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144.028</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12</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144.016</w:t>
            </w:r>
          </w:p>
        </w:tc>
      </w:tr>
      <w:tr w:rsidR="007E3D96" w:rsidRPr="007E3D96" w:rsidTr="007E3D96">
        <w:trPr>
          <w:trHeight w:val="278"/>
        </w:trPr>
        <w:tc>
          <w:tcPr>
            <w:tcW w:w="731"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w:t>
            </w:r>
          </w:p>
        </w:tc>
        <w:tc>
          <w:tcPr>
            <w:tcW w:w="277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Guy Carpenter &amp; Company Ltd., London, England</w:t>
            </w: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52.314</w:t>
            </w: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6.364</w:t>
            </w: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45.950</w:t>
            </w:r>
          </w:p>
        </w:tc>
      </w:tr>
      <w:tr w:rsidR="007E3D96" w:rsidRPr="007E3D96" w:rsidTr="007E3D96">
        <w:trPr>
          <w:trHeight w:val="278"/>
        </w:trPr>
        <w:tc>
          <w:tcPr>
            <w:tcW w:w="731"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w:t>
            </w:r>
          </w:p>
        </w:tc>
        <w:tc>
          <w:tcPr>
            <w:tcW w:w="2773"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Gen Re-General Reinsurance ag, Vienna, Austria</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36.054</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 </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36.054</w:t>
            </w:r>
          </w:p>
        </w:tc>
      </w:tr>
      <w:tr w:rsidR="007E3D96" w:rsidRPr="007E3D96" w:rsidTr="007E3D96">
        <w:trPr>
          <w:trHeight w:val="278"/>
        </w:trPr>
        <w:tc>
          <w:tcPr>
            <w:tcW w:w="731"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4</w:t>
            </w:r>
          </w:p>
        </w:tc>
        <w:tc>
          <w:tcPr>
            <w:tcW w:w="277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Grazer Versicherungen AG Graz</w:t>
            </w: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27.015</w:t>
            </w: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27.015</w:t>
            </w:r>
          </w:p>
        </w:tc>
      </w:tr>
      <w:tr w:rsidR="007E3D96" w:rsidRPr="007E3D96" w:rsidTr="007E3D96">
        <w:trPr>
          <w:trHeight w:val="278"/>
        </w:trPr>
        <w:tc>
          <w:tcPr>
            <w:tcW w:w="731"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5</w:t>
            </w:r>
          </w:p>
        </w:tc>
        <w:tc>
          <w:tcPr>
            <w:tcW w:w="2773"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Sava Re (Pozavarovalnica) dd, Ljubljana</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24.290</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3.303</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20.987</w:t>
            </w:r>
          </w:p>
        </w:tc>
      </w:tr>
      <w:tr w:rsidR="007E3D96" w:rsidRPr="007E3D96" w:rsidTr="007E3D96">
        <w:trPr>
          <w:trHeight w:val="292"/>
        </w:trPr>
        <w:tc>
          <w:tcPr>
            <w:tcW w:w="731"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6</w:t>
            </w:r>
          </w:p>
        </w:tc>
        <w:tc>
          <w:tcPr>
            <w:tcW w:w="2773"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Остало</w:t>
            </w:r>
          </w:p>
        </w:tc>
        <w:tc>
          <w:tcPr>
            <w:tcW w:w="1905"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221.456</w:t>
            </w:r>
          </w:p>
        </w:tc>
        <w:tc>
          <w:tcPr>
            <w:tcW w:w="1905"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107.968</w:t>
            </w:r>
          </w:p>
        </w:tc>
        <w:tc>
          <w:tcPr>
            <w:tcW w:w="1905" w:type="dxa"/>
            <w:tcBorders>
              <w:top w:val="nil"/>
              <w:left w:val="nil"/>
              <w:bottom w:val="double" w:sz="6" w:space="0" w:color="auto"/>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113.488</w:t>
            </w:r>
          </w:p>
        </w:tc>
      </w:tr>
      <w:tr w:rsidR="007E3D96" w:rsidRPr="007E3D96" w:rsidTr="007E3D96">
        <w:trPr>
          <w:trHeight w:val="292"/>
        </w:trPr>
        <w:tc>
          <w:tcPr>
            <w:tcW w:w="731"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center"/>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 </w:t>
            </w:r>
          </w:p>
        </w:tc>
        <w:tc>
          <w:tcPr>
            <w:tcW w:w="2773"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Укупно (ред.бр.од 1 до 6)</w:t>
            </w:r>
          </w:p>
        </w:tc>
        <w:tc>
          <w:tcPr>
            <w:tcW w:w="1905"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505.157</w:t>
            </w:r>
          </w:p>
        </w:tc>
        <w:tc>
          <w:tcPr>
            <w:tcW w:w="1905"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117.647</w:t>
            </w:r>
          </w:p>
        </w:tc>
        <w:tc>
          <w:tcPr>
            <w:tcW w:w="1905"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387.510</w:t>
            </w:r>
          </w:p>
        </w:tc>
      </w:tr>
      <w:tr w:rsidR="007E3D96" w:rsidRPr="007E3D96" w:rsidTr="007E3D96">
        <w:trPr>
          <w:trHeight w:val="278"/>
        </w:trPr>
        <w:tc>
          <w:tcPr>
            <w:tcW w:w="731"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277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p>
        </w:tc>
      </w:tr>
      <w:tr w:rsidR="007E3D96" w:rsidRPr="007E3D96" w:rsidTr="007E3D96">
        <w:trPr>
          <w:trHeight w:val="278"/>
        </w:trPr>
        <w:tc>
          <w:tcPr>
            <w:tcW w:w="731"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1</w:t>
            </w:r>
          </w:p>
        </w:tc>
        <w:tc>
          <w:tcPr>
            <w:tcW w:w="2773"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Премија</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469.974</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82.516</w:t>
            </w:r>
          </w:p>
        </w:tc>
        <w:tc>
          <w:tcPr>
            <w:tcW w:w="1905" w:type="dxa"/>
            <w:tcBorders>
              <w:top w:val="nil"/>
              <w:left w:val="nil"/>
              <w:bottom w:val="nil"/>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387.458</w:t>
            </w:r>
          </w:p>
        </w:tc>
      </w:tr>
      <w:tr w:rsidR="007E3D96" w:rsidRPr="007E3D96" w:rsidTr="007E3D96">
        <w:trPr>
          <w:trHeight w:val="278"/>
        </w:trPr>
        <w:tc>
          <w:tcPr>
            <w:tcW w:w="731"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2</w:t>
            </w:r>
          </w:p>
        </w:tc>
        <w:tc>
          <w:tcPr>
            <w:tcW w:w="2773"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Провизија</w:t>
            </w: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0</w:t>
            </w: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0</w:t>
            </w:r>
          </w:p>
        </w:tc>
        <w:tc>
          <w:tcPr>
            <w:tcW w:w="1905" w:type="dxa"/>
            <w:tcBorders>
              <w:top w:val="nil"/>
              <w:left w:val="nil"/>
              <w:bottom w:val="nil"/>
              <w:right w:val="nil"/>
            </w:tcBorders>
            <w:shd w:val="clear" w:color="auto" w:fill="auto"/>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0</w:t>
            </w:r>
          </w:p>
        </w:tc>
      </w:tr>
      <w:tr w:rsidR="007E3D96" w:rsidRPr="007E3D96" w:rsidTr="007E3D96">
        <w:trPr>
          <w:trHeight w:val="292"/>
        </w:trPr>
        <w:tc>
          <w:tcPr>
            <w:tcW w:w="731" w:type="dxa"/>
            <w:tcBorders>
              <w:top w:val="nil"/>
              <w:left w:val="nil"/>
              <w:bottom w:val="double" w:sz="6" w:space="0" w:color="auto"/>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w:t>
            </w:r>
          </w:p>
        </w:tc>
        <w:tc>
          <w:tcPr>
            <w:tcW w:w="2773" w:type="dxa"/>
            <w:tcBorders>
              <w:top w:val="nil"/>
              <w:left w:val="nil"/>
              <w:bottom w:val="double" w:sz="6" w:space="0" w:color="auto"/>
              <w:right w:val="nil"/>
            </w:tcBorders>
            <w:shd w:val="clear" w:color="000000" w:fill="DDEBF7"/>
            <w:noWrap/>
            <w:vAlign w:val="bottom"/>
            <w:hideMark/>
          </w:tcPr>
          <w:p w:rsidR="007E3D96" w:rsidRPr="007E3D96" w:rsidRDefault="007E3D96" w:rsidP="007E3D96">
            <w:pPr>
              <w:spacing w:after="0" w:line="240" w:lineRule="auto"/>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Штете</w:t>
            </w:r>
          </w:p>
        </w:tc>
        <w:tc>
          <w:tcPr>
            <w:tcW w:w="1905" w:type="dxa"/>
            <w:tcBorders>
              <w:top w:val="nil"/>
              <w:left w:val="nil"/>
              <w:bottom w:val="double" w:sz="6" w:space="0" w:color="auto"/>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35.183</w:t>
            </w:r>
          </w:p>
        </w:tc>
        <w:tc>
          <w:tcPr>
            <w:tcW w:w="1905" w:type="dxa"/>
            <w:tcBorders>
              <w:top w:val="nil"/>
              <w:left w:val="nil"/>
              <w:bottom w:val="double" w:sz="6" w:space="0" w:color="auto"/>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35.131</w:t>
            </w:r>
          </w:p>
        </w:tc>
        <w:tc>
          <w:tcPr>
            <w:tcW w:w="1905" w:type="dxa"/>
            <w:tcBorders>
              <w:top w:val="nil"/>
              <w:left w:val="nil"/>
              <w:bottom w:val="double" w:sz="6" w:space="0" w:color="auto"/>
              <w:right w:val="nil"/>
            </w:tcBorders>
            <w:shd w:val="clear" w:color="000000" w:fill="DDEBF7"/>
            <w:noWrap/>
            <w:vAlign w:val="bottom"/>
            <w:hideMark/>
          </w:tcPr>
          <w:p w:rsidR="007E3D96" w:rsidRPr="007E3D96" w:rsidRDefault="007E3D96" w:rsidP="007E3D96">
            <w:pPr>
              <w:spacing w:after="0" w:line="240" w:lineRule="auto"/>
              <w:jc w:val="right"/>
              <w:rPr>
                <w:rFonts w:ascii="Calibri" w:eastAsia="Times New Roman" w:hAnsi="Calibri" w:cs="Times New Roman"/>
                <w:color w:val="000000"/>
                <w:sz w:val="18"/>
                <w:szCs w:val="18"/>
                <w:lang w:val="sr-Latn-RS" w:eastAsia="sr-Latn-RS"/>
              </w:rPr>
            </w:pPr>
            <w:r w:rsidRPr="007E3D96">
              <w:rPr>
                <w:rFonts w:ascii="Calibri" w:eastAsia="Times New Roman" w:hAnsi="Calibri" w:cs="Times New Roman"/>
                <w:color w:val="000000"/>
                <w:sz w:val="18"/>
                <w:szCs w:val="18"/>
                <w:lang w:val="sr-Latn-RS" w:eastAsia="sr-Latn-RS"/>
              </w:rPr>
              <w:t>52</w:t>
            </w:r>
          </w:p>
        </w:tc>
      </w:tr>
      <w:tr w:rsidR="007E3D96" w:rsidRPr="007E3D96" w:rsidTr="007E3D96">
        <w:trPr>
          <w:trHeight w:val="292"/>
        </w:trPr>
        <w:tc>
          <w:tcPr>
            <w:tcW w:w="731"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 </w:t>
            </w:r>
          </w:p>
        </w:tc>
        <w:tc>
          <w:tcPr>
            <w:tcW w:w="2773"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Укупно (ред.бр.од 1 до 3)</w:t>
            </w:r>
          </w:p>
        </w:tc>
        <w:tc>
          <w:tcPr>
            <w:tcW w:w="1905"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505.157</w:t>
            </w:r>
          </w:p>
        </w:tc>
        <w:tc>
          <w:tcPr>
            <w:tcW w:w="1905"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117.647</w:t>
            </w:r>
          </w:p>
        </w:tc>
        <w:tc>
          <w:tcPr>
            <w:tcW w:w="1905" w:type="dxa"/>
            <w:tcBorders>
              <w:top w:val="nil"/>
              <w:left w:val="nil"/>
              <w:bottom w:val="nil"/>
              <w:right w:val="nil"/>
            </w:tcBorders>
            <w:shd w:val="clear" w:color="000000" w:fill="9BC2E6"/>
            <w:noWrap/>
            <w:vAlign w:val="bottom"/>
            <w:hideMark/>
          </w:tcPr>
          <w:p w:rsidR="007E3D96" w:rsidRPr="007E3D96" w:rsidRDefault="007E3D96" w:rsidP="007E3D96">
            <w:pPr>
              <w:spacing w:after="0" w:line="240" w:lineRule="auto"/>
              <w:jc w:val="right"/>
              <w:rPr>
                <w:rFonts w:ascii="Calibri" w:eastAsia="Times New Roman" w:hAnsi="Calibri" w:cs="Times New Roman"/>
                <w:b/>
                <w:bCs/>
                <w:color w:val="000000"/>
                <w:sz w:val="18"/>
                <w:szCs w:val="18"/>
                <w:lang w:val="sr-Latn-RS" w:eastAsia="sr-Latn-RS"/>
              </w:rPr>
            </w:pPr>
            <w:r w:rsidRPr="007E3D96">
              <w:rPr>
                <w:rFonts w:ascii="Calibri" w:eastAsia="Times New Roman" w:hAnsi="Calibri" w:cs="Times New Roman"/>
                <w:b/>
                <w:bCs/>
                <w:color w:val="000000"/>
                <w:sz w:val="18"/>
                <w:szCs w:val="18"/>
                <w:lang w:val="sr-Latn-RS" w:eastAsia="sr-Latn-RS"/>
              </w:rPr>
              <w:t>387.510</w:t>
            </w:r>
          </w:p>
        </w:tc>
      </w:tr>
    </w:tbl>
    <w:p w:rsidR="007E3D96" w:rsidRDefault="007E3D96" w:rsidP="007E3D96">
      <w:pPr>
        <w:pStyle w:val="NoSpacing"/>
        <w:jc w:val="both"/>
        <w:rPr>
          <w:rFonts w:cs="Tahoma"/>
          <w:noProof/>
          <w:color w:val="000000" w:themeColor="text1"/>
          <w:sz w:val="20"/>
          <w:szCs w:val="20"/>
          <w:lang w:val="sr-Cyrl-CS"/>
        </w:rPr>
      </w:pPr>
    </w:p>
    <w:p w:rsidR="007E3D96" w:rsidRPr="0034641B" w:rsidRDefault="007E3D96" w:rsidP="007E3D96">
      <w:pPr>
        <w:pStyle w:val="NoSpacing"/>
        <w:jc w:val="both"/>
        <w:rPr>
          <w:rFonts w:cs="Tahoma"/>
          <w:noProof/>
          <w:color w:val="000000" w:themeColor="text1"/>
          <w:sz w:val="20"/>
          <w:szCs w:val="20"/>
          <w:lang w:val="sr-Cyrl-CS"/>
        </w:rPr>
      </w:pPr>
      <w:r>
        <w:rPr>
          <w:rFonts w:cs="Tahoma"/>
          <w:noProof/>
          <w:color w:val="000000" w:themeColor="text1"/>
          <w:sz w:val="20"/>
          <w:szCs w:val="20"/>
          <w:lang w:val="sr-Cyrl-CS"/>
        </w:rPr>
        <w:t>Укупне обавезе у иностранству износе 505.157 хиљада динара од 93,04% се односи на премију, а штете износе 6,96%.</w:t>
      </w:r>
    </w:p>
    <w:p w:rsidR="007E3D96" w:rsidRPr="00BF3CDE" w:rsidRDefault="007E3D96" w:rsidP="007E3D96">
      <w:pPr>
        <w:spacing w:after="0"/>
        <w:rPr>
          <w:noProof/>
          <w:sz w:val="20"/>
          <w:szCs w:val="20"/>
          <w:lang w:val="sr-Cyrl-CS"/>
        </w:rPr>
      </w:pPr>
    </w:p>
    <w:p w:rsidR="00DC51FA" w:rsidRPr="00BF3CDE" w:rsidRDefault="00492321" w:rsidP="00860C32">
      <w:pPr>
        <w:pStyle w:val="Heading1"/>
        <w:numPr>
          <w:ilvl w:val="2"/>
          <w:numId w:val="6"/>
        </w:numPr>
      </w:pPr>
      <w:bookmarkStart w:id="37" w:name="_Toc445975034"/>
      <w:r w:rsidRPr="00BF3CDE">
        <w:t>Преносна премија и резервисане штете</w:t>
      </w:r>
      <w:bookmarkEnd w:id="37"/>
    </w:p>
    <w:p w:rsidR="00DC51FA" w:rsidRPr="00BF3CDE" w:rsidRDefault="00DC51FA" w:rsidP="00DC51FA">
      <w:pPr>
        <w:rPr>
          <w:noProof/>
          <w:sz w:val="2"/>
          <w:szCs w:val="2"/>
          <w:highlight w:val="yellow"/>
          <w:lang w:val="sr-Cyrl-CS" w:eastAsia="ar-SA"/>
        </w:rPr>
      </w:pPr>
    </w:p>
    <w:p w:rsidR="00855153" w:rsidRPr="00BF3CDE" w:rsidRDefault="00855153" w:rsidP="004F2EE0">
      <w:pPr>
        <w:spacing w:after="120"/>
        <w:rPr>
          <w:noProof/>
          <w:lang w:val="sr-Cyrl-CS"/>
        </w:rPr>
      </w:pPr>
      <w:r w:rsidRPr="00BF3CDE">
        <w:rPr>
          <w:rFonts w:asciiTheme="majorHAnsi" w:eastAsia="Times New Roman" w:hAnsiTheme="majorHAnsi" w:cs="Tahoma"/>
          <w:b/>
          <w:bCs/>
          <w:i/>
          <w:noProof/>
          <w:color w:val="4F81BD"/>
          <w:sz w:val="20"/>
          <w:szCs w:val="18"/>
          <w:lang w:val="sr-Cyrl-CS" w:eastAsia="ar-SA"/>
        </w:rPr>
        <w:t>Преносна премија</w:t>
      </w:r>
    </w:p>
    <w:p w:rsidR="00460ED3" w:rsidRDefault="00953663" w:rsidP="0071269C">
      <w:pPr>
        <w:spacing w:after="0"/>
        <w:ind w:firstLine="567"/>
        <w:jc w:val="both"/>
        <w:rPr>
          <w:noProof/>
          <w:sz w:val="20"/>
          <w:szCs w:val="20"/>
          <w:lang w:val="sr-Cyrl-CS"/>
        </w:rPr>
      </w:pPr>
      <w:r w:rsidRPr="00953663">
        <w:rPr>
          <w:noProof/>
          <w:sz w:val="20"/>
          <w:szCs w:val="20"/>
          <w:lang w:val="sr-Cyrl-CS"/>
        </w:rPr>
        <w:t>Укупне резерве за</w:t>
      </w:r>
      <w:r w:rsidR="00460ED3" w:rsidRPr="00953663">
        <w:rPr>
          <w:noProof/>
          <w:sz w:val="20"/>
          <w:szCs w:val="20"/>
          <w:lang w:val="sr-Cyrl-CS"/>
        </w:rPr>
        <w:t xml:space="preserve"> преносн</w:t>
      </w:r>
      <w:r w:rsidRPr="00953663">
        <w:rPr>
          <w:noProof/>
          <w:sz w:val="20"/>
          <w:szCs w:val="20"/>
          <w:lang w:val="sr-Cyrl-CS"/>
        </w:rPr>
        <w:t>у</w:t>
      </w:r>
      <w:r w:rsidR="00460ED3" w:rsidRPr="00953663">
        <w:rPr>
          <w:noProof/>
          <w:sz w:val="20"/>
          <w:szCs w:val="20"/>
          <w:lang w:val="sr-Cyrl-CS"/>
        </w:rPr>
        <w:t xml:space="preserve"> премиј</w:t>
      </w:r>
      <w:r w:rsidRPr="00953663">
        <w:rPr>
          <w:noProof/>
          <w:sz w:val="20"/>
          <w:szCs w:val="20"/>
          <w:lang w:val="sr-Cyrl-CS"/>
        </w:rPr>
        <w:t>у</w:t>
      </w:r>
      <w:r w:rsidR="00820179" w:rsidRPr="00953663">
        <w:rPr>
          <w:noProof/>
          <w:sz w:val="20"/>
          <w:szCs w:val="20"/>
          <w:lang w:val="sr-Cyrl-CS"/>
        </w:rPr>
        <w:t xml:space="preserve"> </w:t>
      </w:r>
      <w:r w:rsidR="00460ED3" w:rsidRPr="00953663">
        <w:rPr>
          <w:noProof/>
          <w:sz w:val="20"/>
          <w:szCs w:val="20"/>
          <w:lang w:val="sr-Cyrl-CS"/>
        </w:rPr>
        <w:t>на дан 31.12.201</w:t>
      </w:r>
      <w:r w:rsidRPr="00953663">
        <w:rPr>
          <w:noProof/>
          <w:sz w:val="20"/>
          <w:szCs w:val="20"/>
          <w:lang w:val="sr-Cyrl-CS"/>
        </w:rPr>
        <w:t>5</w:t>
      </w:r>
      <w:r w:rsidR="00460ED3" w:rsidRPr="00953663">
        <w:rPr>
          <w:noProof/>
          <w:sz w:val="20"/>
          <w:szCs w:val="20"/>
          <w:lang w:val="sr-Cyrl-CS"/>
        </w:rPr>
        <w:t>. године износ</w:t>
      </w:r>
      <w:r w:rsidRPr="00953663">
        <w:rPr>
          <w:noProof/>
          <w:sz w:val="20"/>
          <w:szCs w:val="20"/>
          <w:lang w:val="sr-Cyrl-CS"/>
        </w:rPr>
        <w:t>е</w:t>
      </w:r>
      <w:r w:rsidR="00460ED3" w:rsidRPr="00953663">
        <w:rPr>
          <w:noProof/>
          <w:sz w:val="20"/>
          <w:szCs w:val="20"/>
          <w:lang w:val="sr-Cyrl-CS"/>
        </w:rPr>
        <w:t xml:space="preserve"> </w:t>
      </w:r>
      <w:r w:rsidRPr="00953663">
        <w:rPr>
          <w:noProof/>
          <w:sz w:val="20"/>
          <w:szCs w:val="20"/>
          <w:lang w:val="sr-Cyrl-CS"/>
        </w:rPr>
        <w:t>389.252</w:t>
      </w:r>
      <w:r w:rsidR="00820179" w:rsidRPr="00953663">
        <w:rPr>
          <w:noProof/>
          <w:sz w:val="20"/>
          <w:szCs w:val="20"/>
          <w:lang w:val="sr-Cyrl-CS"/>
        </w:rPr>
        <w:t xml:space="preserve"> </w:t>
      </w:r>
      <w:r w:rsidR="00460ED3" w:rsidRPr="00953663">
        <w:rPr>
          <w:noProof/>
          <w:sz w:val="20"/>
          <w:szCs w:val="20"/>
          <w:lang w:val="sr-Cyrl-CS"/>
        </w:rPr>
        <w:t>хиљада динара</w:t>
      </w:r>
      <w:r w:rsidRPr="00953663">
        <w:rPr>
          <w:noProof/>
          <w:sz w:val="20"/>
          <w:szCs w:val="20"/>
          <w:lang w:val="sr-Cyrl-CS"/>
        </w:rPr>
        <w:t xml:space="preserve">, од којих резерве које падају на терет реосигуравача износи 372.473 хиљаде динара, док резеве у самопридржају износе 16.779 хиљада динара </w:t>
      </w:r>
      <w:r w:rsidR="00460ED3" w:rsidRPr="00953663">
        <w:rPr>
          <w:noProof/>
          <w:sz w:val="20"/>
          <w:szCs w:val="20"/>
          <w:lang w:val="sr-Cyrl-CS"/>
        </w:rPr>
        <w:t xml:space="preserve"> и</w:t>
      </w:r>
      <w:r w:rsidR="009079A8" w:rsidRPr="00953663">
        <w:rPr>
          <w:noProof/>
          <w:sz w:val="20"/>
          <w:szCs w:val="20"/>
          <w:lang w:val="sr-Cyrl-CS"/>
        </w:rPr>
        <w:t xml:space="preserve"> </w:t>
      </w:r>
      <w:r w:rsidRPr="00953663">
        <w:rPr>
          <w:noProof/>
          <w:sz w:val="20"/>
          <w:szCs w:val="20"/>
          <w:lang w:val="sr-Cyrl-CS"/>
        </w:rPr>
        <w:t>веће су</w:t>
      </w:r>
      <w:r w:rsidR="00460ED3" w:rsidRPr="00953663">
        <w:rPr>
          <w:noProof/>
          <w:sz w:val="20"/>
          <w:szCs w:val="20"/>
          <w:lang w:val="sr-Cyrl-CS"/>
        </w:rPr>
        <w:t xml:space="preserve">је </w:t>
      </w:r>
      <w:r w:rsidRPr="00953663">
        <w:rPr>
          <w:noProof/>
          <w:sz w:val="20"/>
          <w:szCs w:val="20"/>
          <w:lang w:val="sr-Cyrl-CS"/>
        </w:rPr>
        <w:t xml:space="preserve">у односу на претходну годину </w:t>
      </w:r>
      <w:r w:rsidR="00460ED3" w:rsidRPr="00953663">
        <w:rPr>
          <w:noProof/>
          <w:sz w:val="20"/>
          <w:szCs w:val="20"/>
          <w:lang w:val="sr-Cyrl-CS"/>
        </w:rPr>
        <w:t xml:space="preserve">за </w:t>
      </w:r>
      <w:r w:rsidRPr="00953663">
        <w:rPr>
          <w:noProof/>
          <w:sz w:val="20"/>
          <w:szCs w:val="20"/>
          <w:lang w:val="sr-Cyrl-CS"/>
        </w:rPr>
        <w:t>22,79</w:t>
      </w:r>
      <w:r w:rsidR="00460ED3" w:rsidRPr="00953663">
        <w:rPr>
          <w:noProof/>
          <w:sz w:val="20"/>
          <w:szCs w:val="20"/>
          <w:lang w:val="sr-Cyrl-CS"/>
        </w:rPr>
        <w:t>%.</w:t>
      </w:r>
    </w:p>
    <w:p w:rsidR="00FD3A30" w:rsidRPr="00BF3CDE" w:rsidRDefault="00FD3A30" w:rsidP="0071269C">
      <w:pPr>
        <w:spacing w:after="0"/>
        <w:ind w:firstLine="567"/>
        <w:jc w:val="both"/>
        <w:rPr>
          <w:noProof/>
          <w:sz w:val="20"/>
          <w:szCs w:val="20"/>
          <w:lang w:val="sr-Cyrl-CS"/>
        </w:rPr>
      </w:pPr>
    </w:p>
    <w:p w:rsidR="00460ED3" w:rsidRPr="00BF3CDE" w:rsidRDefault="00460ED3" w:rsidP="004F2EE0">
      <w:pPr>
        <w:spacing w:after="0"/>
        <w:ind w:right="-286" w:hanging="284"/>
        <w:jc w:val="center"/>
        <w:rPr>
          <w:rFonts w:eastAsiaTheme="minorEastAsia"/>
          <w:b/>
          <w:i/>
          <w:noProof/>
          <w:color w:val="365F91" w:themeColor="accent1" w:themeShade="BF"/>
          <w:sz w:val="20"/>
          <w:lang w:val="sr-Cyrl-CS" w:eastAsia="ja-JP"/>
        </w:rPr>
      </w:pPr>
      <w:r w:rsidRPr="00BF3CDE">
        <w:rPr>
          <w:rFonts w:eastAsiaTheme="minorEastAsia"/>
          <w:b/>
          <w:i/>
          <w:noProof/>
          <w:color w:val="365F91" w:themeColor="accent1" w:themeShade="BF"/>
          <w:sz w:val="20"/>
          <w:lang w:val="sr-Cyrl-CS" w:eastAsia="ja-JP"/>
        </w:rPr>
        <w:t>Преносна премија</w:t>
      </w:r>
      <w:r w:rsidR="00820179" w:rsidRPr="00BF3CDE">
        <w:rPr>
          <w:rFonts w:eastAsiaTheme="minorEastAsia"/>
          <w:b/>
          <w:i/>
          <w:noProof/>
          <w:color w:val="365F91" w:themeColor="accent1" w:themeShade="BF"/>
          <w:sz w:val="20"/>
          <w:lang w:val="sr-Cyrl-CS" w:eastAsia="ja-JP"/>
        </w:rPr>
        <w:t xml:space="preserve"> у самопридржају</w:t>
      </w:r>
      <w:r w:rsidRPr="00BF3CDE">
        <w:rPr>
          <w:rFonts w:eastAsiaTheme="minorEastAsia"/>
          <w:b/>
          <w:i/>
          <w:noProof/>
          <w:color w:val="365F91" w:themeColor="accent1" w:themeShade="BF"/>
          <w:sz w:val="20"/>
          <w:lang w:val="sr-Cyrl-CS" w:eastAsia="ja-JP"/>
        </w:rPr>
        <w:t xml:space="preserve"> на дан 31.12.201</w:t>
      </w:r>
      <w:r w:rsidR="00A31464">
        <w:rPr>
          <w:rFonts w:eastAsiaTheme="minorEastAsia"/>
          <w:b/>
          <w:i/>
          <w:noProof/>
          <w:color w:val="365F91" w:themeColor="accent1" w:themeShade="BF"/>
          <w:sz w:val="20"/>
          <w:lang w:val="sr-Cyrl-CS" w:eastAsia="ja-JP"/>
        </w:rPr>
        <w:t>5</w:t>
      </w:r>
      <w:r w:rsidRPr="00BF3CDE">
        <w:rPr>
          <w:rFonts w:eastAsiaTheme="minorEastAsia"/>
          <w:b/>
          <w:i/>
          <w:noProof/>
          <w:color w:val="365F91" w:themeColor="accent1" w:themeShade="BF"/>
          <w:sz w:val="20"/>
          <w:lang w:val="sr-Cyrl-CS" w:eastAsia="ja-JP"/>
        </w:rPr>
        <w:t xml:space="preserve">. по врстама </w:t>
      </w:r>
      <w:r w:rsidR="004F2EE0" w:rsidRPr="00BF3CDE">
        <w:rPr>
          <w:rFonts w:eastAsiaTheme="minorEastAsia"/>
          <w:b/>
          <w:i/>
          <w:noProof/>
          <w:color w:val="365F91" w:themeColor="accent1" w:themeShade="BF"/>
          <w:sz w:val="20"/>
          <w:lang w:val="sr-Cyrl-CS" w:eastAsia="ja-JP"/>
        </w:rPr>
        <w:t>р</w:t>
      </w:r>
      <w:r w:rsidRPr="00BF3CDE">
        <w:rPr>
          <w:rFonts w:eastAsiaTheme="minorEastAsia"/>
          <w:b/>
          <w:i/>
          <w:noProof/>
          <w:color w:val="365F91" w:themeColor="accent1" w:themeShade="BF"/>
          <w:sz w:val="20"/>
          <w:lang w:val="sr-Cyrl-CS" w:eastAsia="ja-JP"/>
        </w:rPr>
        <w:t>еосигурања</w:t>
      </w:r>
    </w:p>
    <w:p w:rsidR="00975486" w:rsidRPr="00480E31" w:rsidRDefault="00975486" w:rsidP="002E60C4">
      <w:pPr>
        <w:spacing w:after="0"/>
        <w:jc w:val="right"/>
        <w:rPr>
          <w:noProof/>
          <w:color w:val="000000" w:themeColor="text1"/>
          <w:sz w:val="18"/>
          <w:szCs w:val="18"/>
          <w:lang w:val="sr-Cyrl-CS"/>
        </w:rPr>
      </w:pPr>
      <w:r w:rsidRPr="00480E31">
        <w:rPr>
          <w:noProof/>
          <w:color w:val="000000" w:themeColor="text1"/>
          <w:sz w:val="18"/>
          <w:szCs w:val="18"/>
          <w:lang w:val="sr-Cyrl-CS"/>
        </w:rPr>
        <w:t>У 000 РСД</w:t>
      </w:r>
    </w:p>
    <w:tbl>
      <w:tblPr>
        <w:tblW w:w="9300" w:type="dxa"/>
        <w:tblInd w:w="93" w:type="dxa"/>
        <w:tblLook w:val="04A0" w:firstRow="1" w:lastRow="0" w:firstColumn="1" w:lastColumn="0" w:noHBand="0" w:noVBand="1"/>
      </w:tblPr>
      <w:tblGrid>
        <w:gridCol w:w="1340"/>
        <w:gridCol w:w="5692"/>
        <w:gridCol w:w="1240"/>
        <w:gridCol w:w="1028"/>
      </w:tblGrid>
      <w:tr w:rsidR="00A31464" w:rsidRPr="00A31464" w:rsidTr="00A31464">
        <w:trPr>
          <w:trHeight w:val="690"/>
        </w:trPr>
        <w:tc>
          <w:tcPr>
            <w:tcW w:w="1154" w:type="dxa"/>
            <w:tcBorders>
              <w:top w:val="nil"/>
              <w:left w:val="nil"/>
              <w:bottom w:val="single" w:sz="8" w:space="0" w:color="4F81BD"/>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b/>
                <w:bCs/>
                <w:color w:val="000000"/>
                <w:sz w:val="18"/>
                <w:szCs w:val="18"/>
                <w:lang w:val="sr-Latn-RS" w:eastAsia="sr-Latn-RS"/>
              </w:rPr>
            </w:pPr>
            <w:r w:rsidRPr="00A31464">
              <w:rPr>
                <w:rFonts w:ascii="Verdana" w:eastAsia="Times New Roman" w:hAnsi="Verdana" w:cs="Times New Roman"/>
                <w:b/>
                <w:bCs/>
                <w:color w:val="000000"/>
                <w:sz w:val="18"/>
                <w:szCs w:val="18"/>
                <w:lang w:val="sr-Cyrl-CS" w:eastAsia="sr-Latn-RS"/>
              </w:rPr>
              <w:t>Врста осигурања</w:t>
            </w:r>
          </w:p>
        </w:tc>
        <w:tc>
          <w:tcPr>
            <w:tcW w:w="5692" w:type="dxa"/>
            <w:tcBorders>
              <w:top w:val="nil"/>
              <w:left w:val="nil"/>
              <w:bottom w:val="single" w:sz="8" w:space="0" w:color="4F81BD"/>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b/>
                <w:bCs/>
                <w:color w:val="000000"/>
                <w:sz w:val="18"/>
                <w:szCs w:val="18"/>
                <w:lang w:val="sr-Latn-RS" w:eastAsia="sr-Latn-RS"/>
              </w:rPr>
            </w:pPr>
            <w:r w:rsidRPr="00A31464">
              <w:rPr>
                <w:rFonts w:ascii="Verdana" w:eastAsia="Times New Roman" w:hAnsi="Verdana" w:cs="Times New Roman"/>
                <w:b/>
                <w:bCs/>
                <w:color w:val="000000"/>
                <w:sz w:val="18"/>
                <w:szCs w:val="18"/>
                <w:lang w:val="sr-Cyrl-CS" w:eastAsia="sr-Latn-RS"/>
              </w:rPr>
              <w:t>Врста осигурања</w:t>
            </w:r>
          </w:p>
        </w:tc>
        <w:tc>
          <w:tcPr>
            <w:tcW w:w="1240" w:type="dxa"/>
            <w:tcBorders>
              <w:top w:val="nil"/>
              <w:left w:val="nil"/>
              <w:bottom w:val="single" w:sz="8" w:space="0" w:color="4F81BD"/>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b/>
                <w:bCs/>
                <w:color w:val="000000"/>
                <w:sz w:val="18"/>
                <w:szCs w:val="18"/>
                <w:lang w:val="sr-Latn-RS" w:eastAsia="sr-Latn-RS"/>
              </w:rPr>
            </w:pPr>
            <w:r w:rsidRPr="00A31464">
              <w:rPr>
                <w:rFonts w:ascii="Verdana" w:eastAsia="Times New Roman" w:hAnsi="Verdana" w:cs="Times New Roman"/>
                <w:b/>
                <w:bCs/>
                <w:color w:val="000000"/>
                <w:sz w:val="18"/>
                <w:szCs w:val="18"/>
                <w:lang w:val="sr-Latn-RS" w:eastAsia="sr-Latn-RS"/>
              </w:rPr>
              <w:t>2015</w:t>
            </w:r>
          </w:p>
        </w:tc>
        <w:tc>
          <w:tcPr>
            <w:tcW w:w="1214" w:type="dxa"/>
            <w:tcBorders>
              <w:top w:val="nil"/>
              <w:left w:val="nil"/>
              <w:bottom w:val="single" w:sz="8" w:space="0" w:color="4F81BD"/>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b/>
                <w:bCs/>
                <w:color w:val="000000"/>
                <w:sz w:val="18"/>
                <w:szCs w:val="18"/>
                <w:lang w:val="sr-Latn-RS" w:eastAsia="sr-Latn-RS"/>
              </w:rPr>
            </w:pPr>
            <w:r w:rsidRPr="00A31464">
              <w:rPr>
                <w:rFonts w:ascii="Verdana" w:eastAsia="Times New Roman" w:hAnsi="Verdana" w:cs="Times New Roman"/>
                <w:b/>
                <w:bCs/>
                <w:color w:val="000000"/>
                <w:sz w:val="18"/>
                <w:szCs w:val="18"/>
                <w:lang w:val="sr-Latn-RS" w:eastAsia="sr-Latn-RS"/>
              </w:rPr>
              <w:t>2014</w:t>
            </w:r>
          </w:p>
        </w:tc>
      </w:tr>
      <w:tr w:rsidR="00A31464" w:rsidRPr="00A31464" w:rsidTr="00A31464">
        <w:trPr>
          <w:trHeight w:val="300"/>
        </w:trPr>
        <w:tc>
          <w:tcPr>
            <w:tcW w:w="1154" w:type="dxa"/>
            <w:tcBorders>
              <w:top w:val="nil"/>
              <w:left w:val="nil"/>
              <w:bottom w:val="nil"/>
              <w:right w:val="nil"/>
            </w:tcBorders>
            <w:shd w:val="clear" w:color="000000" w:fill="D3DFEE"/>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1</w:t>
            </w:r>
          </w:p>
        </w:tc>
        <w:tc>
          <w:tcPr>
            <w:tcW w:w="5692" w:type="dxa"/>
            <w:tcBorders>
              <w:top w:val="nil"/>
              <w:left w:val="nil"/>
              <w:bottom w:val="nil"/>
              <w:right w:val="nil"/>
            </w:tcBorders>
            <w:shd w:val="clear" w:color="000000" w:fill="D3DFEE"/>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Осигурање од последица незгоде</w:t>
            </w:r>
          </w:p>
        </w:tc>
        <w:tc>
          <w:tcPr>
            <w:tcW w:w="1240" w:type="dxa"/>
            <w:tcBorders>
              <w:top w:val="nil"/>
              <w:left w:val="nil"/>
              <w:bottom w:val="nil"/>
              <w:right w:val="nil"/>
            </w:tcBorders>
            <w:shd w:val="clear" w:color="000000" w:fill="D3DFEE"/>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228</w:t>
            </w:r>
          </w:p>
        </w:tc>
        <w:tc>
          <w:tcPr>
            <w:tcW w:w="1214" w:type="dxa"/>
            <w:tcBorders>
              <w:top w:val="nil"/>
              <w:left w:val="nil"/>
              <w:bottom w:val="nil"/>
              <w:right w:val="nil"/>
            </w:tcBorders>
            <w:shd w:val="clear" w:color="000000" w:fill="D3DFEE"/>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w:t>
            </w:r>
          </w:p>
        </w:tc>
      </w:tr>
      <w:tr w:rsidR="00A31464" w:rsidRPr="00A31464" w:rsidTr="00A31464">
        <w:trPr>
          <w:trHeight w:val="300"/>
        </w:trPr>
        <w:tc>
          <w:tcPr>
            <w:tcW w:w="1154"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2</w:t>
            </w:r>
          </w:p>
        </w:tc>
        <w:tc>
          <w:tcPr>
            <w:tcW w:w="5692"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Добровољно здравствено осигурање</w:t>
            </w:r>
          </w:p>
        </w:tc>
        <w:tc>
          <w:tcPr>
            <w:tcW w:w="1240"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121</w:t>
            </w:r>
          </w:p>
        </w:tc>
        <w:tc>
          <w:tcPr>
            <w:tcW w:w="1214" w:type="dxa"/>
            <w:tcBorders>
              <w:top w:val="nil"/>
              <w:left w:val="nil"/>
              <w:bottom w:val="nil"/>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w:t>
            </w:r>
          </w:p>
        </w:tc>
      </w:tr>
      <w:tr w:rsidR="00A31464" w:rsidRPr="00A31464" w:rsidTr="00A31464">
        <w:trPr>
          <w:trHeight w:val="300"/>
        </w:trPr>
        <w:tc>
          <w:tcPr>
            <w:tcW w:w="1154"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3</w:t>
            </w:r>
          </w:p>
        </w:tc>
        <w:tc>
          <w:tcPr>
            <w:tcW w:w="5692"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Oсигурање моторних возила</w:t>
            </w:r>
          </w:p>
        </w:tc>
        <w:tc>
          <w:tcPr>
            <w:tcW w:w="1240"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8.073</w:t>
            </w:r>
          </w:p>
        </w:tc>
        <w:tc>
          <w:tcPr>
            <w:tcW w:w="1214" w:type="dxa"/>
            <w:tcBorders>
              <w:top w:val="nil"/>
              <w:left w:val="nil"/>
              <w:bottom w:val="nil"/>
              <w:right w:val="nil"/>
            </w:tcBorders>
            <w:shd w:val="clear" w:color="000000" w:fill="DCE6F1"/>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7.491</w:t>
            </w:r>
          </w:p>
        </w:tc>
      </w:tr>
      <w:tr w:rsidR="00A31464" w:rsidRPr="00A31464" w:rsidTr="00A31464">
        <w:trPr>
          <w:trHeight w:val="315"/>
        </w:trPr>
        <w:tc>
          <w:tcPr>
            <w:tcW w:w="1154"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5</w:t>
            </w:r>
          </w:p>
        </w:tc>
        <w:tc>
          <w:tcPr>
            <w:tcW w:w="5692"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Oсигурање ваздухоплова</w:t>
            </w:r>
          </w:p>
        </w:tc>
        <w:tc>
          <w:tcPr>
            <w:tcW w:w="1240"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1.015</w:t>
            </w:r>
          </w:p>
        </w:tc>
        <w:tc>
          <w:tcPr>
            <w:tcW w:w="1214" w:type="dxa"/>
            <w:tcBorders>
              <w:top w:val="nil"/>
              <w:left w:val="nil"/>
              <w:bottom w:val="nil"/>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1.554</w:t>
            </w:r>
          </w:p>
        </w:tc>
      </w:tr>
      <w:tr w:rsidR="00A31464" w:rsidRPr="00A31464" w:rsidTr="00A31464">
        <w:trPr>
          <w:trHeight w:val="330"/>
        </w:trPr>
        <w:tc>
          <w:tcPr>
            <w:tcW w:w="1154"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6</w:t>
            </w:r>
          </w:p>
        </w:tc>
        <w:tc>
          <w:tcPr>
            <w:tcW w:w="5692"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Осигурање пловних објеката</w:t>
            </w:r>
          </w:p>
        </w:tc>
        <w:tc>
          <w:tcPr>
            <w:tcW w:w="1240"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695</w:t>
            </w:r>
          </w:p>
        </w:tc>
        <w:tc>
          <w:tcPr>
            <w:tcW w:w="1214" w:type="dxa"/>
            <w:tcBorders>
              <w:top w:val="nil"/>
              <w:left w:val="nil"/>
              <w:bottom w:val="nil"/>
              <w:right w:val="nil"/>
            </w:tcBorders>
            <w:shd w:val="clear" w:color="000000" w:fill="DCE6F1"/>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342</w:t>
            </w:r>
          </w:p>
        </w:tc>
      </w:tr>
      <w:tr w:rsidR="00A31464" w:rsidRPr="00A31464" w:rsidTr="00A31464">
        <w:trPr>
          <w:trHeight w:val="300"/>
        </w:trPr>
        <w:tc>
          <w:tcPr>
            <w:tcW w:w="1154"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7</w:t>
            </w:r>
          </w:p>
        </w:tc>
        <w:tc>
          <w:tcPr>
            <w:tcW w:w="5692"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Oсигурање робе у превозу</w:t>
            </w:r>
          </w:p>
        </w:tc>
        <w:tc>
          <w:tcPr>
            <w:tcW w:w="1240"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9</w:t>
            </w:r>
          </w:p>
        </w:tc>
        <w:tc>
          <w:tcPr>
            <w:tcW w:w="1214" w:type="dxa"/>
            <w:tcBorders>
              <w:top w:val="nil"/>
              <w:left w:val="nil"/>
              <w:bottom w:val="nil"/>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723</w:t>
            </w:r>
          </w:p>
        </w:tc>
      </w:tr>
      <w:tr w:rsidR="00A31464" w:rsidRPr="00A31464" w:rsidTr="00A31464">
        <w:trPr>
          <w:trHeight w:val="300"/>
        </w:trPr>
        <w:tc>
          <w:tcPr>
            <w:tcW w:w="1154"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8</w:t>
            </w:r>
          </w:p>
        </w:tc>
        <w:tc>
          <w:tcPr>
            <w:tcW w:w="5692"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Осигурање имовине од пожара и других опасности</w:t>
            </w:r>
          </w:p>
        </w:tc>
        <w:tc>
          <w:tcPr>
            <w:tcW w:w="1240"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646</w:t>
            </w:r>
          </w:p>
        </w:tc>
        <w:tc>
          <w:tcPr>
            <w:tcW w:w="1214" w:type="dxa"/>
            <w:tcBorders>
              <w:top w:val="nil"/>
              <w:left w:val="nil"/>
              <w:bottom w:val="nil"/>
              <w:right w:val="nil"/>
            </w:tcBorders>
            <w:shd w:val="clear" w:color="000000" w:fill="DCE6F1"/>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380</w:t>
            </w:r>
          </w:p>
        </w:tc>
      </w:tr>
      <w:tr w:rsidR="00A31464" w:rsidRPr="00A31464" w:rsidTr="00A31464">
        <w:trPr>
          <w:trHeight w:val="300"/>
        </w:trPr>
        <w:tc>
          <w:tcPr>
            <w:tcW w:w="1154"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9</w:t>
            </w:r>
          </w:p>
        </w:tc>
        <w:tc>
          <w:tcPr>
            <w:tcW w:w="5692"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Oстала осигурања имовине</w:t>
            </w:r>
          </w:p>
        </w:tc>
        <w:tc>
          <w:tcPr>
            <w:tcW w:w="1240"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867</w:t>
            </w:r>
          </w:p>
        </w:tc>
        <w:tc>
          <w:tcPr>
            <w:tcW w:w="1214" w:type="dxa"/>
            <w:tcBorders>
              <w:top w:val="nil"/>
              <w:left w:val="nil"/>
              <w:bottom w:val="nil"/>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682</w:t>
            </w:r>
          </w:p>
        </w:tc>
      </w:tr>
      <w:tr w:rsidR="00A31464" w:rsidRPr="00A31464" w:rsidTr="00A31464">
        <w:trPr>
          <w:trHeight w:val="315"/>
        </w:trPr>
        <w:tc>
          <w:tcPr>
            <w:tcW w:w="1154"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10</w:t>
            </w:r>
          </w:p>
        </w:tc>
        <w:tc>
          <w:tcPr>
            <w:tcW w:w="5692"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Oсигурање од одговорности због употребе м.в</w:t>
            </w:r>
          </w:p>
        </w:tc>
        <w:tc>
          <w:tcPr>
            <w:tcW w:w="1240"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1.075</w:t>
            </w:r>
          </w:p>
        </w:tc>
        <w:tc>
          <w:tcPr>
            <w:tcW w:w="1214" w:type="dxa"/>
            <w:tcBorders>
              <w:top w:val="nil"/>
              <w:left w:val="nil"/>
              <w:bottom w:val="nil"/>
              <w:right w:val="nil"/>
            </w:tcBorders>
            <w:shd w:val="clear" w:color="000000" w:fill="DCE6F1"/>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828</w:t>
            </w:r>
          </w:p>
        </w:tc>
      </w:tr>
      <w:tr w:rsidR="00A31464" w:rsidRPr="00A31464" w:rsidTr="00A31464">
        <w:trPr>
          <w:trHeight w:val="300"/>
        </w:trPr>
        <w:tc>
          <w:tcPr>
            <w:tcW w:w="1154"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11</w:t>
            </w:r>
          </w:p>
        </w:tc>
        <w:tc>
          <w:tcPr>
            <w:tcW w:w="5692"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Oсигурање од одговорности због употребе ваздухоплова</w:t>
            </w:r>
          </w:p>
        </w:tc>
        <w:tc>
          <w:tcPr>
            <w:tcW w:w="1240"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164</w:t>
            </w:r>
          </w:p>
        </w:tc>
        <w:tc>
          <w:tcPr>
            <w:tcW w:w="1214" w:type="dxa"/>
            <w:tcBorders>
              <w:top w:val="nil"/>
              <w:left w:val="nil"/>
              <w:bottom w:val="nil"/>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35</w:t>
            </w:r>
          </w:p>
        </w:tc>
      </w:tr>
      <w:tr w:rsidR="00A31464" w:rsidRPr="00A31464" w:rsidTr="00A31464">
        <w:trPr>
          <w:trHeight w:val="300"/>
        </w:trPr>
        <w:tc>
          <w:tcPr>
            <w:tcW w:w="1154"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12</w:t>
            </w:r>
          </w:p>
        </w:tc>
        <w:tc>
          <w:tcPr>
            <w:tcW w:w="5692"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Oсигурање од одгов. због употребе пловних објеката</w:t>
            </w:r>
          </w:p>
        </w:tc>
        <w:tc>
          <w:tcPr>
            <w:tcW w:w="1240"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223</w:t>
            </w:r>
          </w:p>
        </w:tc>
        <w:tc>
          <w:tcPr>
            <w:tcW w:w="1214" w:type="dxa"/>
            <w:tcBorders>
              <w:top w:val="nil"/>
              <w:left w:val="nil"/>
              <w:bottom w:val="nil"/>
              <w:right w:val="nil"/>
            </w:tcBorders>
            <w:shd w:val="clear" w:color="000000" w:fill="DCE6F1"/>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47</w:t>
            </w:r>
          </w:p>
        </w:tc>
      </w:tr>
      <w:tr w:rsidR="00A31464" w:rsidRPr="00A31464" w:rsidTr="00A31464">
        <w:trPr>
          <w:trHeight w:val="330"/>
        </w:trPr>
        <w:tc>
          <w:tcPr>
            <w:tcW w:w="1154"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13</w:t>
            </w:r>
          </w:p>
        </w:tc>
        <w:tc>
          <w:tcPr>
            <w:tcW w:w="5692"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Oсигурање од опште одговорности</w:t>
            </w:r>
          </w:p>
        </w:tc>
        <w:tc>
          <w:tcPr>
            <w:tcW w:w="1240" w:type="dxa"/>
            <w:tcBorders>
              <w:top w:val="nil"/>
              <w:left w:val="nil"/>
              <w:bottom w:val="nil"/>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2.829</w:t>
            </w:r>
          </w:p>
        </w:tc>
        <w:tc>
          <w:tcPr>
            <w:tcW w:w="1214" w:type="dxa"/>
            <w:tcBorders>
              <w:top w:val="nil"/>
              <w:left w:val="nil"/>
              <w:bottom w:val="nil"/>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1.516</w:t>
            </w:r>
          </w:p>
        </w:tc>
      </w:tr>
      <w:tr w:rsidR="00A31464" w:rsidRPr="00A31464" w:rsidTr="00A31464">
        <w:trPr>
          <w:trHeight w:val="330"/>
        </w:trPr>
        <w:tc>
          <w:tcPr>
            <w:tcW w:w="1154"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14</w:t>
            </w:r>
          </w:p>
        </w:tc>
        <w:tc>
          <w:tcPr>
            <w:tcW w:w="5692"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Осигурање кредита</w:t>
            </w:r>
          </w:p>
        </w:tc>
        <w:tc>
          <w:tcPr>
            <w:tcW w:w="1240"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756</w:t>
            </w:r>
          </w:p>
        </w:tc>
        <w:tc>
          <w:tcPr>
            <w:tcW w:w="1214" w:type="dxa"/>
            <w:tcBorders>
              <w:top w:val="nil"/>
              <w:left w:val="nil"/>
              <w:bottom w:val="nil"/>
              <w:right w:val="nil"/>
            </w:tcBorders>
            <w:shd w:val="clear" w:color="000000" w:fill="DCE6F1"/>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w:t>
            </w:r>
          </w:p>
        </w:tc>
      </w:tr>
      <w:tr w:rsidR="00A31464" w:rsidRPr="00A31464" w:rsidTr="00A31464">
        <w:trPr>
          <w:trHeight w:val="315"/>
        </w:trPr>
        <w:tc>
          <w:tcPr>
            <w:tcW w:w="1154"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16</w:t>
            </w:r>
          </w:p>
        </w:tc>
        <w:tc>
          <w:tcPr>
            <w:tcW w:w="5692"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Cyrl-CS" w:eastAsia="sr-Latn-RS"/>
              </w:rPr>
              <w:t>Oсигурање финансијских губитака</w:t>
            </w:r>
          </w:p>
        </w:tc>
        <w:tc>
          <w:tcPr>
            <w:tcW w:w="1240" w:type="dxa"/>
            <w:tcBorders>
              <w:top w:val="nil"/>
              <w:left w:val="nil"/>
              <w:bottom w:val="nil"/>
              <w:right w:val="nil"/>
            </w:tcBorders>
            <w:shd w:val="clear" w:color="000000" w:fill="DCE6F1"/>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78</w:t>
            </w:r>
          </w:p>
        </w:tc>
        <w:tc>
          <w:tcPr>
            <w:tcW w:w="1214" w:type="dxa"/>
            <w:tcBorders>
              <w:top w:val="nil"/>
              <w:left w:val="nil"/>
              <w:bottom w:val="nil"/>
              <w:right w:val="nil"/>
            </w:tcBorders>
            <w:shd w:val="clear" w:color="000000" w:fill="DCE6F1"/>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r w:rsidRPr="00A31464">
              <w:rPr>
                <w:rFonts w:ascii="Verdana" w:eastAsia="Times New Roman" w:hAnsi="Verdana" w:cs="Times New Roman"/>
                <w:color w:val="000000"/>
                <w:sz w:val="18"/>
                <w:szCs w:val="18"/>
                <w:lang w:val="sr-Latn-RS" w:eastAsia="sr-Latn-RS"/>
              </w:rPr>
              <w:t>66</w:t>
            </w:r>
          </w:p>
        </w:tc>
      </w:tr>
      <w:tr w:rsidR="00A31464" w:rsidRPr="00A31464" w:rsidTr="00A31464">
        <w:trPr>
          <w:trHeight w:val="315"/>
        </w:trPr>
        <w:tc>
          <w:tcPr>
            <w:tcW w:w="1154" w:type="dxa"/>
            <w:tcBorders>
              <w:top w:val="single" w:sz="8" w:space="0" w:color="4F81BD"/>
              <w:left w:val="nil"/>
              <w:bottom w:val="single" w:sz="8" w:space="0" w:color="4F81BD"/>
              <w:right w:val="nil"/>
            </w:tcBorders>
            <w:shd w:val="clear" w:color="auto" w:fill="auto"/>
            <w:noWrap/>
            <w:vAlign w:val="center"/>
            <w:hideMark/>
          </w:tcPr>
          <w:p w:rsidR="00A31464" w:rsidRPr="00A31464" w:rsidRDefault="00A31464" w:rsidP="00A31464">
            <w:pPr>
              <w:spacing w:after="0" w:line="240" w:lineRule="auto"/>
              <w:jc w:val="center"/>
              <w:rPr>
                <w:rFonts w:ascii="Verdana" w:eastAsia="Times New Roman" w:hAnsi="Verdana" w:cs="Times New Roman"/>
                <w:color w:val="000000"/>
                <w:sz w:val="18"/>
                <w:szCs w:val="18"/>
                <w:lang w:val="sr-Latn-RS" w:eastAsia="sr-Latn-RS"/>
              </w:rPr>
            </w:pPr>
          </w:p>
        </w:tc>
        <w:tc>
          <w:tcPr>
            <w:tcW w:w="5692" w:type="dxa"/>
            <w:tcBorders>
              <w:top w:val="single" w:sz="8" w:space="0" w:color="4F81BD"/>
              <w:left w:val="nil"/>
              <w:bottom w:val="single" w:sz="8" w:space="0" w:color="4F81BD"/>
              <w:right w:val="nil"/>
            </w:tcBorders>
            <w:shd w:val="clear" w:color="auto" w:fill="auto"/>
            <w:vAlign w:val="center"/>
            <w:hideMark/>
          </w:tcPr>
          <w:p w:rsidR="00A31464" w:rsidRPr="00A31464" w:rsidRDefault="00A31464" w:rsidP="00A31464">
            <w:pPr>
              <w:spacing w:after="0" w:line="240" w:lineRule="auto"/>
              <w:rPr>
                <w:rFonts w:ascii="Verdana" w:eastAsia="Times New Roman" w:hAnsi="Verdana" w:cs="Times New Roman"/>
                <w:b/>
                <w:bCs/>
                <w:color w:val="000000"/>
                <w:sz w:val="18"/>
                <w:szCs w:val="18"/>
                <w:lang w:val="sr-Latn-RS" w:eastAsia="sr-Latn-RS"/>
              </w:rPr>
            </w:pPr>
            <w:r w:rsidRPr="00A31464">
              <w:rPr>
                <w:rFonts w:ascii="Verdana" w:eastAsia="Times New Roman" w:hAnsi="Verdana" w:cs="Times New Roman"/>
                <w:b/>
                <w:bCs/>
                <w:color w:val="000000"/>
                <w:sz w:val="18"/>
                <w:szCs w:val="18"/>
                <w:lang w:val="sr-Cyrl-CS" w:eastAsia="sr-Latn-RS"/>
              </w:rPr>
              <w:t>Свега:</w:t>
            </w:r>
          </w:p>
        </w:tc>
        <w:tc>
          <w:tcPr>
            <w:tcW w:w="1240" w:type="dxa"/>
            <w:tcBorders>
              <w:top w:val="single" w:sz="8" w:space="0" w:color="4F81BD"/>
              <w:left w:val="nil"/>
              <w:bottom w:val="single" w:sz="8" w:space="0" w:color="4F81BD"/>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b/>
                <w:bCs/>
                <w:color w:val="000000"/>
                <w:sz w:val="18"/>
                <w:szCs w:val="18"/>
                <w:lang w:val="sr-Latn-RS" w:eastAsia="sr-Latn-RS"/>
              </w:rPr>
            </w:pPr>
            <w:r w:rsidRPr="00A31464">
              <w:rPr>
                <w:rFonts w:ascii="Verdana" w:eastAsia="Times New Roman" w:hAnsi="Verdana" w:cs="Times New Roman"/>
                <w:b/>
                <w:bCs/>
                <w:color w:val="000000"/>
                <w:sz w:val="18"/>
                <w:szCs w:val="18"/>
                <w:lang w:val="sr-Latn-RS" w:eastAsia="sr-Latn-RS"/>
              </w:rPr>
              <w:t>16.779</w:t>
            </w:r>
          </w:p>
        </w:tc>
        <w:tc>
          <w:tcPr>
            <w:tcW w:w="1214" w:type="dxa"/>
            <w:tcBorders>
              <w:top w:val="single" w:sz="8" w:space="0" w:color="4F81BD"/>
              <w:left w:val="nil"/>
              <w:bottom w:val="single" w:sz="8" w:space="0" w:color="4F81BD"/>
              <w:right w:val="nil"/>
            </w:tcBorders>
            <w:shd w:val="clear" w:color="auto" w:fill="auto"/>
            <w:vAlign w:val="center"/>
            <w:hideMark/>
          </w:tcPr>
          <w:p w:rsidR="00A31464" w:rsidRPr="00A31464" w:rsidRDefault="00A31464" w:rsidP="00A31464">
            <w:pPr>
              <w:spacing w:after="0" w:line="240" w:lineRule="auto"/>
              <w:jc w:val="center"/>
              <w:rPr>
                <w:rFonts w:ascii="Verdana" w:eastAsia="Times New Roman" w:hAnsi="Verdana" w:cs="Times New Roman"/>
                <w:b/>
                <w:bCs/>
                <w:color w:val="000000"/>
                <w:sz w:val="18"/>
                <w:szCs w:val="18"/>
                <w:lang w:val="sr-Latn-RS" w:eastAsia="sr-Latn-RS"/>
              </w:rPr>
            </w:pPr>
            <w:r w:rsidRPr="00A31464">
              <w:rPr>
                <w:rFonts w:ascii="Verdana" w:eastAsia="Times New Roman" w:hAnsi="Verdana" w:cs="Times New Roman"/>
                <w:b/>
                <w:bCs/>
                <w:color w:val="000000"/>
                <w:sz w:val="18"/>
                <w:szCs w:val="18"/>
                <w:lang w:val="sr-Latn-RS" w:eastAsia="sr-Latn-RS"/>
              </w:rPr>
              <w:t>13.664</w:t>
            </w:r>
          </w:p>
        </w:tc>
      </w:tr>
    </w:tbl>
    <w:p w:rsidR="00A31464" w:rsidRPr="00A31464" w:rsidRDefault="00A31464" w:rsidP="002E60C4">
      <w:pPr>
        <w:spacing w:after="0"/>
        <w:jc w:val="right"/>
        <w:rPr>
          <w:noProof/>
          <w:color w:val="FF0000"/>
          <w:sz w:val="20"/>
          <w:szCs w:val="20"/>
          <w:lang w:val="sr-Cyrl-CS"/>
        </w:rPr>
      </w:pPr>
    </w:p>
    <w:p w:rsidR="00B74825" w:rsidRPr="00BF3CDE" w:rsidRDefault="00B74825" w:rsidP="00975486">
      <w:pPr>
        <w:spacing w:after="0"/>
        <w:jc w:val="right"/>
        <w:rPr>
          <w:noProof/>
          <w:sz w:val="10"/>
          <w:szCs w:val="10"/>
          <w:lang w:val="sr-Cyrl-CS"/>
        </w:rPr>
      </w:pPr>
    </w:p>
    <w:p w:rsidR="00855153" w:rsidRDefault="00855153" w:rsidP="003D22A0">
      <w:pPr>
        <w:spacing w:after="120"/>
        <w:rPr>
          <w:rFonts w:asciiTheme="majorHAnsi" w:eastAsia="Times New Roman" w:hAnsiTheme="majorHAnsi" w:cs="Tahoma"/>
          <w:b/>
          <w:bCs/>
          <w:i/>
          <w:noProof/>
          <w:color w:val="4F81BD"/>
          <w:sz w:val="20"/>
          <w:szCs w:val="18"/>
          <w:lang w:val="sr-Cyrl-CS" w:eastAsia="ar-SA"/>
        </w:rPr>
      </w:pPr>
      <w:r w:rsidRPr="00BF3CDE">
        <w:rPr>
          <w:rFonts w:asciiTheme="majorHAnsi" w:eastAsia="Times New Roman" w:hAnsiTheme="majorHAnsi" w:cs="Tahoma"/>
          <w:b/>
          <w:bCs/>
          <w:i/>
          <w:noProof/>
          <w:color w:val="4F81BD"/>
          <w:sz w:val="20"/>
          <w:szCs w:val="18"/>
          <w:lang w:val="sr-Cyrl-CS" w:eastAsia="ar-SA"/>
        </w:rPr>
        <w:t>Резервисане штете</w:t>
      </w:r>
    </w:p>
    <w:p w:rsidR="00CE7015" w:rsidRPr="00BF3CDE" w:rsidRDefault="00CE7015" w:rsidP="003D22A0">
      <w:pPr>
        <w:spacing w:after="120"/>
        <w:rPr>
          <w:rFonts w:asciiTheme="majorHAnsi" w:eastAsia="Times New Roman" w:hAnsiTheme="majorHAnsi" w:cs="Tahoma"/>
          <w:b/>
          <w:bCs/>
          <w:i/>
          <w:noProof/>
          <w:color w:val="4F81BD"/>
          <w:sz w:val="20"/>
          <w:szCs w:val="18"/>
          <w:lang w:val="sr-Cyrl-CS" w:eastAsia="ar-SA"/>
        </w:rPr>
      </w:pPr>
    </w:p>
    <w:p w:rsidR="00855153" w:rsidRPr="00410DD2" w:rsidRDefault="009466F8" w:rsidP="002E60C4">
      <w:pPr>
        <w:spacing w:after="0"/>
        <w:ind w:firstLine="567"/>
        <w:jc w:val="both"/>
        <w:rPr>
          <w:noProof/>
          <w:sz w:val="20"/>
          <w:szCs w:val="20"/>
          <w:lang w:val="sr-Cyrl-CS"/>
        </w:rPr>
      </w:pPr>
      <w:r w:rsidRPr="00410DD2">
        <w:rPr>
          <w:noProof/>
          <w:sz w:val="20"/>
          <w:szCs w:val="20"/>
          <w:lang w:val="sr-Cyrl-CS"/>
        </w:rPr>
        <w:t>Р</w:t>
      </w:r>
      <w:r w:rsidR="00855153" w:rsidRPr="00410DD2">
        <w:rPr>
          <w:noProof/>
          <w:sz w:val="20"/>
          <w:szCs w:val="20"/>
          <w:lang w:val="sr-Cyrl-CS"/>
        </w:rPr>
        <w:t>езервисане штете у самопридржају Друштва на дан 31.12.201</w:t>
      </w:r>
      <w:r w:rsidR="004F2EC6" w:rsidRPr="00410DD2">
        <w:rPr>
          <w:noProof/>
          <w:sz w:val="20"/>
          <w:szCs w:val="20"/>
          <w:lang w:val="sr-Cyrl-CS"/>
        </w:rPr>
        <w:t>5</w:t>
      </w:r>
      <w:r w:rsidR="00855153" w:rsidRPr="00410DD2">
        <w:rPr>
          <w:noProof/>
          <w:sz w:val="20"/>
          <w:szCs w:val="20"/>
          <w:lang w:val="sr-Cyrl-CS"/>
        </w:rPr>
        <w:t xml:space="preserve">. године износе </w:t>
      </w:r>
      <w:r w:rsidR="004F2EC6" w:rsidRPr="00410DD2">
        <w:rPr>
          <w:noProof/>
          <w:sz w:val="20"/>
          <w:szCs w:val="20"/>
          <w:lang w:val="sr-Cyrl-CS"/>
        </w:rPr>
        <w:t>451.462</w:t>
      </w:r>
      <w:r w:rsidR="002E60C4" w:rsidRPr="00410DD2">
        <w:rPr>
          <w:noProof/>
          <w:sz w:val="20"/>
          <w:szCs w:val="20"/>
          <w:lang w:val="sr-Cyrl-CS"/>
        </w:rPr>
        <w:t xml:space="preserve"> </w:t>
      </w:r>
      <w:r w:rsidR="00855153" w:rsidRPr="00410DD2">
        <w:rPr>
          <w:noProof/>
          <w:sz w:val="20"/>
          <w:szCs w:val="20"/>
          <w:lang w:val="sr-Cyrl-CS"/>
        </w:rPr>
        <w:t xml:space="preserve">хиљада динара и </w:t>
      </w:r>
      <w:r w:rsidR="004F2EC6" w:rsidRPr="00410DD2">
        <w:rPr>
          <w:noProof/>
          <w:sz w:val="20"/>
          <w:szCs w:val="20"/>
          <w:lang w:val="sr-Cyrl-CS"/>
        </w:rPr>
        <w:t>мање</w:t>
      </w:r>
      <w:r w:rsidR="00855153" w:rsidRPr="00410DD2">
        <w:rPr>
          <w:noProof/>
          <w:sz w:val="20"/>
          <w:szCs w:val="20"/>
          <w:lang w:val="sr-Cyrl-CS"/>
        </w:rPr>
        <w:t xml:space="preserve"> су од износа резервисаних штета у самопридржају </w:t>
      </w:r>
      <w:r w:rsidR="00037B93" w:rsidRPr="00410DD2">
        <w:rPr>
          <w:noProof/>
          <w:sz w:val="20"/>
          <w:szCs w:val="20"/>
          <w:lang w:val="sr-Cyrl-CS"/>
        </w:rPr>
        <w:t>претходне године</w:t>
      </w:r>
      <w:r w:rsidR="00855153" w:rsidRPr="00410DD2">
        <w:rPr>
          <w:noProof/>
          <w:sz w:val="20"/>
          <w:szCs w:val="20"/>
          <w:lang w:val="sr-Cyrl-CS"/>
        </w:rPr>
        <w:t xml:space="preserve"> за </w:t>
      </w:r>
      <w:r w:rsidR="004F2EC6" w:rsidRPr="00410DD2">
        <w:rPr>
          <w:noProof/>
          <w:sz w:val="20"/>
          <w:szCs w:val="20"/>
          <w:lang w:val="sr-Cyrl-CS"/>
        </w:rPr>
        <w:t>20,53</w:t>
      </w:r>
      <w:r w:rsidR="00855153" w:rsidRPr="00410DD2">
        <w:rPr>
          <w:noProof/>
          <w:sz w:val="20"/>
          <w:szCs w:val="20"/>
          <w:lang w:val="sr-Cyrl-CS"/>
        </w:rPr>
        <w:t>%</w:t>
      </w:r>
      <w:r w:rsidR="00B74825" w:rsidRPr="00410DD2">
        <w:rPr>
          <w:noProof/>
          <w:sz w:val="20"/>
          <w:szCs w:val="20"/>
          <w:lang w:val="sr-Cyrl-CS"/>
        </w:rPr>
        <w:t>.</w:t>
      </w:r>
    </w:p>
    <w:p w:rsidR="00975486" w:rsidRPr="00BF3CDE" w:rsidRDefault="00975486" w:rsidP="00460ED3">
      <w:pPr>
        <w:spacing w:after="0"/>
        <w:jc w:val="center"/>
        <w:rPr>
          <w:rFonts w:asciiTheme="majorHAnsi" w:eastAsiaTheme="majorEastAsia" w:hAnsiTheme="majorHAnsi" w:cstheme="majorBidi"/>
          <w:b/>
          <w:i/>
          <w:iCs/>
          <w:caps/>
          <w:noProof/>
          <w:color w:val="9BBB59" w:themeColor="accent3"/>
          <w:sz w:val="6"/>
          <w:szCs w:val="6"/>
          <w:highlight w:val="yellow"/>
          <w:lang w:val="sr-Cyrl-CS"/>
        </w:rPr>
      </w:pPr>
    </w:p>
    <w:p w:rsidR="00CE7015" w:rsidRDefault="00CE7015" w:rsidP="00460ED3">
      <w:pPr>
        <w:spacing w:after="0"/>
        <w:jc w:val="center"/>
        <w:rPr>
          <w:rFonts w:eastAsiaTheme="minorEastAsia"/>
          <w:b/>
          <w:i/>
          <w:noProof/>
          <w:color w:val="000000" w:themeColor="text1"/>
          <w:sz w:val="20"/>
          <w:lang w:val="sr-Cyrl-CS" w:eastAsia="ja-JP"/>
        </w:rPr>
      </w:pPr>
    </w:p>
    <w:p w:rsidR="00CE7015" w:rsidRDefault="00CE7015" w:rsidP="00460ED3">
      <w:pPr>
        <w:spacing w:after="0"/>
        <w:jc w:val="center"/>
        <w:rPr>
          <w:rFonts w:eastAsiaTheme="minorEastAsia"/>
          <w:b/>
          <w:i/>
          <w:noProof/>
          <w:color w:val="000000" w:themeColor="text1"/>
          <w:sz w:val="20"/>
          <w:lang w:val="sr-Cyrl-CS" w:eastAsia="ja-JP"/>
        </w:rPr>
      </w:pPr>
    </w:p>
    <w:p w:rsidR="00CE7015" w:rsidRDefault="00CE7015" w:rsidP="00460ED3">
      <w:pPr>
        <w:spacing w:after="0"/>
        <w:jc w:val="center"/>
        <w:rPr>
          <w:rFonts w:eastAsiaTheme="minorEastAsia"/>
          <w:b/>
          <w:i/>
          <w:noProof/>
          <w:color w:val="000000" w:themeColor="text1"/>
          <w:sz w:val="20"/>
          <w:lang w:val="sr-Cyrl-CS" w:eastAsia="ja-JP"/>
        </w:rPr>
      </w:pPr>
    </w:p>
    <w:p w:rsidR="00CE7015" w:rsidRDefault="00CE7015" w:rsidP="00460ED3">
      <w:pPr>
        <w:spacing w:after="0"/>
        <w:jc w:val="center"/>
        <w:rPr>
          <w:rFonts w:eastAsiaTheme="minorEastAsia"/>
          <w:b/>
          <w:i/>
          <w:noProof/>
          <w:color w:val="000000" w:themeColor="text1"/>
          <w:sz w:val="20"/>
          <w:lang w:val="sr-Cyrl-CS" w:eastAsia="ja-JP"/>
        </w:rPr>
      </w:pPr>
    </w:p>
    <w:p w:rsidR="00460ED3" w:rsidRPr="004F2EC6" w:rsidRDefault="00855153" w:rsidP="00460ED3">
      <w:pPr>
        <w:spacing w:after="0"/>
        <w:jc w:val="center"/>
        <w:rPr>
          <w:rFonts w:eastAsiaTheme="minorEastAsia"/>
          <w:b/>
          <w:i/>
          <w:noProof/>
          <w:color w:val="000000" w:themeColor="text1"/>
          <w:sz w:val="20"/>
          <w:lang w:val="sr-Cyrl-CS" w:eastAsia="ja-JP"/>
        </w:rPr>
      </w:pPr>
      <w:r w:rsidRPr="004F2EC6">
        <w:rPr>
          <w:rFonts w:eastAsiaTheme="minorEastAsia"/>
          <w:b/>
          <w:i/>
          <w:noProof/>
          <w:color w:val="000000" w:themeColor="text1"/>
          <w:sz w:val="20"/>
          <w:lang w:val="sr-Cyrl-CS" w:eastAsia="ja-JP"/>
        </w:rPr>
        <w:t>Структура резервисаних штета на дан 31.12.201</w:t>
      </w:r>
      <w:r w:rsidR="004F2EC6">
        <w:rPr>
          <w:rFonts w:eastAsiaTheme="minorEastAsia"/>
          <w:b/>
          <w:i/>
          <w:noProof/>
          <w:color w:val="000000" w:themeColor="text1"/>
          <w:sz w:val="20"/>
          <w:lang w:val="sr-Cyrl-CS" w:eastAsia="ja-JP"/>
        </w:rPr>
        <w:t>5</w:t>
      </w:r>
      <w:r w:rsidRPr="004F2EC6">
        <w:rPr>
          <w:rFonts w:eastAsiaTheme="minorEastAsia"/>
          <w:b/>
          <w:i/>
          <w:noProof/>
          <w:color w:val="000000" w:themeColor="text1"/>
          <w:sz w:val="20"/>
          <w:lang w:val="sr-Cyrl-CS" w:eastAsia="ja-JP"/>
        </w:rPr>
        <w:t>. године</w:t>
      </w:r>
    </w:p>
    <w:p w:rsidR="00975486" w:rsidRPr="004F2EC6" w:rsidRDefault="00975486" w:rsidP="00975486">
      <w:pPr>
        <w:spacing w:after="0"/>
        <w:jc w:val="right"/>
        <w:rPr>
          <w:noProof/>
          <w:color w:val="000000" w:themeColor="text1"/>
          <w:sz w:val="20"/>
          <w:szCs w:val="20"/>
          <w:lang w:val="sr-Cyrl-CS"/>
        </w:rPr>
      </w:pPr>
      <w:r w:rsidRPr="004F2EC6">
        <w:rPr>
          <w:noProof/>
          <w:color w:val="000000" w:themeColor="text1"/>
          <w:sz w:val="20"/>
          <w:szCs w:val="20"/>
          <w:lang w:val="sr-Cyrl-CS"/>
        </w:rPr>
        <w:t>У 000 РСД</w:t>
      </w:r>
    </w:p>
    <w:tbl>
      <w:tblPr>
        <w:tblW w:w="9215" w:type="dxa"/>
        <w:tblInd w:w="93" w:type="dxa"/>
        <w:tblLook w:val="04A0" w:firstRow="1" w:lastRow="0" w:firstColumn="1" w:lastColumn="0" w:noHBand="0" w:noVBand="1"/>
      </w:tblPr>
      <w:tblGrid>
        <w:gridCol w:w="5267"/>
        <w:gridCol w:w="1974"/>
        <w:gridCol w:w="1974"/>
      </w:tblGrid>
      <w:tr w:rsidR="004F2EC6" w:rsidRPr="004F2EC6" w:rsidTr="004F2EC6">
        <w:trPr>
          <w:trHeight w:val="271"/>
        </w:trPr>
        <w:tc>
          <w:tcPr>
            <w:tcW w:w="5267" w:type="dxa"/>
            <w:vMerge w:val="restart"/>
            <w:tcBorders>
              <w:top w:val="nil"/>
              <w:left w:val="nil"/>
              <w:bottom w:val="single" w:sz="8" w:space="0" w:color="4F81BD"/>
              <w:right w:val="nil"/>
            </w:tcBorders>
            <w:shd w:val="clear" w:color="auto" w:fill="auto"/>
            <w:noWrap/>
            <w:vAlign w:val="center"/>
            <w:hideMark/>
          </w:tcPr>
          <w:p w:rsidR="004F2EC6" w:rsidRPr="004F2EC6" w:rsidRDefault="004F2EC6" w:rsidP="007066DD">
            <w:pPr>
              <w:spacing w:after="0" w:line="240" w:lineRule="auto"/>
              <w:jc w:val="center"/>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Врста осигурања</w:t>
            </w:r>
          </w:p>
        </w:tc>
        <w:tc>
          <w:tcPr>
            <w:tcW w:w="3948" w:type="dxa"/>
            <w:gridSpan w:val="2"/>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Рез. штете у самопридржају</w:t>
            </w:r>
          </w:p>
        </w:tc>
      </w:tr>
      <w:tr w:rsidR="004F2EC6" w:rsidRPr="004F2EC6" w:rsidTr="004F2EC6">
        <w:trPr>
          <w:trHeight w:val="271"/>
        </w:trPr>
        <w:tc>
          <w:tcPr>
            <w:tcW w:w="5267" w:type="dxa"/>
            <w:vMerge/>
            <w:tcBorders>
              <w:top w:val="nil"/>
              <w:left w:val="nil"/>
              <w:bottom w:val="single" w:sz="8" w:space="0" w:color="4F81BD"/>
              <w:right w:val="nil"/>
            </w:tcBorders>
            <w:vAlign w:val="center"/>
            <w:hideMark/>
          </w:tcPr>
          <w:p w:rsidR="004F2EC6" w:rsidRPr="004F2EC6" w:rsidRDefault="004F2EC6" w:rsidP="007066DD">
            <w:pPr>
              <w:spacing w:after="0" w:line="240" w:lineRule="auto"/>
              <w:rPr>
                <w:rFonts w:ascii="Verdana" w:eastAsia="Times New Roman" w:hAnsi="Verdana" w:cs="Times New Roman"/>
                <w:b/>
                <w:bCs/>
                <w:color w:val="000000"/>
                <w:sz w:val="18"/>
                <w:szCs w:val="18"/>
                <w:lang w:val="sr-Latn-RS" w:eastAsia="sr-Latn-RS"/>
              </w:rPr>
            </w:pPr>
          </w:p>
        </w:tc>
        <w:tc>
          <w:tcPr>
            <w:tcW w:w="1974" w:type="dxa"/>
            <w:tcBorders>
              <w:top w:val="nil"/>
              <w:left w:val="nil"/>
              <w:bottom w:val="single" w:sz="8" w:space="0" w:color="4F81BD"/>
              <w:right w:val="nil"/>
            </w:tcBorders>
            <w:shd w:val="clear" w:color="auto" w:fill="auto"/>
            <w:noWrap/>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Latn-RS" w:eastAsia="sr-Latn-RS"/>
              </w:rPr>
              <w:t>2015</w:t>
            </w:r>
          </w:p>
        </w:tc>
        <w:tc>
          <w:tcPr>
            <w:tcW w:w="1974" w:type="dxa"/>
            <w:tcBorders>
              <w:top w:val="nil"/>
              <w:left w:val="nil"/>
              <w:bottom w:val="single" w:sz="8" w:space="0" w:color="4F81BD"/>
              <w:right w:val="nil"/>
            </w:tcBorders>
            <w:shd w:val="clear" w:color="auto" w:fill="auto"/>
            <w:noWrap/>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Latn-RS" w:eastAsia="sr-Latn-RS"/>
              </w:rPr>
              <w:t>2014</w:t>
            </w:r>
          </w:p>
        </w:tc>
      </w:tr>
      <w:tr w:rsidR="004F2EC6" w:rsidRPr="004F2EC6" w:rsidTr="007066DD">
        <w:trPr>
          <w:trHeight w:val="110"/>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01 Осигурање од последица незгоде</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18.350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33.495      </w:t>
            </w:r>
          </w:p>
        </w:tc>
      </w:tr>
      <w:tr w:rsidR="004F2EC6" w:rsidRPr="004F2EC6" w:rsidTr="007066DD">
        <w:trPr>
          <w:trHeight w:val="70"/>
        </w:trPr>
        <w:tc>
          <w:tcPr>
            <w:tcW w:w="5267" w:type="dxa"/>
            <w:tcBorders>
              <w:top w:val="nil"/>
              <w:left w:val="nil"/>
              <w:bottom w:val="nil"/>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02 Добровољно здравствено осигурање</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1      </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70      </w:t>
            </w:r>
          </w:p>
        </w:tc>
      </w:tr>
      <w:tr w:rsidR="004F2EC6" w:rsidRPr="004F2EC6" w:rsidTr="007066DD">
        <w:trPr>
          <w:trHeight w:val="108"/>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03 Осигурање моторних возила</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41.045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45.645      </w:t>
            </w:r>
          </w:p>
        </w:tc>
      </w:tr>
      <w:tr w:rsidR="004F2EC6" w:rsidRPr="004F2EC6" w:rsidTr="007066DD">
        <w:trPr>
          <w:trHeight w:val="70"/>
        </w:trPr>
        <w:tc>
          <w:tcPr>
            <w:tcW w:w="5267" w:type="dxa"/>
            <w:tcBorders>
              <w:top w:val="nil"/>
              <w:left w:val="nil"/>
              <w:bottom w:val="nil"/>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Latn-RS" w:eastAsia="sr-Latn-RS"/>
              </w:rPr>
              <w:t>04 Осигурање шинких возила</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Latn-RS" w:eastAsia="sr-Latn-RS"/>
              </w:rPr>
              <w:t xml:space="preserve">                 466      </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p>
        </w:tc>
      </w:tr>
      <w:tr w:rsidR="004F2EC6" w:rsidRPr="004F2EC6" w:rsidTr="004F2EC6">
        <w:trPr>
          <w:trHeight w:val="301"/>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05 Осигурање ваздухоплова</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954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4.158      </w:t>
            </w:r>
          </w:p>
        </w:tc>
      </w:tr>
      <w:tr w:rsidR="004F2EC6" w:rsidRPr="004F2EC6" w:rsidTr="007066DD">
        <w:trPr>
          <w:trHeight w:val="218"/>
        </w:trPr>
        <w:tc>
          <w:tcPr>
            <w:tcW w:w="5267" w:type="dxa"/>
            <w:tcBorders>
              <w:top w:val="nil"/>
              <w:left w:val="nil"/>
              <w:bottom w:val="nil"/>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06 Осигурање пловних објеката</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        </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p>
        </w:tc>
      </w:tr>
      <w:tr w:rsidR="004F2EC6" w:rsidRPr="004F2EC6" w:rsidTr="007066DD">
        <w:trPr>
          <w:trHeight w:val="135"/>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07 Осигурање робе у превозу</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2.203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2.448      </w:t>
            </w:r>
          </w:p>
        </w:tc>
      </w:tr>
      <w:tr w:rsidR="004F2EC6" w:rsidRPr="004F2EC6" w:rsidTr="007066DD">
        <w:trPr>
          <w:trHeight w:val="210"/>
        </w:trPr>
        <w:tc>
          <w:tcPr>
            <w:tcW w:w="5267" w:type="dxa"/>
            <w:tcBorders>
              <w:top w:val="nil"/>
              <w:left w:val="nil"/>
              <w:bottom w:val="nil"/>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08 О. имовине од пожара и др. опасности</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232.947      </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291.619      </w:t>
            </w:r>
          </w:p>
        </w:tc>
      </w:tr>
      <w:tr w:rsidR="004F2EC6" w:rsidRPr="004F2EC6" w:rsidTr="007066DD">
        <w:trPr>
          <w:trHeight w:val="127"/>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09 Остала осигурања имовине</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37.870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102.488      </w:t>
            </w:r>
          </w:p>
        </w:tc>
      </w:tr>
      <w:tr w:rsidR="004F2EC6" w:rsidRPr="004F2EC6" w:rsidTr="007066DD">
        <w:trPr>
          <w:trHeight w:val="201"/>
        </w:trPr>
        <w:tc>
          <w:tcPr>
            <w:tcW w:w="5267" w:type="dxa"/>
            <w:tcBorders>
              <w:top w:val="nil"/>
              <w:left w:val="nil"/>
              <w:bottom w:val="nil"/>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10 О. од одгов. од употребе моторног возила</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98.720      </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81.508      </w:t>
            </w:r>
          </w:p>
        </w:tc>
      </w:tr>
      <w:tr w:rsidR="004F2EC6" w:rsidRPr="004F2EC6" w:rsidTr="007066DD">
        <w:trPr>
          <w:trHeight w:val="106"/>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Latn-RS" w:eastAsia="sr-Latn-RS"/>
              </w:rPr>
              <w:t>11 О.од одговорности због употребе ваздухоплова</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Latn-RS" w:eastAsia="sr-Latn-RS"/>
              </w:rPr>
              <w:t xml:space="preserve">                     1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Latn-RS" w:eastAsia="sr-Latn-RS"/>
              </w:rPr>
              <w:t xml:space="preserve">                    -        </w:t>
            </w:r>
          </w:p>
        </w:tc>
      </w:tr>
      <w:tr w:rsidR="004F2EC6" w:rsidRPr="004F2EC6" w:rsidTr="007066DD">
        <w:trPr>
          <w:trHeight w:val="179"/>
        </w:trPr>
        <w:tc>
          <w:tcPr>
            <w:tcW w:w="5267" w:type="dxa"/>
            <w:tcBorders>
              <w:top w:val="nil"/>
              <w:left w:val="nil"/>
              <w:bottom w:val="nil"/>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13 Осигурање од опште одговорности</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15.260      </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256      </w:t>
            </w:r>
          </w:p>
        </w:tc>
      </w:tr>
      <w:tr w:rsidR="004F2EC6" w:rsidRPr="004F2EC6" w:rsidTr="007066DD">
        <w:trPr>
          <w:trHeight w:val="98"/>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14 Осигуранје кредита</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w:t>
            </w:r>
          </w:p>
        </w:tc>
      </w:tr>
      <w:tr w:rsidR="004F2EC6" w:rsidRPr="004F2EC6" w:rsidTr="007066DD">
        <w:trPr>
          <w:trHeight w:val="172"/>
        </w:trPr>
        <w:tc>
          <w:tcPr>
            <w:tcW w:w="5267" w:type="dxa"/>
            <w:tcBorders>
              <w:top w:val="nil"/>
              <w:left w:val="nil"/>
              <w:bottom w:val="nil"/>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15 Осигурање јемства</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1      </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p>
        </w:tc>
      </w:tr>
      <w:tr w:rsidR="004F2EC6" w:rsidRPr="004F2EC6" w:rsidTr="007066DD">
        <w:trPr>
          <w:trHeight w:val="231"/>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16 Осигурање финансијских губитака</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1.464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3.307      </w:t>
            </w:r>
          </w:p>
        </w:tc>
      </w:tr>
      <w:tr w:rsidR="004F2EC6" w:rsidRPr="004F2EC6" w:rsidTr="007066DD">
        <w:trPr>
          <w:trHeight w:val="150"/>
        </w:trPr>
        <w:tc>
          <w:tcPr>
            <w:tcW w:w="5267" w:type="dxa"/>
            <w:tcBorders>
              <w:top w:val="nil"/>
              <w:left w:val="nil"/>
              <w:bottom w:val="nil"/>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17 Осигурање правне заштите</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49      </w:t>
            </w:r>
          </w:p>
        </w:tc>
        <w:tc>
          <w:tcPr>
            <w:tcW w:w="1974" w:type="dxa"/>
            <w:tcBorders>
              <w:top w:val="nil"/>
              <w:left w:val="nil"/>
              <w:bottom w:val="nil"/>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57      </w:t>
            </w:r>
          </w:p>
        </w:tc>
      </w:tr>
      <w:tr w:rsidR="004F2EC6" w:rsidRPr="004F2EC6" w:rsidTr="004F2EC6">
        <w:trPr>
          <w:trHeight w:val="301"/>
        </w:trPr>
        <w:tc>
          <w:tcPr>
            <w:tcW w:w="5267" w:type="dxa"/>
            <w:tcBorders>
              <w:top w:val="nil"/>
              <w:left w:val="nil"/>
              <w:bottom w:val="nil"/>
              <w:right w:val="nil"/>
            </w:tcBorders>
            <w:shd w:val="clear" w:color="000000" w:fill="DCE6F1"/>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20 Oсигурање живота</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417      </w:t>
            </w:r>
          </w:p>
        </w:tc>
        <w:tc>
          <w:tcPr>
            <w:tcW w:w="1974" w:type="dxa"/>
            <w:tcBorders>
              <w:top w:val="nil"/>
              <w:left w:val="nil"/>
              <w:bottom w:val="nil"/>
              <w:right w:val="nil"/>
            </w:tcBorders>
            <w:shd w:val="clear" w:color="000000" w:fill="DCE6F1"/>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1.067      </w:t>
            </w:r>
          </w:p>
        </w:tc>
      </w:tr>
      <w:tr w:rsidR="004F2EC6" w:rsidRPr="004F2EC6" w:rsidTr="004F2EC6">
        <w:trPr>
          <w:trHeight w:val="316"/>
        </w:trPr>
        <w:tc>
          <w:tcPr>
            <w:tcW w:w="5267" w:type="dxa"/>
            <w:tcBorders>
              <w:top w:val="nil"/>
              <w:left w:val="nil"/>
              <w:bottom w:val="single" w:sz="8" w:space="0" w:color="4F81BD"/>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22 Допунско осигурање уз осигурање живота</w:t>
            </w:r>
          </w:p>
        </w:tc>
        <w:tc>
          <w:tcPr>
            <w:tcW w:w="1974" w:type="dxa"/>
            <w:tcBorders>
              <w:top w:val="nil"/>
              <w:left w:val="nil"/>
              <w:bottom w:val="single" w:sz="8" w:space="0" w:color="4F81BD"/>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1.714      </w:t>
            </w:r>
          </w:p>
        </w:tc>
        <w:tc>
          <w:tcPr>
            <w:tcW w:w="1974" w:type="dxa"/>
            <w:tcBorders>
              <w:top w:val="nil"/>
              <w:left w:val="nil"/>
              <w:bottom w:val="single" w:sz="8" w:space="0" w:color="4F81BD"/>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color w:val="000000"/>
                <w:sz w:val="18"/>
                <w:szCs w:val="18"/>
                <w:lang w:val="sr-Latn-RS" w:eastAsia="sr-Latn-RS"/>
              </w:rPr>
            </w:pPr>
            <w:r w:rsidRPr="004F2EC6">
              <w:rPr>
                <w:rFonts w:ascii="Verdana" w:eastAsia="Times New Roman" w:hAnsi="Verdana" w:cs="Times New Roman"/>
                <w:color w:val="000000"/>
                <w:sz w:val="18"/>
                <w:szCs w:val="18"/>
                <w:lang w:val="sr-Cyrl-CS" w:eastAsia="sr-Latn-RS"/>
              </w:rPr>
              <w:t xml:space="preserve">              2.008      </w:t>
            </w:r>
          </w:p>
        </w:tc>
      </w:tr>
      <w:tr w:rsidR="004F2EC6" w:rsidRPr="004F2EC6" w:rsidTr="004F2EC6">
        <w:trPr>
          <w:trHeight w:val="316"/>
        </w:trPr>
        <w:tc>
          <w:tcPr>
            <w:tcW w:w="5267" w:type="dxa"/>
            <w:tcBorders>
              <w:top w:val="nil"/>
              <w:left w:val="nil"/>
              <w:bottom w:val="single" w:sz="8" w:space="0" w:color="4F81BD"/>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УКУПНО неживотна осигурања</w:t>
            </w:r>
          </w:p>
        </w:tc>
        <w:tc>
          <w:tcPr>
            <w:tcW w:w="1974" w:type="dxa"/>
            <w:tcBorders>
              <w:top w:val="nil"/>
              <w:left w:val="nil"/>
              <w:bottom w:val="single" w:sz="8" w:space="0" w:color="4F81BD"/>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 xml:space="preserve">        449.331      </w:t>
            </w:r>
          </w:p>
        </w:tc>
        <w:tc>
          <w:tcPr>
            <w:tcW w:w="1974" w:type="dxa"/>
            <w:tcBorders>
              <w:top w:val="nil"/>
              <w:left w:val="nil"/>
              <w:bottom w:val="single" w:sz="8" w:space="0" w:color="4F81BD"/>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 xml:space="preserve">        565.051      </w:t>
            </w:r>
          </w:p>
        </w:tc>
      </w:tr>
      <w:tr w:rsidR="004F2EC6" w:rsidRPr="004F2EC6" w:rsidTr="00424CA6">
        <w:trPr>
          <w:trHeight w:val="316"/>
        </w:trPr>
        <w:tc>
          <w:tcPr>
            <w:tcW w:w="5267" w:type="dxa"/>
            <w:tcBorders>
              <w:top w:val="nil"/>
              <w:left w:val="nil"/>
              <w:bottom w:val="double" w:sz="6" w:space="0" w:color="1F497D"/>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УКУПНО животна осигурања</w:t>
            </w:r>
          </w:p>
        </w:tc>
        <w:tc>
          <w:tcPr>
            <w:tcW w:w="1974" w:type="dxa"/>
            <w:tcBorders>
              <w:top w:val="nil"/>
              <w:left w:val="nil"/>
              <w:bottom w:val="double" w:sz="6" w:space="0" w:color="1F497D"/>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 xml:space="preserve">             2.131      </w:t>
            </w:r>
          </w:p>
        </w:tc>
        <w:tc>
          <w:tcPr>
            <w:tcW w:w="1974" w:type="dxa"/>
            <w:tcBorders>
              <w:top w:val="nil"/>
              <w:left w:val="nil"/>
              <w:bottom w:val="double" w:sz="6" w:space="0" w:color="1F497D"/>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 xml:space="preserve">             3.075      </w:t>
            </w:r>
          </w:p>
        </w:tc>
      </w:tr>
      <w:tr w:rsidR="004F2EC6" w:rsidRPr="004F2EC6" w:rsidTr="00424CA6">
        <w:trPr>
          <w:trHeight w:val="316"/>
        </w:trPr>
        <w:tc>
          <w:tcPr>
            <w:tcW w:w="5267" w:type="dxa"/>
            <w:tcBorders>
              <w:top w:val="double" w:sz="6" w:space="0" w:color="1F497D"/>
              <w:left w:val="nil"/>
              <w:bottom w:val="single" w:sz="4" w:space="0" w:color="auto"/>
              <w:right w:val="nil"/>
            </w:tcBorders>
            <w:shd w:val="clear" w:color="auto" w:fill="auto"/>
            <w:noWrap/>
            <w:vAlign w:val="center"/>
            <w:hideMark/>
          </w:tcPr>
          <w:p w:rsidR="004F2EC6" w:rsidRPr="004F2EC6" w:rsidRDefault="004F2EC6" w:rsidP="007066DD">
            <w:pPr>
              <w:spacing w:after="0" w:line="240" w:lineRule="auto"/>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УКУПНО</w:t>
            </w:r>
          </w:p>
        </w:tc>
        <w:tc>
          <w:tcPr>
            <w:tcW w:w="1974" w:type="dxa"/>
            <w:tcBorders>
              <w:top w:val="double" w:sz="6" w:space="0" w:color="1F497D"/>
              <w:left w:val="nil"/>
              <w:bottom w:val="single" w:sz="4" w:space="0" w:color="auto"/>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 xml:space="preserve">        451.462      </w:t>
            </w:r>
          </w:p>
        </w:tc>
        <w:tc>
          <w:tcPr>
            <w:tcW w:w="1974" w:type="dxa"/>
            <w:tcBorders>
              <w:top w:val="double" w:sz="6" w:space="0" w:color="1F497D"/>
              <w:left w:val="nil"/>
              <w:bottom w:val="single" w:sz="4" w:space="0" w:color="auto"/>
              <w:right w:val="nil"/>
            </w:tcBorders>
            <w:shd w:val="clear" w:color="auto" w:fill="auto"/>
            <w:vAlign w:val="center"/>
            <w:hideMark/>
          </w:tcPr>
          <w:p w:rsidR="004F2EC6" w:rsidRPr="004F2EC6" w:rsidRDefault="004F2EC6" w:rsidP="007066DD">
            <w:pPr>
              <w:spacing w:after="0" w:line="240" w:lineRule="auto"/>
              <w:jc w:val="right"/>
              <w:rPr>
                <w:rFonts w:ascii="Verdana" w:eastAsia="Times New Roman" w:hAnsi="Verdana" w:cs="Times New Roman"/>
                <w:b/>
                <w:bCs/>
                <w:color w:val="000000"/>
                <w:sz w:val="18"/>
                <w:szCs w:val="18"/>
                <w:lang w:val="sr-Latn-RS" w:eastAsia="sr-Latn-RS"/>
              </w:rPr>
            </w:pPr>
            <w:r w:rsidRPr="004F2EC6">
              <w:rPr>
                <w:rFonts w:ascii="Verdana" w:eastAsia="Times New Roman" w:hAnsi="Verdana" w:cs="Times New Roman"/>
                <w:b/>
                <w:bCs/>
                <w:color w:val="000000"/>
                <w:sz w:val="18"/>
                <w:szCs w:val="18"/>
                <w:lang w:val="sr-Cyrl-CS" w:eastAsia="sr-Latn-RS"/>
              </w:rPr>
              <w:t xml:space="preserve">        568.126      </w:t>
            </w:r>
          </w:p>
        </w:tc>
      </w:tr>
    </w:tbl>
    <w:p w:rsidR="00454A5D" w:rsidRDefault="00454A5D" w:rsidP="00424CA6">
      <w:pPr>
        <w:spacing w:after="0"/>
        <w:rPr>
          <w:noProof/>
          <w:color w:val="FF0000"/>
          <w:sz w:val="20"/>
          <w:szCs w:val="20"/>
          <w:lang w:val="sr-Cyrl-CS"/>
        </w:rPr>
      </w:pPr>
    </w:p>
    <w:p w:rsidR="004F2EC6" w:rsidRDefault="00454A5D" w:rsidP="00454A5D">
      <w:pPr>
        <w:spacing w:after="0"/>
        <w:jc w:val="both"/>
        <w:rPr>
          <w:noProof/>
          <w:sz w:val="20"/>
          <w:szCs w:val="20"/>
          <w:lang w:val="sr-Cyrl-CS"/>
        </w:rPr>
      </w:pPr>
      <w:r>
        <w:rPr>
          <w:noProof/>
          <w:color w:val="FF0000"/>
          <w:sz w:val="20"/>
          <w:szCs w:val="20"/>
          <w:lang w:val="sr-Cyrl-CS"/>
        </w:rPr>
        <w:tab/>
      </w:r>
      <w:r w:rsidRPr="00454A5D">
        <w:rPr>
          <w:noProof/>
          <w:sz w:val="20"/>
          <w:szCs w:val="20"/>
          <w:lang w:val="sr-Cyrl-CS"/>
        </w:rPr>
        <w:t>Услед промене Законских и подзаконских прописа, Друштво је извршило измен</w:t>
      </w:r>
      <w:r w:rsidR="0010417A">
        <w:rPr>
          <w:noProof/>
          <w:sz w:val="20"/>
          <w:szCs w:val="20"/>
          <w:lang w:val="sr-Cyrl-CS"/>
        </w:rPr>
        <w:t>у</w:t>
      </w:r>
      <w:r w:rsidRPr="00454A5D">
        <w:rPr>
          <w:noProof/>
          <w:sz w:val="20"/>
          <w:szCs w:val="20"/>
          <w:lang w:val="sr-Cyrl-CS"/>
        </w:rPr>
        <w:t xml:space="preserve"> у методологији обрачуна </w:t>
      </w:r>
      <w:r w:rsidR="0010417A">
        <w:rPr>
          <w:noProof/>
          <w:sz w:val="20"/>
          <w:szCs w:val="20"/>
          <w:lang w:val="sr-Cyrl-CS"/>
        </w:rPr>
        <w:t>насталих непријављених штета</w:t>
      </w:r>
      <w:r w:rsidRPr="00454A5D">
        <w:rPr>
          <w:noProof/>
          <w:sz w:val="20"/>
          <w:szCs w:val="20"/>
          <w:lang w:val="sr-Cyrl-CS"/>
        </w:rPr>
        <w:t xml:space="preserve"> за врсту осигурања 10 - осигурање од одговорности због употребе моторних возила (обрачун се по новој методи врши применом Chain Ladder Method (CLM). Такође, извршена је и измена у основи за обрачун и исказивању обрачунатих позиција тако да се сада обрачун резерви за настале непријављене штете (IBNR) врши и по активним и по пасивним позицијама, док су у претходном периоду као основ за обрачун коришћене резервисане штете у самопридржају. Промена начина обрачуна имало је за последицу повећање резервисаних штета у самопридржају за 31.841 хиљаду динара.</w:t>
      </w:r>
    </w:p>
    <w:p w:rsidR="00410DD2" w:rsidRDefault="00410DD2" w:rsidP="00454A5D">
      <w:pPr>
        <w:spacing w:after="0"/>
        <w:jc w:val="both"/>
        <w:rPr>
          <w:noProof/>
          <w:sz w:val="20"/>
          <w:szCs w:val="20"/>
          <w:lang w:val="sr-Cyrl-CS"/>
        </w:rPr>
      </w:pPr>
    </w:p>
    <w:tbl>
      <w:tblPr>
        <w:tblStyle w:val="LightShading-Accent1"/>
        <w:tblW w:w="10183" w:type="dxa"/>
        <w:tblLook w:val="04A0" w:firstRow="1" w:lastRow="0" w:firstColumn="1" w:lastColumn="0" w:noHBand="0" w:noVBand="1"/>
      </w:tblPr>
      <w:tblGrid>
        <w:gridCol w:w="4027"/>
        <w:gridCol w:w="2052"/>
        <w:gridCol w:w="2052"/>
        <w:gridCol w:w="2052"/>
      </w:tblGrid>
      <w:tr w:rsidR="00410DD2" w:rsidRPr="007066DD" w:rsidTr="003A1E79">
        <w:trPr>
          <w:cnfStyle w:val="100000000000" w:firstRow="1" w:lastRow="0" w:firstColumn="0" w:lastColumn="0" w:oddVBand="0" w:evenVBand="0" w:oddHBand="0" w:evenHBand="0" w:firstRowFirstColumn="0" w:firstRowLastColumn="0" w:lastRowFirstColumn="0" w:lastRowLastColumn="0"/>
          <w:trHeight w:val="607"/>
        </w:trPr>
        <w:tc>
          <w:tcPr>
            <w:cnfStyle w:val="001000000000" w:firstRow="0" w:lastRow="0" w:firstColumn="1" w:lastColumn="0" w:oddVBand="0" w:evenVBand="0" w:oddHBand="0" w:evenHBand="0" w:firstRowFirstColumn="0" w:firstRowLastColumn="0" w:lastRowFirstColumn="0" w:lastRowLastColumn="0"/>
            <w:tcW w:w="4027" w:type="dxa"/>
            <w:noWrap/>
            <w:hideMark/>
          </w:tcPr>
          <w:p w:rsidR="00410DD2" w:rsidRPr="007066DD" w:rsidRDefault="00410DD2" w:rsidP="003A1E79">
            <w:pPr>
              <w:pStyle w:val="NoSpacing"/>
              <w:jc w:val="center"/>
              <w:rPr>
                <w:rFonts w:ascii="Tahoma" w:hAnsi="Tahoma" w:cs="Tahoma"/>
                <w:b w:val="0"/>
                <w:color w:val="auto"/>
                <w:sz w:val="20"/>
                <w:szCs w:val="20"/>
              </w:rPr>
            </w:pPr>
            <w:r w:rsidRPr="007066DD">
              <w:rPr>
                <w:rFonts w:ascii="Tahoma" w:hAnsi="Tahoma" w:cs="Tahoma"/>
                <w:b w:val="0"/>
                <w:color w:val="auto"/>
                <w:sz w:val="20"/>
                <w:szCs w:val="20"/>
              </w:rPr>
              <w:t>Назив позиције</w:t>
            </w:r>
          </w:p>
        </w:tc>
        <w:tc>
          <w:tcPr>
            <w:tcW w:w="2052" w:type="dxa"/>
            <w:hideMark/>
          </w:tcPr>
          <w:p w:rsidR="00410DD2" w:rsidRPr="007066DD" w:rsidRDefault="00410DD2" w:rsidP="003A1E79">
            <w:pPr>
              <w:pStyle w:val="NoSpacing"/>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color w:val="auto"/>
                <w:sz w:val="20"/>
                <w:szCs w:val="20"/>
              </w:rPr>
            </w:pPr>
            <w:r w:rsidRPr="007066DD">
              <w:rPr>
                <w:rFonts w:ascii="Tahoma" w:hAnsi="Tahoma" w:cs="Tahoma"/>
                <w:b w:val="0"/>
                <w:color w:val="auto"/>
                <w:sz w:val="20"/>
                <w:szCs w:val="20"/>
              </w:rPr>
              <w:t>Обрачун по правилнику из 2015.</w:t>
            </w:r>
          </w:p>
        </w:tc>
        <w:tc>
          <w:tcPr>
            <w:tcW w:w="2052" w:type="dxa"/>
            <w:hideMark/>
          </w:tcPr>
          <w:p w:rsidR="00410DD2" w:rsidRPr="007066DD" w:rsidRDefault="00410DD2" w:rsidP="003A1E79">
            <w:pPr>
              <w:pStyle w:val="NoSpacing"/>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color w:val="auto"/>
                <w:sz w:val="20"/>
                <w:szCs w:val="20"/>
              </w:rPr>
            </w:pPr>
            <w:r w:rsidRPr="007066DD">
              <w:rPr>
                <w:rFonts w:ascii="Tahoma" w:hAnsi="Tahoma" w:cs="Tahoma"/>
                <w:b w:val="0"/>
                <w:color w:val="auto"/>
                <w:sz w:val="20"/>
                <w:szCs w:val="20"/>
              </w:rPr>
              <w:t>обрачун  по правилнику из 2014. године</w:t>
            </w:r>
          </w:p>
        </w:tc>
        <w:tc>
          <w:tcPr>
            <w:tcW w:w="2052" w:type="dxa"/>
            <w:noWrap/>
            <w:hideMark/>
          </w:tcPr>
          <w:p w:rsidR="00410DD2" w:rsidRPr="007066DD" w:rsidRDefault="00410DD2" w:rsidP="003A1E79">
            <w:pPr>
              <w:pStyle w:val="NoSpacing"/>
              <w:jc w:val="center"/>
              <w:cnfStyle w:val="100000000000" w:firstRow="1" w:lastRow="0" w:firstColumn="0" w:lastColumn="0" w:oddVBand="0" w:evenVBand="0" w:oddHBand="0" w:evenHBand="0" w:firstRowFirstColumn="0" w:firstRowLastColumn="0" w:lastRowFirstColumn="0" w:lastRowLastColumn="0"/>
              <w:rPr>
                <w:rFonts w:ascii="Tahoma" w:hAnsi="Tahoma" w:cs="Tahoma"/>
                <w:b w:val="0"/>
                <w:color w:val="auto"/>
                <w:sz w:val="20"/>
                <w:szCs w:val="20"/>
              </w:rPr>
            </w:pPr>
            <w:r w:rsidRPr="007066DD">
              <w:rPr>
                <w:rFonts w:ascii="Tahoma" w:hAnsi="Tahoma" w:cs="Tahoma"/>
                <w:b w:val="0"/>
                <w:color w:val="auto"/>
                <w:sz w:val="20"/>
                <w:szCs w:val="20"/>
              </w:rPr>
              <w:t>монетарни ефекти</w:t>
            </w:r>
          </w:p>
        </w:tc>
      </w:tr>
      <w:tr w:rsidR="00410DD2" w:rsidRPr="007066DD" w:rsidTr="003A1E79">
        <w:trPr>
          <w:cnfStyle w:val="000000100000" w:firstRow="0" w:lastRow="0" w:firstColumn="0" w:lastColumn="0" w:oddVBand="0" w:evenVBand="0" w:oddHBand="1"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4027" w:type="dxa"/>
            <w:hideMark/>
          </w:tcPr>
          <w:p w:rsidR="00410DD2" w:rsidRPr="0010417A" w:rsidRDefault="00410DD2" w:rsidP="0010417A">
            <w:pPr>
              <w:pStyle w:val="NoSpacing"/>
              <w:rPr>
                <w:rFonts w:ascii="Tahoma" w:hAnsi="Tahoma" w:cs="Tahoma"/>
                <w:b w:val="0"/>
                <w:color w:val="auto"/>
                <w:sz w:val="20"/>
                <w:szCs w:val="20"/>
              </w:rPr>
            </w:pPr>
            <w:r w:rsidRPr="0010417A">
              <w:rPr>
                <w:rFonts w:ascii="Tahoma" w:hAnsi="Tahoma" w:cs="Tahoma"/>
                <w:b w:val="0"/>
                <w:color w:val="auto"/>
                <w:sz w:val="20"/>
                <w:szCs w:val="20"/>
                <w:lang w:val="sr-Cyrl-RS"/>
              </w:rPr>
              <w:t>Резервисане штете</w:t>
            </w:r>
            <w:r w:rsidR="0010417A" w:rsidRPr="0010417A">
              <w:rPr>
                <w:rFonts w:ascii="Tahoma" w:hAnsi="Tahoma" w:cs="Tahoma"/>
                <w:b w:val="0"/>
                <w:color w:val="auto"/>
                <w:sz w:val="20"/>
                <w:szCs w:val="20"/>
                <w:lang w:val="sr-Cyrl-RS"/>
              </w:rPr>
              <w:t xml:space="preserve"> са ИБНР</w:t>
            </w:r>
          </w:p>
        </w:tc>
        <w:tc>
          <w:tcPr>
            <w:tcW w:w="2052" w:type="dxa"/>
            <w:noWrap/>
            <w:hideMark/>
          </w:tcPr>
          <w:p w:rsidR="00410DD2" w:rsidRPr="007066DD" w:rsidRDefault="00410DD2" w:rsidP="0010417A">
            <w:pPr>
              <w:pStyle w:val="NoSpacing"/>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auto"/>
                <w:sz w:val="20"/>
                <w:szCs w:val="20"/>
              </w:rPr>
            </w:pPr>
            <w:r w:rsidRPr="007066DD">
              <w:rPr>
                <w:rFonts w:ascii="Tahoma" w:hAnsi="Tahoma" w:cs="Tahoma"/>
                <w:color w:val="auto"/>
                <w:sz w:val="20"/>
                <w:szCs w:val="20"/>
                <w:lang w:val="sr-Cyrl-RS"/>
              </w:rPr>
              <w:t>1</w:t>
            </w:r>
            <w:r w:rsidR="0010417A">
              <w:rPr>
                <w:rFonts w:ascii="Tahoma" w:hAnsi="Tahoma" w:cs="Tahoma"/>
                <w:color w:val="auto"/>
                <w:sz w:val="20"/>
                <w:szCs w:val="20"/>
                <w:lang w:val="sr-Cyrl-RS"/>
              </w:rPr>
              <w:t>.</w:t>
            </w:r>
            <w:r w:rsidRPr="007066DD">
              <w:rPr>
                <w:rFonts w:ascii="Tahoma" w:hAnsi="Tahoma" w:cs="Tahoma"/>
                <w:color w:val="auto"/>
                <w:sz w:val="20"/>
                <w:szCs w:val="20"/>
                <w:lang w:val="sr-Cyrl-RS"/>
              </w:rPr>
              <w:t>866</w:t>
            </w:r>
            <w:r w:rsidR="0010417A">
              <w:rPr>
                <w:rFonts w:ascii="Tahoma" w:hAnsi="Tahoma" w:cs="Tahoma"/>
                <w:color w:val="auto"/>
                <w:sz w:val="20"/>
                <w:szCs w:val="20"/>
                <w:lang w:val="sr-Cyrl-RS"/>
              </w:rPr>
              <w:t>.</w:t>
            </w:r>
            <w:r w:rsidRPr="007066DD">
              <w:rPr>
                <w:rFonts w:ascii="Tahoma" w:hAnsi="Tahoma" w:cs="Tahoma"/>
                <w:color w:val="auto"/>
                <w:sz w:val="20"/>
                <w:szCs w:val="20"/>
                <w:lang w:val="sr-Cyrl-RS"/>
              </w:rPr>
              <w:t>528</w:t>
            </w:r>
          </w:p>
        </w:tc>
        <w:tc>
          <w:tcPr>
            <w:tcW w:w="2052" w:type="dxa"/>
            <w:noWrap/>
            <w:hideMark/>
          </w:tcPr>
          <w:p w:rsidR="00410DD2" w:rsidRPr="007066DD" w:rsidRDefault="00410DD2" w:rsidP="0010417A">
            <w:pPr>
              <w:pStyle w:val="NoSpacing"/>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auto"/>
                <w:sz w:val="20"/>
                <w:szCs w:val="20"/>
              </w:rPr>
            </w:pPr>
            <w:r w:rsidRPr="007066DD">
              <w:rPr>
                <w:rFonts w:ascii="Tahoma" w:hAnsi="Tahoma" w:cs="Tahoma"/>
                <w:color w:val="auto"/>
                <w:sz w:val="20"/>
                <w:szCs w:val="20"/>
                <w:lang w:val="sr-Cyrl-RS"/>
              </w:rPr>
              <w:t>1</w:t>
            </w:r>
            <w:r w:rsidR="0010417A">
              <w:rPr>
                <w:rFonts w:ascii="Tahoma" w:hAnsi="Tahoma" w:cs="Tahoma"/>
                <w:color w:val="auto"/>
                <w:sz w:val="20"/>
                <w:szCs w:val="20"/>
                <w:lang w:val="sr-Cyrl-RS"/>
              </w:rPr>
              <w:t>.</w:t>
            </w:r>
            <w:r w:rsidRPr="007066DD">
              <w:rPr>
                <w:rFonts w:ascii="Tahoma" w:hAnsi="Tahoma" w:cs="Tahoma"/>
                <w:color w:val="auto"/>
                <w:sz w:val="20"/>
                <w:szCs w:val="20"/>
                <w:lang w:val="sr-Cyrl-RS"/>
              </w:rPr>
              <w:t>281</w:t>
            </w:r>
            <w:r w:rsidR="0010417A">
              <w:rPr>
                <w:rFonts w:ascii="Tahoma" w:hAnsi="Tahoma" w:cs="Tahoma"/>
                <w:color w:val="auto"/>
                <w:sz w:val="20"/>
                <w:szCs w:val="20"/>
                <w:lang w:val="sr-Cyrl-RS"/>
              </w:rPr>
              <w:t>.</w:t>
            </w:r>
            <w:r w:rsidRPr="007066DD">
              <w:rPr>
                <w:rFonts w:ascii="Tahoma" w:hAnsi="Tahoma" w:cs="Tahoma"/>
                <w:color w:val="auto"/>
                <w:sz w:val="20"/>
                <w:szCs w:val="20"/>
                <w:lang w:val="sr-Cyrl-RS"/>
              </w:rPr>
              <w:t>656</w:t>
            </w:r>
          </w:p>
        </w:tc>
        <w:tc>
          <w:tcPr>
            <w:tcW w:w="2052" w:type="dxa"/>
            <w:noWrap/>
            <w:hideMark/>
          </w:tcPr>
          <w:p w:rsidR="00410DD2" w:rsidRPr="007066DD" w:rsidRDefault="00410DD2" w:rsidP="0010417A">
            <w:pPr>
              <w:pStyle w:val="NoSpacing"/>
              <w:jc w:val="center"/>
              <w:cnfStyle w:val="000000100000" w:firstRow="0" w:lastRow="0" w:firstColumn="0" w:lastColumn="0" w:oddVBand="0" w:evenVBand="0" w:oddHBand="1" w:evenHBand="0" w:firstRowFirstColumn="0" w:firstRowLastColumn="0" w:lastRowFirstColumn="0" w:lastRowLastColumn="0"/>
              <w:rPr>
                <w:rFonts w:ascii="Tahoma" w:hAnsi="Tahoma" w:cs="Tahoma"/>
                <w:color w:val="auto"/>
                <w:sz w:val="20"/>
                <w:szCs w:val="20"/>
              </w:rPr>
            </w:pPr>
            <w:r w:rsidRPr="007066DD">
              <w:rPr>
                <w:rFonts w:ascii="Tahoma" w:hAnsi="Tahoma" w:cs="Tahoma"/>
                <w:color w:val="auto"/>
                <w:sz w:val="20"/>
                <w:szCs w:val="20"/>
              </w:rPr>
              <w:t>584</w:t>
            </w:r>
            <w:r w:rsidR="0010417A">
              <w:rPr>
                <w:rFonts w:ascii="Tahoma" w:hAnsi="Tahoma" w:cs="Tahoma"/>
                <w:color w:val="auto"/>
                <w:sz w:val="20"/>
                <w:szCs w:val="20"/>
                <w:lang w:val="sr-Cyrl-RS"/>
              </w:rPr>
              <w:t>.</w:t>
            </w:r>
            <w:r w:rsidRPr="007066DD">
              <w:rPr>
                <w:rFonts w:ascii="Tahoma" w:hAnsi="Tahoma" w:cs="Tahoma"/>
                <w:color w:val="auto"/>
                <w:sz w:val="20"/>
                <w:szCs w:val="20"/>
              </w:rPr>
              <w:t>872</w:t>
            </w:r>
          </w:p>
        </w:tc>
      </w:tr>
      <w:tr w:rsidR="00410DD2" w:rsidRPr="007066DD" w:rsidTr="003A1E79">
        <w:trPr>
          <w:trHeight w:val="918"/>
        </w:trPr>
        <w:tc>
          <w:tcPr>
            <w:cnfStyle w:val="001000000000" w:firstRow="0" w:lastRow="0" w:firstColumn="1" w:lastColumn="0" w:oddVBand="0" w:evenVBand="0" w:oddHBand="0" w:evenHBand="0" w:firstRowFirstColumn="0" w:firstRowLastColumn="0" w:lastRowFirstColumn="0" w:lastRowLastColumn="0"/>
            <w:tcW w:w="4027" w:type="dxa"/>
            <w:hideMark/>
          </w:tcPr>
          <w:p w:rsidR="00410DD2" w:rsidRPr="007066DD" w:rsidRDefault="00410DD2" w:rsidP="0010417A">
            <w:pPr>
              <w:pStyle w:val="NoSpacing"/>
              <w:rPr>
                <w:rFonts w:ascii="Tahoma" w:hAnsi="Tahoma" w:cs="Tahoma"/>
                <w:b w:val="0"/>
                <w:color w:val="auto"/>
                <w:sz w:val="20"/>
                <w:szCs w:val="20"/>
              </w:rPr>
            </w:pPr>
            <w:r w:rsidRPr="007066DD">
              <w:rPr>
                <w:rFonts w:ascii="Tahoma" w:hAnsi="Tahoma" w:cs="Tahoma"/>
                <w:b w:val="0"/>
                <w:color w:val="auto"/>
                <w:sz w:val="20"/>
                <w:szCs w:val="20"/>
                <w:lang w:val="sr-Cyrl-RS"/>
              </w:rPr>
              <w:t>Резервисане штете које падају на терет саосигуравача, реосигуравача и ретроцесионара</w:t>
            </w:r>
          </w:p>
        </w:tc>
        <w:tc>
          <w:tcPr>
            <w:tcW w:w="2052" w:type="dxa"/>
            <w:noWrap/>
            <w:hideMark/>
          </w:tcPr>
          <w:p w:rsidR="00410DD2" w:rsidRPr="007066DD" w:rsidRDefault="00410DD2" w:rsidP="0010417A">
            <w:pPr>
              <w:pStyle w:val="NoSpacing"/>
              <w:jc w:val="center"/>
              <w:cnfStyle w:val="000000000000" w:firstRow="0" w:lastRow="0" w:firstColumn="0" w:lastColumn="0" w:oddVBand="0" w:evenVBand="0" w:oddHBand="0" w:evenHBand="0" w:firstRowFirstColumn="0" w:firstRowLastColumn="0" w:lastRowFirstColumn="0" w:lastRowLastColumn="0"/>
              <w:rPr>
                <w:rFonts w:ascii="Tahoma" w:hAnsi="Tahoma" w:cs="Tahoma"/>
                <w:color w:val="auto"/>
                <w:sz w:val="20"/>
                <w:szCs w:val="20"/>
              </w:rPr>
            </w:pPr>
            <w:r w:rsidRPr="007066DD">
              <w:rPr>
                <w:rFonts w:ascii="Tahoma" w:hAnsi="Tahoma" w:cs="Tahoma"/>
                <w:color w:val="auto"/>
                <w:sz w:val="20"/>
                <w:szCs w:val="20"/>
                <w:lang w:val="sr-Cyrl-RS"/>
              </w:rPr>
              <w:t>1</w:t>
            </w:r>
            <w:r w:rsidR="0010417A">
              <w:rPr>
                <w:rFonts w:ascii="Tahoma" w:hAnsi="Tahoma" w:cs="Tahoma"/>
                <w:color w:val="auto"/>
                <w:sz w:val="20"/>
                <w:szCs w:val="20"/>
                <w:lang w:val="sr-Cyrl-RS"/>
              </w:rPr>
              <w:t>.</w:t>
            </w:r>
            <w:r w:rsidRPr="007066DD">
              <w:rPr>
                <w:rFonts w:ascii="Tahoma" w:hAnsi="Tahoma" w:cs="Tahoma"/>
                <w:color w:val="auto"/>
                <w:sz w:val="20"/>
                <w:szCs w:val="20"/>
                <w:lang w:val="sr-Cyrl-RS"/>
              </w:rPr>
              <w:t>415</w:t>
            </w:r>
            <w:r w:rsidR="0010417A">
              <w:rPr>
                <w:rFonts w:ascii="Tahoma" w:hAnsi="Tahoma" w:cs="Tahoma"/>
                <w:color w:val="auto"/>
                <w:sz w:val="20"/>
                <w:szCs w:val="20"/>
                <w:lang w:val="sr-Cyrl-RS"/>
              </w:rPr>
              <w:t>.</w:t>
            </w:r>
            <w:r w:rsidRPr="007066DD">
              <w:rPr>
                <w:rFonts w:ascii="Tahoma" w:hAnsi="Tahoma" w:cs="Tahoma"/>
                <w:color w:val="auto"/>
                <w:sz w:val="20"/>
                <w:szCs w:val="20"/>
                <w:lang w:val="sr-Cyrl-RS"/>
              </w:rPr>
              <w:t>065</w:t>
            </w:r>
          </w:p>
        </w:tc>
        <w:tc>
          <w:tcPr>
            <w:tcW w:w="2052" w:type="dxa"/>
            <w:noWrap/>
            <w:hideMark/>
          </w:tcPr>
          <w:p w:rsidR="00410DD2" w:rsidRPr="007066DD" w:rsidRDefault="00410DD2" w:rsidP="0010417A">
            <w:pPr>
              <w:pStyle w:val="NoSpacing"/>
              <w:jc w:val="center"/>
              <w:cnfStyle w:val="000000000000" w:firstRow="0" w:lastRow="0" w:firstColumn="0" w:lastColumn="0" w:oddVBand="0" w:evenVBand="0" w:oddHBand="0" w:evenHBand="0" w:firstRowFirstColumn="0" w:firstRowLastColumn="0" w:lastRowFirstColumn="0" w:lastRowLastColumn="0"/>
              <w:rPr>
                <w:rFonts w:ascii="Tahoma" w:hAnsi="Tahoma" w:cs="Tahoma"/>
                <w:color w:val="auto"/>
                <w:sz w:val="20"/>
                <w:szCs w:val="20"/>
              </w:rPr>
            </w:pPr>
            <w:r w:rsidRPr="007066DD">
              <w:rPr>
                <w:rFonts w:ascii="Tahoma" w:hAnsi="Tahoma" w:cs="Tahoma"/>
                <w:color w:val="auto"/>
                <w:sz w:val="20"/>
                <w:szCs w:val="20"/>
              </w:rPr>
              <w:t>862</w:t>
            </w:r>
            <w:r w:rsidR="0010417A">
              <w:rPr>
                <w:rFonts w:ascii="Tahoma" w:hAnsi="Tahoma" w:cs="Tahoma"/>
                <w:color w:val="auto"/>
                <w:sz w:val="20"/>
                <w:szCs w:val="20"/>
                <w:lang w:val="sr-Cyrl-RS"/>
              </w:rPr>
              <w:t>.</w:t>
            </w:r>
            <w:r w:rsidRPr="007066DD">
              <w:rPr>
                <w:rFonts w:ascii="Tahoma" w:hAnsi="Tahoma" w:cs="Tahoma"/>
                <w:color w:val="auto"/>
                <w:sz w:val="20"/>
                <w:szCs w:val="20"/>
              </w:rPr>
              <w:t>034</w:t>
            </w:r>
          </w:p>
        </w:tc>
        <w:tc>
          <w:tcPr>
            <w:tcW w:w="2052" w:type="dxa"/>
            <w:noWrap/>
            <w:hideMark/>
          </w:tcPr>
          <w:p w:rsidR="00410DD2" w:rsidRPr="007066DD" w:rsidRDefault="00410DD2" w:rsidP="0010417A">
            <w:pPr>
              <w:pStyle w:val="NoSpacing"/>
              <w:jc w:val="center"/>
              <w:cnfStyle w:val="000000000000" w:firstRow="0" w:lastRow="0" w:firstColumn="0" w:lastColumn="0" w:oddVBand="0" w:evenVBand="0" w:oddHBand="0" w:evenHBand="0" w:firstRowFirstColumn="0" w:firstRowLastColumn="0" w:lastRowFirstColumn="0" w:lastRowLastColumn="0"/>
              <w:rPr>
                <w:rFonts w:ascii="Tahoma" w:hAnsi="Tahoma" w:cs="Tahoma"/>
                <w:color w:val="auto"/>
                <w:sz w:val="20"/>
                <w:szCs w:val="20"/>
              </w:rPr>
            </w:pPr>
            <w:r w:rsidRPr="007066DD">
              <w:rPr>
                <w:rFonts w:ascii="Tahoma" w:hAnsi="Tahoma" w:cs="Tahoma"/>
                <w:color w:val="auto"/>
                <w:sz w:val="20"/>
                <w:szCs w:val="20"/>
              </w:rPr>
              <w:t>553</w:t>
            </w:r>
            <w:r w:rsidR="0010417A">
              <w:rPr>
                <w:rFonts w:ascii="Tahoma" w:hAnsi="Tahoma" w:cs="Tahoma"/>
                <w:color w:val="auto"/>
                <w:sz w:val="20"/>
                <w:szCs w:val="20"/>
                <w:lang w:val="sr-Cyrl-RS"/>
              </w:rPr>
              <w:t>.</w:t>
            </w:r>
            <w:r w:rsidRPr="007066DD">
              <w:rPr>
                <w:rFonts w:ascii="Tahoma" w:hAnsi="Tahoma" w:cs="Tahoma"/>
                <w:color w:val="auto"/>
                <w:sz w:val="20"/>
                <w:szCs w:val="20"/>
              </w:rPr>
              <w:t>031</w:t>
            </w:r>
          </w:p>
        </w:tc>
      </w:tr>
      <w:tr w:rsidR="00410DD2" w:rsidRPr="007066DD" w:rsidTr="003A1E79">
        <w:trPr>
          <w:cnfStyle w:val="000000100000" w:firstRow="0" w:lastRow="0" w:firstColumn="0" w:lastColumn="0" w:oddVBand="0" w:evenVBand="0" w:oddHBand="1"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4027" w:type="dxa"/>
            <w:hideMark/>
          </w:tcPr>
          <w:p w:rsidR="00410DD2" w:rsidRPr="007066DD" w:rsidRDefault="00410DD2" w:rsidP="0010417A">
            <w:pPr>
              <w:pStyle w:val="NoSpacing"/>
              <w:rPr>
                <w:rFonts w:ascii="Tahoma" w:hAnsi="Tahoma" w:cs="Tahoma"/>
                <w:b w:val="0"/>
                <w:color w:val="auto"/>
                <w:sz w:val="20"/>
                <w:szCs w:val="20"/>
              </w:rPr>
            </w:pPr>
            <w:r w:rsidRPr="007066DD">
              <w:rPr>
                <w:rFonts w:ascii="Tahoma" w:hAnsi="Tahoma" w:cs="Tahoma"/>
                <w:b w:val="0"/>
                <w:color w:val="auto"/>
                <w:sz w:val="20"/>
                <w:szCs w:val="20"/>
                <w:lang w:val="sr-Cyrl-RS"/>
              </w:rPr>
              <w:t>Резервисане штете у самопридржају</w:t>
            </w:r>
          </w:p>
        </w:tc>
        <w:tc>
          <w:tcPr>
            <w:tcW w:w="2052" w:type="dxa"/>
            <w:noWrap/>
            <w:hideMark/>
          </w:tcPr>
          <w:p w:rsidR="00410DD2" w:rsidRPr="007066DD" w:rsidRDefault="00410DD2" w:rsidP="0010417A">
            <w:pPr>
              <w:pStyle w:val="NoSpacing"/>
              <w:jc w:val="center"/>
              <w:cnfStyle w:val="000000100000" w:firstRow="0" w:lastRow="0" w:firstColumn="0" w:lastColumn="0" w:oddVBand="0" w:evenVBand="0" w:oddHBand="1" w:evenHBand="0" w:firstRowFirstColumn="0" w:firstRowLastColumn="0" w:lastRowFirstColumn="0" w:lastRowLastColumn="0"/>
              <w:rPr>
                <w:rFonts w:ascii="Tahoma" w:hAnsi="Tahoma" w:cs="Tahoma"/>
                <w:b/>
                <w:bCs/>
                <w:color w:val="auto"/>
                <w:sz w:val="20"/>
                <w:szCs w:val="20"/>
              </w:rPr>
            </w:pPr>
            <w:r w:rsidRPr="007066DD">
              <w:rPr>
                <w:rFonts w:ascii="Tahoma" w:hAnsi="Tahoma" w:cs="Tahoma"/>
                <w:b/>
                <w:bCs/>
                <w:color w:val="auto"/>
                <w:sz w:val="20"/>
                <w:szCs w:val="20"/>
              </w:rPr>
              <w:t>451</w:t>
            </w:r>
            <w:r w:rsidR="0010417A">
              <w:rPr>
                <w:rFonts w:ascii="Tahoma" w:hAnsi="Tahoma" w:cs="Tahoma"/>
                <w:b/>
                <w:bCs/>
                <w:color w:val="auto"/>
                <w:sz w:val="20"/>
                <w:szCs w:val="20"/>
                <w:lang w:val="sr-Cyrl-RS"/>
              </w:rPr>
              <w:t>.</w:t>
            </w:r>
            <w:r w:rsidRPr="007066DD">
              <w:rPr>
                <w:rFonts w:ascii="Tahoma" w:hAnsi="Tahoma" w:cs="Tahoma"/>
                <w:b/>
                <w:bCs/>
                <w:color w:val="auto"/>
                <w:sz w:val="20"/>
                <w:szCs w:val="20"/>
              </w:rPr>
              <w:t>463</w:t>
            </w:r>
          </w:p>
        </w:tc>
        <w:tc>
          <w:tcPr>
            <w:tcW w:w="2052" w:type="dxa"/>
            <w:noWrap/>
            <w:hideMark/>
          </w:tcPr>
          <w:p w:rsidR="00410DD2" w:rsidRPr="007066DD" w:rsidRDefault="00410DD2" w:rsidP="0010417A">
            <w:pPr>
              <w:pStyle w:val="NoSpacing"/>
              <w:jc w:val="center"/>
              <w:cnfStyle w:val="000000100000" w:firstRow="0" w:lastRow="0" w:firstColumn="0" w:lastColumn="0" w:oddVBand="0" w:evenVBand="0" w:oddHBand="1" w:evenHBand="0" w:firstRowFirstColumn="0" w:firstRowLastColumn="0" w:lastRowFirstColumn="0" w:lastRowLastColumn="0"/>
              <w:rPr>
                <w:rFonts w:ascii="Tahoma" w:hAnsi="Tahoma" w:cs="Tahoma"/>
                <w:b/>
                <w:bCs/>
                <w:color w:val="auto"/>
                <w:sz w:val="20"/>
                <w:szCs w:val="20"/>
              </w:rPr>
            </w:pPr>
            <w:r w:rsidRPr="007066DD">
              <w:rPr>
                <w:rFonts w:ascii="Tahoma" w:hAnsi="Tahoma" w:cs="Tahoma"/>
                <w:b/>
                <w:bCs/>
                <w:color w:val="auto"/>
                <w:sz w:val="20"/>
                <w:szCs w:val="20"/>
              </w:rPr>
              <w:t>419</w:t>
            </w:r>
            <w:r w:rsidR="0010417A">
              <w:rPr>
                <w:rFonts w:ascii="Tahoma" w:hAnsi="Tahoma" w:cs="Tahoma"/>
                <w:b/>
                <w:bCs/>
                <w:color w:val="auto"/>
                <w:sz w:val="20"/>
                <w:szCs w:val="20"/>
                <w:lang w:val="sr-Cyrl-RS"/>
              </w:rPr>
              <w:t>.</w:t>
            </w:r>
            <w:r w:rsidRPr="007066DD">
              <w:rPr>
                <w:rFonts w:ascii="Tahoma" w:hAnsi="Tahoma" w:cs="Tahoma"/>
                <w:b/>
                <w:bCs/>
                <w:color w:val="auto"/>
                <w:sz w:val="20"/>
                <w:szCs w:val="20"/>
              </w:rPr>
              <w:t>622</w:t>
            </w:r>
          </w:p>
        </w:tc>
        <w:tc>
          <w:tcPr>
            <w:tcW w:w="2052" w:type="dxa"/>
            <w:noWrap/>
            <w:hideMark/>
          </w:tcPr>
          <w:p w:rsidR="00410DD2" w:rsidRPr="007066DD" w:rsidRDefault="00410DD2" w:rsidP="0010417A">
            <w:pPr>
              <w:pStyle w:val="NoSpacing"/>
              <w:jc w:val="center"/>
              <w:cnfStyle w:val="000000100000" w:firstRow="0" w:lastRow="0" w:firstColumn="0" w:lastColumn="0" w:oddVBand="0" w:evenVBand="0" w:oddHBand="1" w:evenHBand="0" w:firstRowFirstColumn="0" w:firstRowLastColumn="0" w:lastRowFirstColumn="0" w:lastRowLastColumn="0"/>
              <w:rPr>
                <w:rFonts w:ascii="Tahoma" w:hAnsi="Tahoma" w:cs="Tahoma"/>
                <w:b/>
                <w:bCs/>
                <w:color w:val="auto"/>
                <w:sz w:val="20"/>
                <w:szCs w:val="20"/>
              </w:rPr>
            </w:pPr>
            <w:r w:rsidRPr="007066DD">
              <w:rPr>
                <w:rFonts w:ascii="Tahoma" w:hAnsi="Tahoma" w:cs="Tahoma"/>
                <w:b/>
                <w:bCs/>
                <w:color w:val="auto"/>
                <w:sz w:val="20"/>
                <w:szCs w:val="20"/>
              </w:rPr>
              <w:t>31</w:t>
            </w:r>
            <w:r w:rsidR="0010417A">
              <w:rPr>
                <w:rFonts w:ascii="Tahoma" w:hAnsi="Tahoma" w:cs="Tahoma"/>
                <w:b/>
                <w:bCs/>
                <w:color w:val="auto"/>
                <w:sz w:val="20"/>
                <w:szCs w:val="20"/>
                <w:lang w:val="sr-Cyrl-RS"/>
              </w:rPr>
              <w:t>.</w:t>
            </w:r>
            <w:r w:rsidRPr="007066DD">
              <w:rPr>
                <w:rFonts w:ascii="Tahoma" w:hAnsi="Tahoma" w:cs="Tahoma"/>
                <w:b/>
                <w:bCs/>
                <w:color w:val="auto"/>
                <w:sz w:val="20"/>
                <w:szCs w:val="20"/>
              </w:rPr>
              <w:t>841</w:t>
            </w:r>
          </w:p>
        </w:tc>
      </w:tr>
    </w:tbl>
    <w:p w:rsidR="007066DD" w:rsidRDefault="007066DD" w:rsidP="00410DD2">
      <w:pPr>
        <w:spacing w:after="120"/>
        <w:rPr>
          <w:rFonts w:asciiTheme="majorHAnsi" w:eastAsia="Times New Roman" w:hAnsiTheme="majorHAnsi" w:cs="Tahoma"/>
          <w:b/>
          <w:bCs/>
          <w:i/>
          <w:noProof/>
          <w:color w:val="4F81BD"/>
          <w:sz w:val="20"/>
          <w:szCs w:val="18"/>
          <w:lang w:val="sr-Cyrl-CS" w:eastAsia="ar-SA"/>
        </w:rPr>
      </w:pPr>
    </w:p>
    <w:p w:rsidR="00410DD2" w:rsidRPr="00BF3CDE" w:rsidRDefault="00410DD2" w:rsidP="00410DD2">
      <w:pPr>
        <w:spacing w:after="120"/>
        <w:rPr>
          <w:rFonts w:asciiTheme="majorHAnsi" w:eastAsia="Times New Roman" w:hAnsiTheme="majorHAnsi" w:cs="Tahoma"/>
          <w:b/>
          <w:bCs/>
          <w:i/>
          <w:noProof/>
          <w:color w:val="4F81BD"/>
          <w:sz w:val="20"/>
          <w:szCs w:val="18"/>
          <w:lang w:val="sr-Cyrl-CS" w:eastAsia="ar-SA"/>
        </w:rPr>
      </w:pPr>
      <w:r w:rsidRPr="00BF3CDE">
        <w:rPr>
          <w:rFonts w:asciiTheme="majorHAnsi" w:eastAsia="Times New Roman" w:hAnsiTheme="majorHAnsi" w:cs="Tahoma"/>
          <w:b/>
          <w:bCs/>
          <w:i/>
          <w:noProof/>
          <w:color w:val="4F81BD"/>
          <w:sz w:val="20"/>
          <w:szCs w:val="18"/>
          <w:lang w:val="sr-Cyrl-CS" w:eastAsia="ar-SA"/>
        </w:rPr>
        <w:t>Резер</w:t>
      </w:r>
      <w:r>
        <w:rPr>
          <w:rFonts w:asciiTheme="majorHAnsi" w:eastAsia="Times New Roman" w:hAnsiTheme="majorHAnsi" w:cs="Tahoma"/>
          <w:b/>
          <w:bCs/>
          <w:i/>
          <w:noProof/>
          <w:color w:val="4F81BD"/>
          <w:sz w:val="20"/>
          <w:szCs w:val="18"/>
          <w:lang w:val="sr-Cyrl-CS" w:eastAsia="ar-SA"/>
        </w:rPr>
        <w:t>ве за неистекле ризике</w:t>
      </w:r>
    </w:p>
    <w:p w:rsidR="00410DD2" w:rsidRPr="00410DD2" w:rsidRDefault="00410DD2" w:rsidP="00410DD2">
      <w:pPr>
        <w:jc w:val="both"/>
        <w:rPr>
          <w:noProof/>
          <w:sz w:val="20"/>
          <w:szCs w:val="20"/>
          <w:lang w:val="sr-Cyrl-CS"/>
        </w:rPr>
      </w:pPr>
      <w:bookmarkStart w:id="38" w:name="_Toc445554692"/>
      <w:bookmarkStart w:id="39" w:name="_Toc445879739"/>
      <w:bookmarkStart w:id="40" w:name="_Toc445975035"/>
      <w:bookmarkStart w:id="41" w:name="_Toc445554693"/>
      <w:bookmarkStart w:id="42" w:name="_Toc445879740"/>
      <w:bookmarkStart w:id="43" w:name="_Toc445975036"/>
      <w:bookmarkStart w:id="44" w:name="_Toc445554694"/>
      <w:bookmarkStart w:id="45" w:name="_Toc445879741"/>
      <w:bookmarkStart w:id="46" w:name="_Toc445975037"/>
      <w:bookmarkEnd w:id="38"/>
      <w:bookmarkEnd w:id="39"/>
      <w:bookmarkEnd w:id="40"/>
      <w:bookmarkEnd w:id="41"/>
      <w:bookmarkEnd w:id="42"/>
      <w:bookmarkEnd w:id="43"/>
      <w:bookmarkEnd w:id="44"/>
      <w:bookmarkEnd w:id="45"/>
      <w:bookmarkEnd w:id="46"/>
      <w:r w:rsidRPr="00410DD2">
        <w:rPr>
          <w:noProof/>
          <w:sz w:val="20"/>
          <w:szCs w:val="20"/>
          <w:lang w:val="sr-Cyrl-CS"/>
        </w:rPr>
        <w:t>Резерве за неистекле ризике представљају нову врсту техничких резерви у складу са Одлуком о техничким резервама НБС. Утврђено стање резерви за неистекле ризике на дан 31.12.2015. године од 11.711. хиљада динара је истовремено и промена у односу на претходну годину када се оне према тадашњој законској регулативи нису обрачунавале.</w:t>
      </w:r>
    </w:p>
    <w:p w:rsidR="003A1E79" w:rsidRDefault="00410DD2" w:rsidP="003A1E79">
      <w:pPr>
        <w:jc w:val="both"/>
        <w:rPr>
          <w:noProof/>
          <w:sz w:val="20"/>
          <w:szCs w:val="20"/>
          <w:lang w:val="sr-Cyrl-CS"/>
        </w:rPr>
      </w:pPr>
      <w:r w:rsidRPr="00410DD2">
        <w:rPr>
          <w:noProof/>
          <w:sz w:val="20"/>
          <w:szCs w:val="20"/>
          <w:lang w:val="sr-Cyrl-CS"/>
        </w:rPr>
        <w:t>Према Правилнику Друштво образује ове резереве у износу изнад резерви за преносне премије за покриће обавеза из осигурања које настају у наредном периоду а по уговорима из текућег периода</w:t>
      </w:r>
    </w:p>
    <w:p w:rsidR="003A1E79" w:rsidRPr="003A1E79" w:rsidRDefault="003A1E79" w:rsidP="00860C32">
      <w:pPr>
        <w:pStyle w:val="Heading1"/>
      </w:pPr>
      <w:bookmarkStart w:id="47" w:name="_Toc445975038"/>
      <w:r w:rsidRPr="003A1E79">
        <w:t>ТЕХНИЧКЕ РЕЗЕРВЕ</w:t>
      </w:r>
      <w:bookmarkEnd w:id="47"/>
    </w:p>
    <w:p w:rsidR="003A1E79" w:rsidRPr="002B17BA" w:rsidRDefault="00522569" w:rsidP="003A1E79">
      <w:pPr>
        <w:ind w:firstLine="567"/>
        <w:jc w:val="both"/>
        <w:rPr>
          <w:rFonts w:ascii="Calibri" w:eastAsia="Times New Roman" w:hAnsi="Calibri" w:cs="Times New Roman"/>
          <w:color w:val="000000"/>
          <w:lang w:val="sr-Cyrl-RS" w:eastAsia="sr-Latn-RS"/>
        </w:rPr>
      </w:pPr>
      <w:r>
        <w:rPr>
          <w:noProof/>
          <w:sz w:val="20"/>
          <w:szCs w:val="20"/>
          <w:lang w:val="sr-Cyrl-CS"/>
        </w:rPr>
        <w:t>Т</w:t>
      </w:r>
      <w:r w:rsidR="003A1E79" w:rsidRPr="003A1E79">
        <w:rPr>
          <w:noProof/>
          <w:sz w:val="20"/>
          <w:szCs w:val="20"/>
          <w:lang w:val="sr-Cyrl-CS"/>
        </w:rPr>
        <w:t>ехничке резерве утврђују се у складу са чланом 116 Закона о осигурању и имају следећу структуру</w:t>
      </w:r>
      <w:r w:rsidR="003A1E79">
        <w:rPr>
          <w:noProof/>
          <w:sz w:val="20"/>
          <w:szCs w:val="20"/>
          <w:lang w:val="sr-Cyrl-CS"/>
        </w:rPr>
        <w:t>:</w:t>
      </w:r>
      <w:r w:rsidR="003A1E79" w:rsidRPr="002B17BA">
        <w:rPr>
          <w:noProof/>
          <w:color w:val="FF0000"/>
          <w:sz w:val="20"/>
          <w:szCs w:val="20"/>
          <w:lang w:val="sr-Cyrl-CS"/>
        </w:rPr>
        <w:tab/>
      </w:r>
      <w:r w:rsidR="003A1E79" w:rsidRPr="002B17BA">
        <w:rPr>
          <w:noProof/>
          <w:color w:val="FF0000"/>
          <w:sz w:val="20"/>
          <w:szCs w:val="20"/>
          <w:lang w:val="sr-Cyrl-CS"/>
        </w:rPr>
        <w:tab/>
      </w:r>
      <w:r w:rsidR="003A1E79" w:rsidRPr="002B17BA">
        <w:rPr>
          <w:noProof/>
          <w:color w:val="FF0000"/>
          <w:sz w:val="20"/>
          <w:szCs w:val="20"/>
          <w:lang w:val="sr-Cyrl-CS"/>
        </w:rPr>
        <w:tab/>
      </w:r>
      <w:r w:rsidR="003A1E79" w:rsidRPr="002B17BA">
        <w:rPr>
          <w:rFonts w:ascii="Calibri" w:eastAsia="Times New Roman" w:hAnsi="Calibri" w:cs="Times New Roman"/>
          <w:color w:val="000000"/>
          <w:lang w:val="sr-Cyrl-RS" w:eastAsia="sr-Latn-RS"/>
        </w:rPr>
        <w:tab/>
        <w:t xml:space="preserve">  </w:t>
      </w:r>
    </w:p>
    <w:tbl>
      <w:tblPr>
        <w:tblW w:w="9282" w:type="dxa"/>
        <w:tblInd w:w="93" w:type="dxa"/>
        <w:tblLook w:val="04A0" w:firstRow="1" w:lastRow="0" w:firstColumn="1" w:lastColumn="0" w:noHBand="0" w:noVBand="1"/>
      </w:tblPr>
      <w:tblGrid>
        <w:gridCol w:w="4436"/>
        <w:gridCol w:w="2423"/>
        <w:gridCol w:w="2423"/>
      </w:tblGrid>
      <w:tr w:rsidR="003A1E79" w:rsidRPr="002B17BA" w:rsidTr="003A1E79">
        <w:trPr>
          <w:trHeight w:val="312"/>
        </w:trPr>
        <w:tc>
          <w:tcPr>
            <w:tcW w:w="4436" w:type="dxa"/>
            <w:tcBorders>
              <w:top w:val="nil"/>
              <w:left w:val="nil"/>
              <w:bottom w:val="nil"/>
              <w:right w:val="nil"/>
            </w:tcBorders>
            <w:shd w:val="clear" w:color="auto" w:fill="auto"/>
            <w:noWrap/>
            <w:vAlign w:val="bottom"/>
            <w:hideMark/>
          </w:tcPr>
          <w:p w:rsidR="003A1E79" w:rsidRPr="002B17BA" w:rsidRDefault="003A1E79" w:rsidP="003A1E79">
            <w:pPr>
              <w:spacing w:after="0" w:line="240" w:lineRule="auto"/>
              <w:rPr>
                <w:rFonts w:ascii="Calibri" w:eastAsia="Times New Roman" w:hAnsi="Calibri" w:cs="Times New Roman"/>
                <w:color w:val="000000"/>
                <w:lang w:val="sr-Cyrl-RS" w:eastAsia="sr-Latn-RS"/>
              </w:rPr>
            </w:pPr>
          </w:p>
        </w:tc>
        <w:tc>
          <w:tcPr>
            <w:tcW w:w="2423" w:type="dxa"/>
            <w:tcBorders>
              <w:top w:val="nil"/>
              <w:left w:val="nil"/>
              <w:bottom w:val="nil"/>
              <w:right w:val="nil"/>
            </w:tcBorders>
            <w:shd w:val="clear" w:color="auto" w:fill="auto"/>
            <w:noWrap/>
            <w:vAlign w:val="bottom"/>
            <w:hideMark/>
          </w:tcPr>
          <w:p w:rsidR="003A1E79" w:rsidRPr="002B17BA" w:rsidRDefault="003A1E79" w:rsidP="003A1E79">
            <w:pPr>
              <w:spacing w:after="0" w:line="240" w:lineRule="auto"/>
              <w:jc w:val="center"/>
              <w:rPr>
                <w:rFonts w:ascii="Calibri" w:eastAsia="Times New Roman" w:hAnsi="Calibri" w:cs="Times New Roman"/>
                <w:color w:val="000000"/>
                <w:lang w:val="sr-Latn-RS" w:eastAsia="sr-Latn-RS"/>
              </w:rPr>
            </w:pPr>
          </w:p>
        </w:tc>
        <w:tc>
          <w:tcPr>
            <w:tcW w:w="2423" w:type="dxa"/>
            <w:tcBorders>
              <w:top w:val="nil"/>
              <w:left w:val="nil"/>
              <w:bottom w:val="nil"/>
              <w:right w:val="nil"/>
            </w:tcBorders>
            <w:shd w:val="clear" w:color="auto" w:fill="auto"/>
            <w:noWrap/>
            <w:vAlign w:val="bottom"/>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у 000 РСД</w:t>
            </w:r>
          </w:p>
        </w:tc>
      </w:tr>
      <w:tr w:rsidR="003A1E79" w:rsidRPr="002B17BA" w:rsidTr="003A1E79">
        <w:trPr>
          <w:trHeight w:val="328"/>
        </w:trPr>
        <w:tc>
          <w:tcPr>
            <w:tcW w:w="4436" w:type="dxa"/>
            <w:tcBorders>
              <w:top w:val="nil"/>
              <w:left w:val="nil"/>
              <w:bottom w:val="single" w:sz="8" w:space="0" w:color="629DD1"/>
              <w:right w:val="nil"/>
            </w:tcBorders>
            <w:shd w:val="clear" w:color="auto" w:fill="auto"/>
            <w:vAlign w:val="center"/>
            <w:hideMark/>
          </w:tcPr>
          <w:p w:rsidR="003A1E79" w:rsidRPr="002B17BA" w:rsidRDefault="003A1E79" w:rsidP="003A1E79">
            <w:pPr>
              <w:spacing w:after="0" w:line="240" w:lineRule="auto"/>
              <w:jc w:val="center"/>
              <w:rPr>
                <w:rFonts w:ascii="Verdana" w:eastAsia="Times New Roman" w:hAnsi="Verdana" w:cs="Times New Roman"/>
                <w:b/>
                <w:bCs/>
                <w:color w:val="000000"/>
                <w:sz w:val="20"/>
                <w:szCs w:val="20"/>
                <w:lang w:val="sr-Latn-RS" w:eastAsia="sr-Latn-RS"/>
              </w:rPr>
            </w:pPr>
            <w:r w:rsidRPr="002B17BA">
              <w:rPr>
                <w:rFonts w:ascii="Verdana" w:eastAsia="Times New Roman" w:hAnsi="Verdana" w:cs="Times New Roman"/>
                <w:b/>
                <w:bCs/>
                <w:color w:val="000000"/>
                <w:sz w:val="20"/>
                <w:szCs w:val="20"/>
                <w:lang w:val="sr-Cyrl-CS" w:eastAsia="sr-Latn-RS"/>
              </w:rPr>
              <w:t> </w:t>
            </w:r>
          </w:p>
        </w:tc>
        <w:tc>
          <w:tcPr>
            <w:tcW w:w="2423" w:type="dxa"/>
            <w:tcBorders>
              <w:top w:val="nil"/>
              <w:left w:val="nil"/>
              <w:bottom w:val="single" w:sz="8" w:space="0" w:color="629DD1"/>
              <w:right w:val="nil"/>
            </w:tcBorders>
            <w:shd w:val="clear" w:color="auto" w:fill="auto"/>
            <w:vAlign w:val="center"/>
            <w:hideMark/>
          </w:tcPr>
          <w:p w:rsidR="003A1E79" w:rsidRPr="002B17BA" w:rsidRDefault="003A1E79" w:rsidP="003A1E79">
            <w:pPr>
              <w:spacing w:after="0" w:line="240" w:lineRule="auto"/>
              <w:jc w:val="right"/>
              <w:rPr>
                <w:rFonts w:ascii="Verdana" w:eastAsia="Times New Roman" w:hAnsi="Verdana" w:cs="Times New Roman"/>
                <w:b/>
                <w:bCs/>
                <w:color w:val="000000"/>
                <w:sz w:val="20"/>
                <w:szCs w:val="20"/>
                <w:lang w:val="sr-Latn-RS" w:eastAsia="sr-Latn-RS"/>
              </w:rPr>
            </w:pPr>
            <w:r w:rsidRPr="002B17BA">
              <w:rPr>
                <w:rFonts w:ascii="Verdana" w:eastAsia="Times New Roman" w:hAnsi="Verdana" w:cs="Times New Roman"/>
                <w:b/>
                <w:bCs/>
                <w:color w:val="000000"/>
                <w:sz w:val="20"/>
                <w:szCs w:val="20"/>
                <w:lang w:val="sr-Cyrl-CS" w:eastAsia="sr-Latn-RS"/>
              </w:rPr>
              <w:t>2015</w:t>
            </w:r>
          </w:p>
        </w:tc>
        <w:tc>
          <w:tcPr>
            <w:tcW w:w="2423" w:type="dxa"/>
            <w:tcBorders>
              <w:top w:val="nil"/>
              <w:left w:val="nil"/>
              <w:bottom w:val="single" w:sz="8" w:space="0" w:color="629DD1"/>
              <w:right w:val="nil"/>
            </w:tcBorders>
            <w:shd w:val="clear" w:color="auto" w:fill="auto"/>
            <w:vAlign w:val="center"/>
            <w:hideMark/>
          </w:tcPr>
          <w:p w:rsidR="003A1E79" w:rsidRPr="002B17BA" w:rsidRDefault="003A1E79" w:rsidP="003A1E79">
            <w:pPr>
              <w:spacing w:after="0" w:line="240" w:lineRule="auto"/>
              <w:jc w:val="right"/>
              <w:rPr>
                <w:rFonts w:ascii="Verdana" w:eastAsia="Times New Roman" w:hAnsi="Verdana" w:cs="Times New Roman"/>
                <w:b/>
                <w:bCs/>
                <w:color w:val="000000"/>
                <w:sz w:val="20"/>
                <w:szCs w:val="20"/>
                <w:lang w:val="sr-Latn-RS" w:eastAsia="sr-Latn-RS"/>
              </w:rPr>
            </w:pPr>
            <w:r w:rsidRPr="002B17BA">
              <w:rPr>
                <w:rFonts w:ascii="Verdana" w:eastAsia="Times New Roman" w:hAnsi="Verdana" w:cs="Times New Roman"/>
                <w:b/>
                <w:bCs/>
                <w:color w:val="000000"/>
                <w:sz w:val="20"/>
                <w:szCs w:val="20"/>
                <w:lang w:val="sr-Cyrl-CS" w:eastAsia="sr-Latn-RS"/>
              </w:rPr>
              <w:t>2014</w:t>
            </w:r>
          </w:p>
        </w:tc>
      </w:tr>
      <w:tr w:rsidR="003A1E79" w:rsidRPr="002B17BA" w:rsidTr="003A1E79">
        <w:trPr>
          <w:trHeight w:val="312"/>
        </w:trPr>
        <w:tc>
          <w:tcPr>
            <w:tcW w:w="4436" w:type="dxa"/>
            <w:tcBorders>
              <w:top w:val="nil"/>
              <w:left w:val="nil"/>
              <w:bottom w:val="nil"/>
              <w:right w:val="nil"/>
            </w:tcBorders>
            <w:shd w:val="clear" w:color="000000" w:fill="D8E6F3"/>
            <w:vAlign w:val="center"/>
            <w:hideMark/>
          </w:tcPr>
          <w:p w:rsidR="003A1E79" w:rsidRPr="002B17BA" w:rsidRDefault="003A1E79" w:rsidP="003A1E79">
            <w:pPr>
              <w:spacing w:after="0" w:line="240" w:lineRule="auto"/>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Математичка резерва</w:t>
            </w:r>
          </w:p>
        </w:tc>
        <w:tc>
          <w:tcPr>
            <w:tcW w:w="2423" w:type="dxa"/>
            <w:tcBorders>
              <w:top w:val="nil"/>
              <w:left w:val="nil"/>
              <w:bottom w:val="nil"/>
              <w:right w:val="nil"/>
            </w:tcBorders>
            <w:shd w:val="clear" w:color="000000" w:fill="D8E6F3"/>
            <w:vAlign w:val="center"/>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22.076</w:t>
            </w:r>
          </w:p>
        </w:tc>
        <w:tc>
          <w:tcPr>
            <w:tcW w:w="2423" w:type="dxa"/>
            <w:tcBorders>
              <w:top w:val="nil"/>
              <w:left w:val="nil"/>
              <w:bottom w:val="nil"/>
              <w:right w:val="nil"/>
            </w:tcBorders>
            <w:shd w:val="clear" w:color="000000" w:fill="D8E6F3"/>
            <w:vAlign w:val="center"/>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21.585</w:t>
            </w:r>
          </w:p>
        </w:tc>
      </w:tr>
      <w:tr w:rsidR="003A1E79" w:rsidRPr="002B17BA" w:rsidTr="003A1E79">
        <w:trPr>
          <w:trHeight w:val="312"/>
        </w:trPr>
        <w:tc>
          <w:tcPr>
            <w:tcW w:w="4436" w:type="dxa"/>
            <w:tcBorders>
              <w:top w:val="nil"/>
              <w:left w:val="nil"/>
              <w:bottom w:val="nil"/>
              <w:right w:val="nil"/>
            </w:tcBorders>
            <w:shd w:val="clear" w:color="auto" w:fill="auto"/>
            <w:vAlign w:val="center"/>
            <w:hideMark/>
          </w:tcPr>
          <w:p w:rsidR="003A1E79" w:rsidRPr="002B17BA" w:rsidRDefault="003A1E79" w:rsidP="003A1E79">
            <w:pPr>
              <w:spacing w:after="0" w:line="240" w:lineRule="auto"/>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Преносне премије</w:t>
            </w:r>
          </w:p>
        </w:tc>
        <w:tc>
          <w:tcPr>
            <w:tcW w:w="2423" w:type="dxa"/>
            <w:tcBorders>
              <w:top w:val="nil"/>
              <w:left w:val="nil"/>
              <w:bottom w:val="nil"/>
              <w:right w:val="nil"/>
            </w:tcBorders>
            <w:shd w:val="clear" w:color="auto" w:fill="auto"/>
            <w:vAlign w:val="center"/>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389.252</w:t>
            </w:r>
          </w:p>
        </w:tc>
        <w:tc>
          <w:tcPr>
            <w:tcW w:w="2423" w:type="dxa"/>
            <w:tcBorders>
              <w:top w:val="nil"/>
              <w:left w:val="nil"/>
              <w:bottom w:val="nil"/>
              <w:right w:val="nil"/>
            </w:tcBorders>
            <w:shd w:val="clear" w:color="auto" w:fill="auto"/>
            <w:vAlign w:val="center"/>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341.696</w:t>
            </w:r>
          </w:p>
        </w:tc>
      </w:tr>
      <w:tr w:rsidR="003A1E79" w:rsidRPr="002B17BA" w:rsidTr="003A1E79">
        <w:trPr>
          <w:trHeight w:val="312"/>
        </w:trPr>
        <w:tc>
          <w:tcPr>
            <w:tcW w:w="4436" w:type="dxa"/>
            <w:tcBorders>
              <w:top w:val="nil"/>
              <w:left w:val="nil"/>
              <w:bottom w:val="nil"/>
              <w:right w:val="nil"/>
            </w:tcBorders>
            <w:shd w:val="clear" w:color="000000" w:fill="D8E6F3"/>
            <w:vAlign w:val="center"/>
            <w:hideMark/>
          </w:tcPr>
          <w:p w:rsidR="003A1E79" w:rsidRPr="002B17BA" w:rsidRDefault="003A1E79" w:rsidP="003A1E79">
            <w:pPr>
              <w:spacing w:after="0" w:line="240" w:lineRule="auto"/>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Резерве за изравнање ризика</w:t>
            </w:r>
          </w:p>
        </w:tc>
        <w:tc>
          <w:tcPr>
            <w:tcW w:w="2423" w:type="dxa"/>
            <w:tcBorders>
              <w:top w:val="nil"/>
              <w:left w:val="nil"/>
              <w:bottom w:val="nil"/>
              <w:right w:val="nil"/>
            </w:tcBorders>
            <w:shd w:val="clear" w:color="000000" w:fill="D8E6F3"/>
            <w:vAlign w:val="center"/>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205</w:t>
            </w:r>
          </w:p>
        </w:tc>
        <w:tc>
          <w:tcPr>
            <w:tcW w:w="2423" w:type="dxa"/>
            <w:tcBorders>
              <w:top w:val="nil"/>
              <w:left w:val="nil"/>
              <w:bottom w:val="nil"/>
              <w:right w:val="nil"/>
            </w:tcBorders>
            <w:shd w:val="clear" w:color="000000" w:fill="D8E6F3"/>
            <w:vAlign w:val="center"/>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220.696</w:t>
            </w:r>
          </w:p>
        </w:tc>
      </w:tr>
      <w:tr w:rsidR="003A1E79" w:rsidRPr="002B17BA" w:rsidTr="003A1E79">
        <w:trPr>
          <w:trHeight w:val="328"/>
        </w:trPr>
        <w:tc>
          <w:tcPr>
            <w:tcW w:w="4436" w:type="dxa"/>
            <w:tcBorders>
              <w:top w:val="nil"/>
              <w:left w:val="nil"/>
              <w:bottom w:val="nil"/>
              <w:right w:val="nil"/>
            </w:tcBorders>
            <w:shd w:val="clear" w:color="auto" w:fill="auto"/>
            <w:vAlign w:val="center"/>
            <w:hideMark/>
          </w:tcPr>
          <w:p w:rsidR="003A1E79" w:rsidRPr="0010417A" w:rsidRDefault="0010417A" w:rsidP="003A1E79">
            <w:pPr>
              <w:spacing w:after="0" w:line="240" w:lineRule="auto"/>
              <w:rPr>
                <w:rFonts w:ascii="Verdana" w:eastAsia="Times New Roman" w:hAnsi="Verdana" w:cs="Times New Roman"/>
                <w:color w:val="000000"/>
                <w:sz w:val="20"/>
                <w:szCs w:val="20"/>
                <w:lang w:val="sr-Latn-RS" w:eastAsia="sr-Latn-RS"/>
              </w:rPr>
            </w:pPr>
            <w:r w:rsidRPr="0010417A">
              <w:rPr>
                <w:rFonts w:ascii="Tahoma" w:hAnsi="Tahoma" w:cs="Tahoma"/>
                <w:sz w:val="20"/>
                <w:szCs w:val="20"/>
                <w:lang w:val="sr-Cyrl-RS"/>
              </w:rPr>
              <w:t>Резервисане штете са ИБНР</w:t>
            </w:r>
          </w:p>
        </w:tc>
        <w:tc>
          <w:tcPr>
            <w:tcW w:w="2423" w:type="dxa"/>
            <w:tcBorders>
              <w:top w:val="nil"/>
              <w:left w:val="nil"/>
              <w:bottom w:val="nil"/>
              <w:right w:val="nil"/>
            </w:tcBorders>
            <w:shd w:val="clear" w:color="auto" w:fill="auto"/>
            <w:vAlign w:val="center"/>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1.866.528</w:t>
            </w:r>
          </w:p>
        </w:tc>
        <w:tc>
          <w:tcPr>
            <w:tcW w:w="2423" w:type="dxa"/>
            <w:tcBorders>
              <w:top w:val="nil"/>
              <w:left w:val="nil"/>
              <w:bottom w:val="nil"/>
              <w:right w:val="nil"/>
            </w:tcBorders>
            <w:shd w:val="clear" w:color="auto" w:fill="auto"/>
            <w:vAlign w:val="center"/>
            <w:hideMark/>
          </w:tcPr>
          <w:p w:rsidR="003A1E79" w:rsidRPr="002B17BA" w:rsidRDefault="003A1E79" w:rsidP="003A1E79">
            <w:pPr>
              <w:spacing w:after="0" w:line="240" w:lineRule="auto"/>
              <w:jc w:val="right"/>
              <w:rPr>
                <w:rFonts w:ascii="Verdana" w:eastAsia="Times New Roman" w:hAnsi="Verdana" w:cs="Times New Roman"/>
                <w:color w:val="000000"/>
                <w:sz w:val="20"/>
                <w:szCs w:val="20"/>
                <w:lang w:val="sr-Latn-RS" w:eastAsia="sr-Latn-RS"/>
              </w:rPr>
            </w:pPr>
            <w:r w:rsidRPr="002B17BA">
              <w:rPr>
                <w:rFonts w:ascii="Verdana" w:eastAsia="Times New Roman" w:hAnsi="Verdana" w:cs="Times New Roman"/>
                <w:color w:val="000000"/>
                <w:sz w:val="20"/>
                <w:szCs w:val="20"/>
                <w:lang w:val="sr-Cyrl-CS" w:eastAsia="sr-Latn-RS"/>
              </w:rPr>
              <w:t>1.577.705</w:t>
            </w:r>
          </w:p>
        </w:tc>
      </w:tr>
      <w:tr w:rsidR="003A1E79" w:rsidRPr="002B17BA" w:rsidTr="003A1E79">
        <w:trPr>
          <w:trHeight w:val="328"/>
        </w:trPr>
        <w:tc>
          <w:tcPr>
            <w:tcW w:w="4436" w:type="dxa"/>
            <w:tcBorders>
              <w:top w:val="nil"/>
              <w:left w:val="nil"/>
              <w:bottom w:val="nil"/>
              <w:right w:val="nil"/>
            </w:tcBorders>
            <w:shd w:val="clear" w:color="auto" w:fill="DBE5F1" w:themeFill="accent1" w:themeFillTint="33"/>
            <w:vAlign w:val="center"/>
          </w:tcPr>
          <w:p w:rsidR="003A1E79" w:rsidRPr="002B17BA" w:rsidRDefault="003A1E79" w:rsidP="003A1E79">
            <w:pPr>
              <w:spacing w:after="0" w:line="240" w:lineRule="auto"/>
              <w:rPr>
                <w:rFonts w:ascii="Verdana" w:eastAsia="Times New Roman" w:hAnsi="Verdana" w:cs="Times New Roman"/>
                <w:color w:val="000000"/>
                <w:sz w:val="20"/>
                <w:szCs w:val="20"/>
                <w:lang w:val="sr-Cyrl-CS" w:eastAsia="sr-Latn-RS"/>
              </w:rPr>
            </w:pPr>
            <w:r>
              <w:rPr>
                <w:rFonts w:ascii="Verdana" w:eastAsia="Times New Roman" w:hAnsi="Verdana" w:cs="Times New Roman"/>
                <w:color w:val="000000"/>
                <w:sz w:val="20"/>
                <w:szCs w:val="20"/>
                <w:lang w:val="sr-Cyrl-CS" w:eastAsia="sr-Latn-RS"/>
              </w:rPr>
              <w:t>Друге техничке резерве</w:t>
            </w:r>
          </w:p>
        </w:tc>
        <w:tc>
          <w:tcPr>
            <w:tcW w:w="2423" w:type="dxa"/>
            <w:tcBorders>
              <w:top w:val="nil"/>
              <w:left w:val="nil"/>
              <w:bottom w:val="nil"/>
              <w:right w:val="nil"/>
            </w:tcBorders>
            <w:shd w:val="clear" w:color="auto" w:fill="DBE5F1" w:themeFill="accent1" w:themeFillTint="33"/>
            <w:vAlign w:val="center"/>
          </w:tcPr>
          <w:p w:rsidR="003A1E79" w:rsidRPr="002B17BA" w:rsidRDefault="003A1E79" w:rsidP="003A1E79">
            <w:pPr>
              <w:spacing w:after="0" w:line="240" w:lineRule="auto"/>
              <w:jc w:val="right"/>
              <w:rPr>
                <w:rFonts w:ascii="Verdana" w:eastAsia="Times New Roman" w:hAnsi="Verdana" w:cs="Times New Roman"/>
                <w:color w:val="000000"/>
                <w:sz w:val="20"/>
                <w:szCs w:val="20"/>
                <w:lang w:val="sr-Cyrl-CS" w:eastAsia="sr-Latn-RS"/>
              </w:rPr>
            </w:pPr>
            <w:r>
              <w:rPr>
                <w:rFonts w:ascii="Verdana" w:eastAsia="Times New Roman" w:hAnsi="Verdana" w:cs="Times New Roman"/>
                <w:color w:val="000000"/>
                <w:sz w:val="20"/>
                <w:szCs w:val="20"/>
                <w:lang w:val="sr-Cyrl-CS" w:eastAsia="sr-Latn-RS"/>
              </w:rPr>
              <w:t>11.711</w:t>
            </w:r>
          </w:p>
        </w:tc>
        <w:tc>
          <w:tcPr>
            <w:tcW w:w="2423" w:type="dxa"/>
            <w:tcBorders>
              <w:top w:val="nil"/>
              <w:left w:val="nil"/>
              <w:bottom w:val="nil"/>
              <w:right w:val="nil"/>
            </w:tcBorders>
            <w:shd w:val="clear" w:color="auto" w:fill="DBE5F1" w:themeFill="accent1" w:themeFillTint="33"/>
            <w:vAlign w:val="center"/>
          </w:tcPr>
          <w:p w:rsidR="003A1E79" w:rsidRPr="002B17BA" w:rsidRDefault="003A1E79" w:rsidP="003A1E79">
            <w:pPr>
              <w:spacing w:after="0" w:line="240" w:lineRule="auto"/>
              <w:jc w:val="right"/>
              <w:rPr>
                <w:rFonts w:ascii="Verdana" w:eastAsia="Times New Roman" w:hAnsi="Verdana" w:cs="Times New Roman"/>
                <w:color w:val="000000"/>
                <w:sz w:val="20"/>
                <w:szCs w:val="20"/>
                <w:lang w:val="sr-Cyrl-CS" w:eastAsia="sr-Latn-RS"/>
              </w:rPr>
            </w:pPr>
          </w:p>
        </w:tc>
      </w:tr>
      <w:tr w:rsidR="003A1E79" w:rsidRPr="002B17BA" w:rsidTr="003A1E79">
        <w:trPr>
          <w:trHeight w:val="328"/>
        </w:trPr>
        <w:tc>
          <w:tcPr>
            <w:tcW w:w="4436" w:type="dxa"/>
            <w:tcBorders>
              <w:top w:val="single" w:sz="8" w:space="0" w:color="629DD1"/>
              <w:left w:val="nil"/>
              <w:bottom w:val="single" w:sz="8" w:space="0" w:color="629DD1"/>
              <w:right w:val="nil"/>
            </w:tcBorders>
            <w:shd w:val="clear" w:color="auto" w:fill="auto"/>
            <w:vAlign w:val="center"/>
            <w:hideMark/>
          </w:tcPr>
          <w:p w:rsidR="003A1E79" w:rsidRPr="002B17BA" w:rsidRDefault="003A1E79" w:rsidP="003A1E79">
            <w:pPr>
              <w:spacing w:after="0" w:line="240" w:lineRule="auto"/>
              <w:rPr>
                <w:rFonts w:ascii="Verdana" w:eastAsia="Times New Roman" w:hAnsi="Verdana" w:cs="Times New Roman"/>
                <w:b/>
                <w:bCs/>
                <w:color w:val="242852"/>
                <w:sz w:val="20"/>
                <w:szCs w:val="20"/>
                <w:lang w:val="sr-Latn-RS" w:eastAsia="sr-Latn-RS"/>
              </w:rPr>
            </w:pPr>
            <w:r w:rsidRPr="002B17BA">
              <w:rPr>
                <w:rFonts w:ascii="Verdana" w:eastAsia="Times New Roman" w:hAnsi="Verdana" w:cs="Times New Roman"/>
                <w:b/>
                <w:bCs/>
                <w:color w:val="242852"/>
                <w:sz w:val="20"/>
                <w:szCs w:val="20"/>
                <w:lang w:val="sr-Cyrl-CS" w:eastAsia="sr-Latn-RS"/>
              </w:rPr>
              <w:t>Стање на дан 31. децембар</w:t>
            </w:r>
          </w:p>
        </w:tc>
        <w:tc>
          <w:tcPr>
            <w:tcW w:w="2423" w:type="dxa"/>
            <w:tcBorders>
              <w:top w:val="single" w:sz="8" w:space="0" w:color="629DD1"/>
              <w:left w:val="nil"/>
              <w:bottom w:val="single" w:sz="8" w:space="0" w:color="629DD1"/>
              <w:right w:val="nil"/>
            </w:tcBorders>
            <w:shd w:val="clear" w:color="auto" w:fill="auto"/>
            <w:vAlign w:val="center"/>
            <w:hideMark/>
          </w:tcPr>
          <w:p w:rsidR="003A1E79" w:rsidRPr="002B17BA" w:rsidRDefault="003A1E79" w:rsidP="003A1E79">
            <w:pPr>
              <w:spacing w:after="0" w:line="240" w:lineRule="auto"/>
              <w:jc w:val="right"/>
              <w:rPr>
                <w:rFonts w:ascii="Verdana" w:eastAsia="Times New Roman" w:hAnsi="Verdana" w:cs="Times New Roman"/>
                <w:b/>
                <w:bCs/>
                <w:color w:val="242852"/>
                <w:sz w:val="20"/>
                <w:szCs w:val="20"/>
                <w:lang w:val="sr-Latn-RS" w:eastAsia="sr-Latn-RS"/>
              </w:rPr>
            </w:pPr>
            <w:r w:rsidRPr="002B17BA">
              <w:rPr>
                <w:rFonts w:ascii="Verdana" w:eastAsia="Times New Roman" w:hAnsi="Verdana" w:cs="Times New Roman"/>
                <w:b/>
                <w:bCs/>
                <w:color w:val="242852"/>
                <w:sz w:val="20"/>
                <w:szCs w:val="20"/>
                <w:lang w:val="sr-Cyrl-CS" w:eastAsia="sr-Latn-RS"/>
              </w:rPr>
              <w:t>2.</w:t>
            </w:r>
            <w:r>
              <w:rPr>
                <w:rFonts w:ascii="Verdana" w:eastAsia="Times New Roman" w:hAnsi="Verdana" w:cs="Times New Roman"/>
                <w:b/>
                <w:bCs/>
                <w:color w:val="242852"/>
                <w:sz w:val="20"/>
                <w:szCs w:val="20"/>
                <w:lang w:val="sr-Cyrl-CS" w:eastAsia="sr-Latn-RS"/>
              </w:rPr>
              <w:t>289.772</w:t>
            </w:r>
          </w:p>
        </w:tc>
        <w:tc>
          <w:tcPr>
            <w:tcW w:w="2423" w:type="dxa"/>
            <w:tcBorders>
              <w:top w:val="single" w:sz="8" w:space="0" w:color="629DD1"/>
              <w:left w:val="nil"/>
              <w:bottom w:val="single" w:sz="8" w:space="0" w:color="629DD1"/>
              <w:right w:val="nil"/>
            </w:tcBorders>
            <w:shd w:val="clear" w:color="auto" w:fill="auto"/>
            <w:vAlign w:val="center"/>
            <w:hideMark/>
          </w:tcPr>
          <w:p w:rsidR="003A1E79" w:rsidRPr="002B17BA" w:rsidRDefault="003A1E79" w:rsidP="003A1E79">
            <w:pPr>
              <w:spacing w:after="0" w:line="240" w:lineRule="auto"/>
              <w:jc w:val="right"/>
              <w:rPr>
                <w:rFonts w:ascii="Verdana" w:eastAsia="Times New Roman" w:hAnsi="Verdana" w:cs="Times New Roman"/>
                <w:b/>
                <w:bCs/>
                <w:color w:val="000000"/>
                <w:sz w:val="20"/>
                <w:szCs w:val="20"/>
                <w:lang w:val="sr-Latn-RS" w:eastAsia="sr-Latn-RS"/>
              </w:rPr>
            </w:pPr>
            <w:r w:rsidRPr="002B17BA">
              <w:rPr>
                <w:rFonts w:ascii="Verdana" w:eastAsia="Times New Roman" w:hAnsi="Verdana" w:cs="Times New Roman"/>
                <w:b/>
                <w:bCs/>
                <w:color w:val="000000"/>
                <w:sz w:val="20"/>
                <w:szCs w:val="20"/>
                <w:lang w:val="sr-Cyrl-CS" w:eastAsia="sr-Latn-RS"/>
              </w:rPr>
              <w:t>2.161.681</w:t>
            </w:r>
          </w:p>
        </w:tc>
      </w:tr>
    </w:tbl>
    <w:p w:rsidR="003A1E79" w:rsidRPr="00BF3CDE" w:rsidRDefault="003A1E79" w:rsidP="003A1E79">
      <w:pPr>
        <w:jc w:val="both"/>
        <w:rPr>
          <w:noProof/>
          <w:sz w:val="2"/>
          <w:szCs w:val="2"/>
          <w:highlight w:val="yellow"/>
          <w:lang w:val="sr-Cyrl-CS"/>
        </w:rPr>
      </w:pPr>
    </w:p>
    <w:p w:rsidR="003A1E79" w:rsidRPr="00BC1410" w:rsidRDefault="003A1E79" w:rsidP="003A1E79">
      <w:pPr>
        <w:ind w:firstLine="567"/>
        <w:jc w:val="both"/>
        <w:rPr>
          <w:noProof/>
          <w:sz w:val="20"/>
          <w:szCs w:val="20"/>
          <w:lang w:val="sr-Cyrl-CS"/>
        </w:rPr>
      </w:pPr>
      <w:r w:rsidRPr="00BC1410">
        <w:rPr>
          <w:noProof/>
          <w:sz w:val="20"/>
          <w:szCs w:val="20"/>
          <w:lang w:val="sr-Cyrl-CS"/>
        </w:rPr>
        <w:t>Друштво је средства техничких резерви на дан 31. децембар 2015. године уложило у следеће пласмане:</w:t>
      </w:r>
    </w:p>
    <w:tbl>
      <w:tblPr>
        <w:tblW w:w="9477" w:type="dxa"/>
        <w:tblInd w:w="108" w:type="dxa"/>
        <w:tblLook w:val="04A0" w:firstRow="1" w:lastRow="0" w:firstColumn="1" w:lastColumn="0" w:noHBand="0" w:noVBand="1"/>
      </w:tblPr>
      <w:tblGrid>
        <w:gridCol w:w="5888"/>
        <w:gridCol w:w="1796"/>
        <w:gridCol w:w="1793"/>
      </w:tblGrid>
      <w:tr w:rsidR="003A1E79" w:rsidRPr="00EF3EC3" w:rsidTr="003A1E79">
        <w:trPr>
          <w:trHeight w:val="725"/>
        </w:trPr>
        <w:tc>
          <w:tcPr>
            <w:tcW w:w="5888" w:type="dxa"/>
            <w:tcBorders>
              <w:top w:val="nil"/>
              <w:left w:val="nil"/>
              <w:bottom w:val="single" w:sz="8" w:space="0" w:color="1F497D"/>
              <w:right w:val="nil"/>
            </w:tcBorders>
            <w:shd w:val="clear" w:color="auto" w:fill="auto"/>
            <w:noWrap/>
            <w:vAlign w:val="center"/>
            <w:hideMark/>
          </w:tcPr>
          <w:p w:rsidR="003A1E79" w:rsidRPr="00EF3EC3" w:rsidRDefault="003A1E79" w:rsidP="003A1E79">
            <w:pPr>
              <w:spacing w:after="0" w:line="240" w:lineRule="auto"/>
              <w:jc w:val="center"/>
              <w:rPr>
                <w:rFonts w:ascii="Verdana" w:eastAsia="Times New Roman" w:hAnsi="Verdana" w:cs="Times New Roman"/>
                <w:b/>
                <w:bCs/>
                <w:sz w:val="20"/>
                <w:szCs w:val="20"/>
                <w:lang w:val="sr-Latn-RS" w:eastAsia="sr-Latn-RS"/>
              </w:rPr>
            </w:pPr>
            <w:r w:rsidRPr="00EF3EC3">
              <w:rPr>
                <w:rFonts w:ascii="Verdana" w:eastAsia="Times New Roman" w:hAnsi="Verdana" w:cs="Times New Roman"/>
                <w:b/>
                <w:bCs/>
                <w:sz w:val="20"/>
                <w:szCs w:val="20"/>
                <w:lang w:val="sr-Cyrl-CS" w:eastAsia="sr-Latn-RS"/>
              </w:rPr>
              <w:t>Пласмани</w:t>
            </w:r>
          </w:p>
        </w:tc>
        <w:tc>
          <w:tcPr>
            <w:tcW w:w="1796" w:type="dxa"/>
            <w:tcBorders>
              <w:top w:val="nil"/>
              <w:left w:val="nil"/>
              <w:bottom w:val="single" w:sz="8" w:space="0" w:color="1F497D"/>
              <w:right w:val="nil"/>
            </w:tcBorders>
            <w:shd w:val="clear" w:color="auto" w:fill="auto"/>
            <w:vAlign w:val="center"/>
            <w:hideMark/>
          </w:tcPr>
          <w:p w:rsidR="003A1E79" w:rsidRPr="00EF3EC3" w:rsidRDefault="003A1E79" w:rsidP="003A1E79">
            <w:pPr>
              <w:spacing w:after="0" w:line="240" w:lineRule="auto"/>
              <w:jc w:val="center"/>
              <w:rPr>
                <w:rFonts w:ascii="Verdana" w:eastAsia="Times New Roman" w:hAnsi="Verdana" w:cs="Times New Roman"/>
                <w:b/>
                <w:bCs/>
                <w:sz w:val="20"/>
                <w:szCs w:val="20"/>
                <w:lang w:val="sr-Latn-RS" w:eastAsia="sr-Latn-RS"/>
              </w:rPr>
            </w:pPr>
            <w:r w:rsidRPr="00EF3EC3">
              <w:rPr>
                <w:rFonts w:ascii="Verdana" w:eastAsia="Times New Roman" w:hAnsi="Verdana" w:cs="Times New Roman"/>
                <w:b/>
                <w:bCs/>
                <w:sz w:val="20"/>
                <w:szCs w:val="20"/>
                <w:lang w:val="sr-Cyrl-CS" w:eastAsia="sr-Latn-RS"/>
              </w:rPr>
              <w:t>Износ у 000 РСД</w:t>
            </w:r>
          </w:p>
        </w:tc>
        <w:tc>
          <w:tcPr>
            <w:tcW w:w="1793" w:type="dxa"/>
            <w:tcBorders>
              <w:top w:val="nil"/>
              <w:left w:val="nil"/>
              <w:bottom w:val="single" w:sz="8" w:space="0" w:color="1F497D"/>
              <w:right w:val="nil"/>
            </w:tcBorders>
            <w:shd w:val="clear" w:color="auto" w:fill="auto"/>
            <w:vAlign w:val="center"/>
            <w:hideMark/>
          </w:tcPr>
          <w:p w:rsidR="003A1E79" w:rsidRPr="00EF3EC3" w:rsidRDefault="003A1E79" w:rsidP="003A1E79">
            <w:pPr>
              <w:spacing w:after="0" w:line="240" w:lineRule="auto"/>
              <w:jc w:val="center"/>
              <w:rPr>
                <w:rFonts w:ascii="Verdana" w:eastAsia="Times New Roman" w:hAnsi="Verdana" w:cs="Times New Roman"/>
                <w:b/>
                <w:bCs/>
                <w:sz w:val="20"/>
                <w:szCs w:val="20"/>
                <w:lang w:val="sr-Latn-RS" w:eastAsia="sr-Latn-RS"/>
              </w:rPr>
            </w:pPr>
            <w:r w:rsidRPr="00EF3EC3">
              <w:rPr>
                <w:rFonts w:ascii="Verdana" w:eastAsia="Times New Roman" w:hAnsi="Verdana" w:cs="Times New Roman"/>
                <w:b/>
                <w:bCs/>
                <w:sz w:val="20"/>
                <w:szCs w:val="20"/>
                <w:lang w:val="sr-Cyrl-CS" w:eastAsia="sr-Latn-RS"/>
              </w:rPr>
              <w:t>Учешће</w:t>
            </w:r>
          </w:p>
        </w:tc>
      </w:tr>
      <w:tr w:rsidR="003A1E79" w:rsidRPr="00EF3EC3" w:rsidTr="003A1E79">
        <w:trPr>
          <w:trHeight w:val="279"/>
        </w:trPr>
        <w:tc>
          <w:tcPr>
            <w:tcW w:w="5888" w:type="dxa"/>
            <w:tcBorders>
              <w:top w:val="nil"/>
              <w:left w:val="nil"/>
              <w:bottom w:val="nil"/>
              <w:right w:val="nil"/>
            </w:tcBorders>
            <w:shd w:val="clear" w:color="000000" w:fill="DCE6F1"/>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Депозити код банка</w:t>
            </w:r>
          </w:p>
        </w:tc>
        <w:tc>
          <w:tcPr>
            <w:tcW w:w="1796" w:type="dxa"/>
            <w:tcBorders>
              <w:top w:val="nil"/>
              <w:left w:val="nil"/>
              <w:bottom w:val="nil"/>
              <w:right w:val="nil"/>
            </w:tcBorders>
            <w:shd w:val="clear" w:color="000000" w:fill="DCE6F1"/>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92.436</w:t>
            </w:r>
          </w:p>
        </w:tc>
        <w:tc>
          <w:tcPr>
            <w:tcW w:w="1793" w:type="dxa"/>
            <w:tcBorders>
              <w:top w:val="nil"/>
              <w:left w:val="nil"/>
              <w:bottom w:val="nil"/>
              <w:right w:val="nil"/>
            </w:tcBorders>
            <w:shd w:val="clear" w:color="000000" w:fill="DCE6F1"/>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4,04%</w:t>
            </w:r>
          </w:p>
        </w:tc>
      </w:tr>
      <w:tr w:rsidR="003A1E79" w:rsidRPr="00EF3EC3" w:rsidTr="003A1E79">
        <w:trPr>
          <w:trHeight w:val="279"/>
        </w:trPr>
        <w:tc>
          <w:tcPr>
            <w:tcW w:w="5888" w:type="dxa"/>
            <w:tcBorders>
              <w:top w:val="nil"/>
              <w:left w:val="nil"/>
              <w:bottom w:val="nil"/>
              <w:right w:val="nil"/>
            </w:tcBorders>
            <w:shd w:val="clear" w:color="auto" w:fill="auto"/>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Акције на листи А београдске берзе</w:t>
            </w:r>
          </w:p>
        </w:tc>
        <w:tc>
          <w:tcPr>
            <w:tcW w:w="1796" w:type="dxa"/>
            <w:tcBorders>
              <w:top w:val="nil"/>
              <w:left w:val="nil"/>
              <w:bottom w:val="nil"/>
              <w:right w:val="nil"/>
            </w:tcBorders>
            <w:shd w:val="clear" w:color="auto" w:fill="auto"/>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 xml:space="preserve">      32.550      </w:t>
            </w:r>
          </w:p>
        </w:tc>
        <w:tc>
          <w:tcPr>
            <w:tcW w:w="1793" w:type="dxa"/>
            <w:tcBorders>
              <w:top w:val="nil"/>
              <w:left w:val="nil"/>
              <w:bottom w:val="nil"/>
              <w:right w:val="nil"/>
            </w:tcBorders>
            <w:shd w:val="clear" w:color="auto" w:fill="auto"/>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1,42%</w:t>
            </w:r>
          </w:p>
        </w:tc>
      </w:tr>
      <w:tr w:rsidR="003A1E79" w:rsidRPr="00EF3EC3" w:rsidTr="003A1E79">
        <w:trPr>
          <w:trHeight w:val="279"/>
        </w:trPr>
        <w:tc>
          <w:tcPr>
            <w:tcW w:w="5888" w:type="dxa"/>
            <w:tcBorders>
              <w:top w:val="nil"/>
              <w:left w:val="nil"/>
              <w:bottom w:val="nil"/>
              <w:right w:val="nil"/>
            </w:tcBorders>
            <w:shd w:val="clear" w:color="000000" w:fill="DCE6F1"/>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Акције ван лисе А београдске берзе</w:t>
            </w:r>
          </w:p>
        </w:tc>
        <w:tc>
          <w:tcPr>
            <w:tcW w:w="1796" w:type="dxa"/>
            <w:tcBorders>
              <w:top w:val="nil"/>
              <w:left w:val="nil"/>
              <w:bottom w:val="nil"/>
              <w:right w:val="nil"/>
            </w:tcBorders>
            <w:shd w:val="clear" w:color="000000" w:fill="DCE6F1"/>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27.965</w:t>
            </w:r>
          </w:p>
        </w:tc>
        <w:tc>
          <w:tcPr>
            <w:tcW w:w="1793" w:type="dxa"/>
            <w:tcBorders>
              <w:top w:val="nil"/>
              <w:left w:val="nil"/>
              <w:bottom w:val="nil"/>
              <w:right w:val="nil"/>
            </w:tcBorders>
            <w:shd w:val="clear" w:color="000000" w:fill="DCE6F1"/>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1,22%</w:t>
            </w:r>
          </w:p>
        </w:tc>
      </w:tr>
      <w:tr w:rsidR="003A1E79" w:rsidRPr="00EF3EC3" w:rsidTr="003A1E79">
        <w:trPr>
          <w:trHeight w:val="279"/>
        </w:trPr>
        <w:tc>
          <w:tcPr>
            <w:tcW w:w="5888" w:type="dxa"/>
            <w:tcBorders>
              <w:top w:val="nil"/>
              <w:left w:val="nil"/>
              <w:bottom w:val="nil"/>
              <w:right w:val="nil"/>
            </w:tcBorders>
            <w:shd w:val="clear" w:color="auto" w:fill="auto"/>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Записи РС без ограничења</w:t>
            </w:r>
          </w:p>
        </w:tc>
        <w:tc>
          <w:tcPr>
            <w:tcW w:w="1796" w:type="dxa"/>
            <w:tcBorders>
              <w:top w:val="nil"/>
              <w:left w:val="nil"/>
              <w:bottom w:val="nil"/>
              <w:right w:val="nil"/>
            </w:tcBorders>
            <w:shd w:val="clear" w:color="auto" w:fill="auto"/>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268.846</w:t>
            </w:r>
          </w:p>
        </w:tc>
        <w:tc>
          <w:tcPr>
            <w:tcW w:w="1793" w:type="dxa"/>
            <w:tcBorders>
              <w:top w:val="nil"/>
              <w:left w:val="nil"/>
              <w:bottom w:val="nil"/>
              <w:right w:val="nil"/>
            </w:tcBorders>
            <w:shd w:val="clear" w:color="auto" w:fill="auto"/>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11,74%</w:t>
            </w:r>
          </w:p>
        </w:tc>
      </w:tr>
      <w:tr w:rsidR="003A1E79" w:rsidRPr="00EF3EC3" w:rsidTr="003A1E79">
        <w:trPr>
          <w:trHeight w:val="279"/>
        </w:trPr>
        <w:tc>
          <w:tcPr>
            <w:tcW w:w="5888" w:type="dxa"/>
            <w:tcBorders>
              <w:top w:val="nil"/>
              <w:left w:val="nil"/>
              <w:bottom w:val="nil"/>
              <w:right w:val="nil"/>
            </w:tcBorders>
            <w:shd w:val="clear" w:color="000000" w:fill="DCE6F1"/>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Latn-RS" w:eastAsia="sr-Latn-RS"/>
              </w:rPr>
              <w:t>Записи РС без ограничења-живот</w:t>
            </w:r>
          </w:p>
        </w:tc>
        <w:tc>
          <w:tcPr>
            <w:tcW w:w="1796" w:type="dxa"/>
            <w:tcBorders>
              <w:top w:val="nil"/>
              <w:left w:val="nil"/>
              <w:bottom w:val="nil"/>
              <w:right w:val="nil"/>
            </w:tcBorders>
            <w:shd w:val="clear" w:color="000000" w:fill="DCE6F1"/>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Latn-RS" w:eastAsia="sr-Latn-RS"/>
              </w:rPr>
              <w:t>6.693</w:t>
            </w:r>
          </w:p>
        </w:tc>
        <w:tc>
          <w:tcPr>
            <w:tcW w:w="1793" w:type="dxa"/>
            <w:tcBorders>
              <w:top w:val="nil"/>
              <w:left w:val="nil"/>
              <w:bottom w:val="nil"/>
              <w:right w:val="nil"/>
            </w:tcBorders>
            <w:shd w:val="clear" w:color="000000" w:fill="DCE6F1"/>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Latn-RS" w:eastAsia="sr-Latn-RS"/>
              </w:rPr>
              <w:t>0,29%</w:t>
            </w:r>
          </w:p>
        </w:tc>
      </w:tr>
      <w:tr w:rsidR="003A1E79" w:rsidRPr="00EF3EC3" w:rsidTr="003A1E79">
        <w:trPr>
          <w:trHeight w:val="279"/>
        </w:trPr>
        <w:tc>
          <w:tcPr>
            <w:tcW w:w="5888" w:type="dxa"/>
            <w:tcBorders>
              <w:top w:val="nil"/>
              <w:left w:val="nil"/>
              <w:bottom w:val="nil"/>
              <w:right w:val="nil"/>
            </w:tcBorders>
            <w:shd w:val="clear" w:color="auto" w:fill="auto"/>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Сreдства на рачуну без ограничења-неживот</w:t>
            </w:r>
          </w:p>
        </w:tc>
        <w:tc>
          <w:tcPr>
            <w:tcW w:w="1796" w:type="dxa"/>
            <w:tcBorders>
              <w:top w:val="nil"/>
              <w:left w:val="nil"/>
              <w:bottom w:val="nil"/>
              <w:right w:val="nil"/>
            </w:tcBorders>
            <w:shd w:val="clear" w:color="auto" w:fill="auto"/>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56.228</w:t>
            </w:r>
          </w:p>
        </w:tc>
        <w:tc>
          <w:tcPr>
            <w:tcW w:w="1793" w:type="dxa"/>
            <w:tcBorders>
              <w:top w:val="nil"/>
              <w:left w:val="nil"/>
              <w:bottom w:val="nil"/>
              <w:right w:val="nil"/>
            </w:tcBorders>
            <w:shd w:val="clear" w:color="auto" w:fill="auto"/>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2,46%</w:t>
            </w:r>
          </w:p>
        </w:tc>
      </w:tr>
      <w:tr w:rsidR="003A1E79" w:rsidRPr="00EF3EC3" w:rsidTr="003A1E79">
        <w:trPr>
          <w:trHeight w:val="279"/>
        </w:trPr>
        <w:tc>
          <w:tcPr>
            <w:tcW w:w="5888" w:type="dxa"/>
            <w:tcBorders>
              <w:top w:val="nil"/>
              <w:left w:val="nil"/>
              <w:bottom w:val="nil"/>
              <w:right w:val="nil"/>
            </w:tcBorders>
            <w:shd w:val="clear" w:color="000000" w:fill="DCE6F1"/>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Сreдства на рачуну без ограничења-живот</w:t>
            </w:r>
          </w:p>
        </w:tc>
        <w:tc>
          <w:tcPr>
            <w:tcW w:w="1796" w:type="dxa"/>
            <w:tcBorders>
              <w:top w:val="nil"/>
              <w:left w:val="nil"/>
              <w:bottom w:val="nil"/>
              <w:right w:val="nil"/>
            </w:tcBorders>
            <w:shd w:val="clear" w:color="000000" w:fill="DCE6F1"/>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7</w:t>
            </w:r>
          </w:p>
        </w:tc>
        <w:tc>
          <w:tcPr>
            <w:tcW w:w="1793" w:type="dxa"/>
            <w:tcBorders>
              <w:top w:val="nil"/>
              <w:left w:val="nil"/>
              <w:bottom w:val="nil"/>
              <w:right w:val="nil"/>
            </w:tcBorders>
            <w:shd w:val="clear" w:color="000000" w:fill="DCE6F1"/>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0,00%</w:t>
            </w:r>
          </w:p>
        </w:tc>
      </w:tr>
      <w:tr w:rsidR="003A1E79" w:rsidRPr="00EF3EC3" w:rsidTr="003A1E79">
        <w:trPr>
          <w:trHeight w:val="293"/>
        </w:trPr>
        <w:tc>
          <w:tcPr>
            <w:tcW w:w="5888" w:type="dxa"/>
            <w:tcBorders>
              <w:top w:val="nil"/>
              <w:left w:val="nil"/>
              <w:bottom w:val="nil"/>
              <w:right w:val="nil"/>
            </w:tcBorders>
            <w:shd w:val="clear" w:color="auto" w:fill="auto"/>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Средства у прен. премијама и резер.штет.-живот</w:t>
            </w:r>
          </w:p>
        </w:tc>
        <w:tc>
          <w:tcPr>
            <w:tcW w:w="1796" w:type="dxa"/>
            <w:tcBorders>
              <w:top w:val="nil"/>
              <w:left w:val="nil"/>
              <w:bottom w:val="nil"/>
              <w:right w:val="nil"/>
            </w:tcBorders>
            <w:shd w:val="clear" w:color="auto" w:fill="auto"/>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42.236</w:t>
            </w:r>
          </w:p>
        </w:tc>
        <w:tc>
          <w:tcPr>
            <w:tcW w:w="1793" w:type="dxa"/>
            <w:tcBorders>
              <w:top w:val="nil"/>
              <w:left w:val="nil"/>
              <w:bottom w:val="nil"/>
              <w:right w:val="nil"/>
            </w:tcBorders>
            <w:shd w:val="clear" w:color="auto" w:fill="auto"/>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2,40%</w:t>
            </w:r>
          </w:p>
        </w:tc>
      </w:tr>
      <w:tr w:rsidR="003A1E79" w:rsidRPr="00EF3EC3" w:rsidTr="003A1E79">
        <w:trPr>
          <w:trHeight w:val="293"/>
        </w:trPr>
        <w:tc>
          <w:tcPr>
            <w:tcW w:w="5888" w:type="dxa"/>
            <w:tcBorders>
              <w:top w:val="nil"/>
              <w:left w:val="nil"/>
              <w:bottom w:val="single" w:sz="8" w:space="0" w:color="1F497D"/>
              <w:right w:val="nil"/>
            </w:tcBorders>
            <w:shd w:val="clear" w:color="000000" w:fill="DCE6F1"/>
            <w:noWrap/>
            <w:vAlign w:val="center"/>
            <w:hideMark/>
          </w:tcPr>
          <w:p w:rsidR="003A1E79" w:rsidRPr="00EF3EC3" w:rsidRDefault="003A1E79" w:rsidP="003A1E79">
            <w:pPr>
              <w:spacing w:after="0" w:line="240" w:lineRule="auto"/>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Средства у прен. премијама и резер.штет.-неживот</w:t>
            </w:r>
          </w:p>
        </w:tc>
        <w:tc>
          <w:tcPr>
            <w:tcW w:w="1796" w:type="dxa"/>
            <w:tcBorders>
              <w:top w:val="nil"/>
              <w:left w:val="nil"/>
              <w:bottom w:val="single" w:sz="8" w:space="0" w:color="1F497D"/>
              <w:right w:val="nil"/>
            </w:tcBorders>
            <w:shd w:val="clear" w:color="000000" w:fill="DCE6F1"/>
            <w:vAlign w:val="center"/>
            <w:hideMark/>
          </w:tcPr>
          <w:p w:rsidR="003A1E79" w:rsidRPr="00EF3EC3" w:rsidRDefault="003A1E79" w:rsidP="003A1E79">
            <w:pPr>
              <w:spacing w:after="0" w:line="240" w:lineRule="auto"/>
              <w:jc w:val="right"/>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1.762.811</w:t>
            </w:r>
          </w:p>
        </w:tc>
        <w:tc>
          <w:tcPr>
            <w:tcW w:w="1793" w:type="dxa"/>
            <w:tcBorders>
              <w:top w:val="nil"/>
              <w:left w:val="nil"/>
              <w:bottom w:val="single" w:sz="8" w:space="0" w:color="1F497D"/>
              <w:right w:val="nil"/>
            </w:tcBorders>
            <w:shd w:val="clear" w:color="000000" w:fill="DCE6F1"/>
            <w:vAlign w:val="center"/>
            <w:hideMark/>
          </w:tcPr>
          <w:p w:rsidR="003A1E79" w:rsidRPr="00EF3EC3" w:rsidRDefault="003A1E79" w:rsidP="003A1E79">
            <w:pPr>
              <w:spacing w:after="0" w:line="240" w:lineRule="auto"/>
              <w:jc w:val="center"/>
              <w:rPr>
                <w:rFonts w:ascii="Verdana" w:eastAsia="Times New Roman" w:hAnsi="Verdana" w:cs="Times New Roman"/>
                <w:sz w:val="20"/>
                <w:szCs w:val="20"/>
                <w:lang w:val="sr-Latn-RS" w:eastAsia="sr-Latn-RS"/>
              </w:rPr>
            </w:pPr>
            <w:r w:rsidRPr="00EF3EC3">
              <w:rPr>
                <w:rFonts w:ascii="Verdana" w:eastAsia="Times New Roman" w:hAnsi="Verdana" w:cs="Times New Roman"/>
                <w:sz w:val="20"/>
                <w:szCs w:val="20"/>
                <w:lang w:val="sr-Cyrl-CS" w:eastAsia="sr-Latn-RS"/>
              </w:rPr>
              <w:t>76,99%</w:t>
            </w:r>
          </w:p>
        </w:tc>
      </w:tr>
      <w:tr w:rsidR="003A1E79" w:rsidRPr="00EF3EC3" w:rsidTr="003A1E79">
        <w:trPr>
          <w:trHeight w:val="293"/>
        </w:trPr>
        <w:tc>
          <w:tcPr>
            <w:tcW w:w="5888" w:type="dxa"/>
            <w:tcBorders>
              <w:top w:val="nil"/>
              <w:left w:val="nil"/>
              <w:bottom w:val="single" w:sz="8" w:space="0" w:color="1F497D"/>
              <w:right w:val="nil"/>
            </w:tcBorders>
            <w:shd w:val="clear" w:color="auto" w:fill="auto"/>
            <w:noWrap/>
            <w:vAlign w:val="center"/>
            <w:hideMark/>
          </w:tcPr>
          <w:p w:rsidR="003A1E79" w:rsidRPr="00EF3EC3" w:rsidRDefault="003A1E79" w:rsidP="003A1E79">
            <w:pPr>
              <w:spacing w:after="0" w:line="240" w:lineRule="auto"/>
              <w:jc w:val="center"/>
              <w:rPr>
                <w:rFonts w:ascii="Verdana" w:eastAsia="Times New Roman" w:hAnsi="Verdana" w:cs="Times New Roman"/>
                <w:b/>
                <w:bCs/>
                <w:sz w:val="20"/>
                <w:szCs w:val="20"/>
                <w:lang w:val="sr-Latn-RS" w:eastAsia="sr-Latn-RS"/>
              </w:rPr>
            </w:pPr>
            <w:r w:rsidRPr="00EF3EC3">
              <w:rPr>
                <w:rFonts w:ascii="Verdana" w:eastAsia="Times New Roman" w:hAnsi="Verdana" w:cs="Times New Roman"/>
                <w:b/>
                <w:bCs/>
                <w:sz w:val="20"/>
                <w:szCs w:val="20"/>
                <w:lang w:val="sr-Cyrl-CS" w:eastAsia="sr-Latn-RS"/>
              </w:rPr>
              <w:t>УКУПНО</w:t>
            </w:r>
          </w:p>
        </w:tc>
        <w:tc>
          <w:tcPr>
            <w:tcW w:w="1796" w:type="dxa"/>
            <w:tcBorders>
              <w:top w:val="nil"/>
              <w:left w:val="nil"/>
              <w:bottom w:val="single" w:sz="8" w:space="0" w:color="1F497D"/>
              <w:right w:val="nil"/>
            </w:tcBorders>
            <w:shd w:val="clear" w:color="auto" w:fill="auto"/>
            <w:vAlign w:val="center"/>
            <w:hideMark/>
          </w:tcPr>
          <w:p w:rsidR="003A1E79" w:rsidRPr="00EF3EC3" w:rsidRDefault="003A1E79" w:rsidP="003A1E79">
            <w:pPr>
              <w:spacing w:after="0" w:line="240" w:lineRule="auto"/>
              <w:jc w:val="center"/>
              <w:rPr>
                <w:rFonts w:ascii="Verdana" w:eastAsia="Times New Roman" w:hAnsi="Verdana" w:cs="Times New Roman"/>
                <w:b/>
                <w:bCs/>
                <w:sz w:val="20"/>
                <w:szCs w:val="20"/>
                <w:lang w:val="sr-Latn-RS" w:eastAsia="sr-Latn-RS"/>
              </w:rPr>
            </w:pPr>
            <w:r w:rsidRPr="00EF3EC3">
              <w:rPr>
                <w:rFonts w:ascii="Verdana" w:eastAsia="Times New Roman" w:hAnsi="Verdana" w:cs="Times New Roman"/>
                <w:b/>
                <w:bCs/>
                <w:sz w:val="20"/>
                <w:szCs w:val="20"/>
                <w:lang w:val="sr-Cyrl-CS" w:eastAsia="sr-Latn-RS"/>
              </w:rPr>
              <w:t>2.289.772</w:t>
            </w:r>
          </w:p>
        </w:tc>
        <w:tc>
          <w:tcPr>
            <w:tcW w:w="1793" w:type="dxa"/>
            <w:tcBorders>
              <w:top w:val="nil"/>
              <w:left w:val="nil"/>
              <w:bottom w:val="single" w:sz="8" w:space="0" w:color="1F497D"/>
              <w:right w:val="nil"/>
            </w:tcBorders>
            <w:shd w:val="clear" w:color="auto" w:fill="auto"/>
            <w:vAlign w:val="center"/>
            <w:hideMark/>
          </w:tcPr>
          <w:p w:rsidR="003A1E79" w:rsidRPr="00EF3EC3" w:rsidRDefault="003A1E79" w:rsidP="003A1E79">
            <w:pPr>
              <w:spacing w:after="0" w:line="240" w:lineRule="auto"/>
              <w:jc w:val="center"/>
              <w:rPr>
                <w:rFonts w:ascii="Verdana" w:eastAsia="Times New Roman" w:hAnsi="Verdana" w:cs="Times New Roman"/>
                <w:b/>
                <w:bCs/>
                <w:sz w:val="20"/>
                <w:szCs w:val="20"/>
                <w:lang w:val="sr-Latn-RS" w:eastAsia="sr-Latn-RS"/>
              </w:rPr>
            </w:pPr>
            <w:r w:rsidRPr="00EF3EC3">
              <w:rPr>
                <w:rFonts w:ascii="Verdana" w:eastAsia="Times New Roman" w:hAnsi="Verdana" w:cs="Times New Roman"/>
                <w:b/>
                <w:bCs/>
                <w:sz w:val="20"/>
                <w:szCs w:val="20"/>
                <w:lang w:val="sr-Cyrl-CS" w:eastAsia="sr-Latn-RS"/>
              </w:rPr>
              <w:t>100,00%</w:t>
            </w:r>
          </w:p>
        </w:tc>
      </w:tr>
    </w:tbl>
    <w:p w:rsidR="00522569" w:rsidRDefault="00522569" w:rsidP="00522569">
      <w:pPr>
        <w:spacing w:after="0"/>
        <w:jc w:val="center"/>
        <w:rPr>
          <w:rFonts w:eastAsiaTheme="minorEastAsia"/>
          <w:b/>
          <w:i/>
          <w:noProof/>
          <w:color w:val="365F91" w:themeColor="accent1" w:themeShade="BF"/>
          <w:sz w:val="20"/>
          <w:lang w:val="sr-Cyrl-CS" w:eastAsia="ja-JP"/>
        </w:rPr>
      </w:pPr>
    </w:p>
    <w:p w:rsidR="00522569" w:rsidRDefault="00522569" w:rsidP="00522569">
      <w:pPr>
        <w:spacing w:after="0"/>
        <w:jc w:val="center"/>
        <w:rPr>
          <w:rFonts w:eastAsiaTheme="minorEastAsia"/>
          <w:b/>
          <w:i/>
          <w:noProof/>
          <w:color w:val="365F91" w:themeColor="accent1" w:themeShade="BF"/>
          <w:sz w:val="20"/>
          <w:lang w:val="sr-Cyrl-CS" w:eastAsia="ja-JP"/>
        </w:rPr>
      </w:pPr>
      <w:r w:rsidRPr="00BF3CDE">
        <w:rPr>
          <w:rFonts w:eastAsiaTheme="minorEastAsia"/>
          <w:b/>
          <w:i/>
          <w:noProof/>
          <w:color w:val="365F91" w:themeColor="accent1" w:themeShade="BF"/>
          <w:sz w:val="20"/>
          <w:lang w:val="sr-Cyrl-CS" w:eastAsia="ja-JP"/>
        </w:rPr>
        <w:t>Структура улагања средстава техничке резерве</w:t>
      </w:r>
    </w:p>
    <w:p w:rsidR="00EC5DD2" w:rsidRDefault="00522569" w:rsidP="00410DD2">
      <w:pPr>
        <w:jc w:val="both"/>
        <w:rPr>
          <w:noProof/>
          <w:sz w:val="20"/>
          <w:szCs w:val="20"/>
          <w:lang w:val="sr-Cyrl-CS"/>
        </w:rPr>
      </w:pPr>
      <w:r w:rsidRPr="00BC1410">
        <w:rPr>
          <w:noProof/>
          <w:sz w:val="14"/>
          <w:szCs w:val="14"/>
          <w:lang w:val="sr-Latn-RS" w:eastAsia="sr-Latn-RS"/>
        </w:rPr>
        <w:drawing>
          <wp:inline distT="0" distB="0" distL="0" distR="0" wp14:anchorId="77783ADC" wp14:editId="5A76F4FE">
            <wp:extent cx="6130456" cy="1113183"/>
            <wp:effectExtent l="0" t="0" r="22860" b="1079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71269C" w:rsidRDefault="00492321" w:rsidP="00860C32">
      <w:pPr>
        <w:pStyle w:val="Heading1"/>
      </w:pPr>
      <w:bookmarkStart w:id="48" w:name="_Toc445554696"/>
      <w:bookmarkStart w:id="49" w:name="_Toc445879743"/>
      <w:bookmarkStart w:id="50" w:name="_Toc445975039"/>
      <w:bookmarkStart w:id="51" w:name="_Toc445975040"/>
      <w:bookmarkEnd w:id="48"/>
      <w:bookmarkEnd w:id="49"/>
      <w:bookmarkEnd w:id="50"/>
      <w:r w:rsidRPr="00BF3CDE">
        <w:t>ГАРАНТНЕ РЕЗЕРВЕ</w:t>
      </w:r>
      <w:r w:rsidR="0046210A" w:rsidRPr="00BF3CDE">
        <w:t xml:space="preserve"> </w:t>
      </w:r>
      <w:r w:rsidR="00EC5DD2">
        <w:t>И ОЦЕНА АДЕКВАТНОСТИ КАПИТАЛА</w:t>
      </w:r>
      <w:bookmarkEnd w:id="51"/>
    </w:p>
    <w:p w:rsidR="00EC5DD2" w:rsidRDefault="00EC5DD2" w:rsidP="00EC5DD2">
      <w:pPr>
        <w:jc w:val="both"/>
        <w:rPr>
          <w:noProof/>
          <w:sz w:val="20"/>
          <w:szCs w:val="20"/>
          <w:lang w:val="sr-Cyrl-CS"/>
        </w:rPr>
      </w:pPr>
      <w:r>
        <w:rPr>
          <w:noProof/>
          <w:sz w:val="20"/>
          <w:szCs w:val="20"/>
          <w:lang w:val="sr-Cyrl-CS"/>
        </w:rPr>
        <w:tab/>
      </w:r>
      <w:r w:rsidRPr="00EC5DD2">
        <w:rPr>
          <w:noProof/>
          <w:sz w:val="20"/>
          <w:szCs w:val="20"/>
          <w:lang w:val="sr-Cyrl-CS"/>
        </w:rPr>
        <w:t xml:space="preserve">Друштво је оценило адекватност  капитала на </w:t>
      </w:r>
      <w:r>
        <w:rPr>
          <w:noProof/>
          <w:sz w:val="20"/>
          <w:szCs w:val="20"/>
          <w:lang w:val="sr-Cyrl-CS"/>
        </w:rPr>
        <w:t xml:space="preserve">основу </w:t>
      </w:r>
      <w:r w:rsidRPr="00EC5DD2">
        <w:rPr>
          <w:noProof/>
          <w:sz w:val="20"/>
          <w:szCs w:val="20"/>
          <w:lang w:val="sr-Cyrl-CS"/>
        </w:rPr>
        <w:t>вредности свих категорија за утврђивање адекватности капитала на дан 31.12.2015. године, Закона о осигурању ("Службени гласник РС", бр.139/2014) и Одлуке о адекватности капитала друштва за осигурање/реосигурање "Службени гласник РС", бр. 51/2015.</w:t>
      </w:r>
    </w:p>
    <w:p w:rsidR="00EC5DD2" w:rsidRPr="00EC5DD2" w:rsidRDefault="00EC5DD2" w:rsidP="00EC5DD2">
      <w:pPr>
        <w:jc w:val="both"/>
        <w:rPr>
          <w:noProof/>
          <w:sz w:val="20"/>
          <w:szCs w:val="20"/>
          <w:lang w:val="sr-Cyrl-CS"/>
        </w:rPr>
      </w:pPr>
      <w:r>
        <w:rPr>
          <w:noProof/>
          <w:sz w:val="20"/>
          <w:szCs w:val="20"/>
          <w:lang w:val="sr-Cyrl-CS"/>
        </w:rPr>
        <w:tab/>
        <w:t>Захтевана маргина</w:t>
      </w:r>
      <w:r w:rsidRPr="00EC5DD2">
        <w:rPr>
          <w:noProof/>
          <w:sz w:val="20"/>
          <w:szCs w:val="20"/>
          <w:lang w:val="sr-Cyrl-CS"/>
        </w:rPr>
        <w:t xml:space="preserve"> солвентности </w:t>
      </w:r>
      <w:r>
        <w:rPr>
          <w:noProof/>
          <w:sz w:val="20"/>
          <w:szCs w:val="20"/>
          <w:lang w:val="sr-Cyrl-CS"/>
        </w:rPr>
        <w:t>је израчуната на основу</w:t>
      </w:r>
      <w:r w:rsidRPr="00EC5DD2">
        <w:rPr>
          <w:noProof/>
          <w:sz w:val="20"/>
          <w:szCs w:val="20"/>
          <w:lang w:val="sr-Cyrl-CS"/>
        </w:rPr>
        <w:t xml:space="preserve"> категорија за утврђивање маргине солвентности на дан 31.12.2015. године, </w:t>
      </w:r>
      <w:r>
        <w:rPr>
          <w:noProof/>
          <w:sz w:val="20"/>
          <w:szCs w:val="20"/>
          <w:lang w:val="sr-Cyrl-CS"/>
        </w:rPr>
        <w:t>а у складу са Законом</w:t>
      </w:r>
      <w:r w:rsidRPr="00EC5DD2">
        <w:rPr>
          <w:noProof/>
          <w:sz w:val="20"/>
          <w:szCs w:val="20"/>
          <w:lang w:val="sr-Cyrl-CS"/>
        </w:rPr>
        <w:t xml:space="preserve"> о осигурању ("Службени гласник РС", бр.139/2014) и Одлук</w:t>
      </w:r>
      <w:r>
        <w:rPr>
          <w:noProof/>
          <w:sz w:val="20"/>
          <w:szCs w:val="20"/>
          <w:lang w:val="sr-Cyrl-CS"/>
        </w:rPr>
        <w:t>ом</w:t>
      </w:r>
      <w:r w:rsidRPr="00EC5DD2">
        <w:rPr>
          <w:noProof/>
          <w:sz w:val="20"/>
          <w:szCs w:val="20"/>
          <w:lang w:val="sr-Cyrl-CS"/>
        </w:rPr>
        <w:t xml:space="preserve"> о техничким резервама („Службени гласник РС“, бр. 42/2015</w:t>
      </w:r>
      <w:r w:rsidR="00A0697D">
        <w:rPr>
          <w:noProof/>
          <w:sz w:val="20"/>
          <w:szCs w:val="20"/>
          <w:lang w:val="sr-Cyrl-CS"/>
        </w:rPr>
        <w:t>)</w:t>
      </w:r>
    </w:p>
    <w:tbl>
      <w:tblPr>
        <w:tblStyle w:val="LightShading-Accent5"/>
        <w:tblpPr w:leftFromText="180" w:rightFromText="180" w:vertAnchor="text" w:tblpY="1"/>
        <w:tblOverlap w:val="never"/>
        <w:tblW w:w="9323" w:type="dxa"/>
        <w:tblLook w:val="04A0" w:firstRow="1" w:lastRow="0" w:firstColumn="1" w:lastColumn="0" w:noHBand="0" w:noVBand="1"/>
      </w:tblPr>
      <w:tblGrid>
        <w:gridCol w:w="527"/>
        <w:gridCol w:w="5143"/>
        <w:gridCol w:w="3653"/>
      </w:tblGrid>
      <w:tr w:rsidR="003A1E79" w:rsidRPr="003A1E79" w:rsidTr="00A0697D">
        <w:trPr>
          <w:cnfStyle w:val="100000000000" w:firstRow="1" w:lastRow="0" w:firstColumn="0" w:lastColumn="0" w:oddVBand="0" w:evenVBand="0" w:oddHBand="0" w:evenHBand="0" w:firstRowFirstColumn="0" w:firstRowLastColumn="0" w:lastRowFirstColumn="0" w:lastRowLastColumn="0"/>
          <w:trHeight w:val="185"/>
        </w:trPr>
        <w:tc>
          <w:tcPr>
            <w:cnfStyle w:val="001000000000" w:firstRow="0" w:lastRow="0" w:firstColumn="1" w:lastColumn="0" w:oddVBand="0" w:evenVBand="0" w:oddHBand="0" w:evenHBand="0" w:firstRowFirstColumn="0" w:firstRowLastColumn="0" w:lastRowFirstColumn="0" w:lastRowLastColumn="0"/>
            <w:tcW w:w="458" w:type="dxa"/>
            <w:vMerge w:val="restart"/>
            <w:hideMark/>
          </w:tcPr>
          <w:p w:rsidR="003A1E79" w:rsidRPr="00A0697D" w:rsidRDefault="00A0697D" w:rsidP="00A0697D">
            <w:pPr>
              <w:jc w:val="center"/>
              <w:rPr>
                <w:rFonts w:ascii="Arial" w:eastAsia="Times New Roman" w:hAnsi="Arial" w:cs="Arial"/>
                <w:color w:val="000000"/>
                <w:sz w:val="16"/>
                <w:szCs w:val="16"/>
                <w:lang w:val="sr-Cyrl-RS" w:eastAsia="sr-Latn-RS"/>
              </w:rPr>
            </w:pPr>
            <w:r>
              <w:rPr>
                <w:rFonts w:ascii="Arial" w:eastAsia="Times New Roman" w:hAnsi="Arial" w:cs="Arial"/>
                <w:color w:val="000000"/>
                <w:sz w:val="16"/>
                <w:szCs w:val="16"/>
                <w:lang w:val="sr-Latn-RS" w:eastAsia="sr-Latn-RS"/>
              </w:rPr>
              <w:t>Р.Б.</w:t>
            </w:r>
          </w:p>
        </w:tc>
        <w:tc>
          <w:tcPr>
            <w:tcW w:w="5179" w:type="dxa"/>
            <w:vMerge w:val="restart"/>
            <w:hideMark/>
          </w:tcPr>
          <w:p w:rsidR="003A1E79" w:rsidRPr="003A1E79" w:rsidRDefault="003A1E79" w:rsidP="00A0697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ОПИС</w:t>
            </w:r>
          </w:p>
        </w:tc>
        <w:tc>
          <w:tcPr>
            <w:tcW w:w="3686" w:type="dxa"/>
            <w:vMerge w:val="restart"/>
            <w:hideMark/>
          </w:tcPr>
          <w:p w:rsidR="003A1E79" w:rsidRPr="003A1E79" w:rsidRDefault="003A1E79" w:rsidP="00A0697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износ у дин.</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458" w:type="dxa"/>
            <w:vMerge/>
            <w:hideMark/>
          </w:tcPr>
          <w:p w:rsidR="003A1E79" w:rsidRPr="003A1E79" w:rsidRDefault="003A1E79" w:rsidP="00A0697D">
            <w:pPr>
              <w:rPr>
                <w:rFonts w:ascii="Arial" w:eastAsia="Times New Roman" w:hAnsi="Arial" w:cs="Arial"/>
                <w:color w:val="000000"/>
                <w:sz w:val="16"/>
                <w:szCs w:val="16"/>
                <w:lang w:val="sr-Latn-RS" w:eastAsia="sr-Latn-RS"/>
              </w:rPr>
            </w:pPr>
          </w:p>
        </w:tc>
        <w:tc>
          <w:tcPr>
            <w:tcW w:w="5179" w:type="dxa"/>
            <w:vMerge/>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p>
        </w:tc>
        <w:tc>
          <w:tcPr>
            <w:tcW w:w="3686" w:type="dxa"/>
            <w:vMerge/>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p>
        </w:tc>
      </w:tr>
      <w:tr w:rsidR="003A1E79" w:rsidRPr="003A1E79" w:rsidTr="00A0697D">
        <w:trPr>
          <w:trHeight w:val="177"/>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I</w:t>
            </w:r>
          </w:p>
        </w:tc>
        <w:tc>
          <w:tcPr>
            <w:tcW w:w="5179" w:type="dxa"/>
            <w:hideMark/>
          </w:tcPr>
          <w:p w:rsidR="003A1E79" w:rsidRPr="003A1E79" w:rsidRDefault="003A1E79" w:rsidP="00A0697D">
            <w:pPr>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ПРИМАРНИ КАПИТАЛ (1+2+3+4+5)</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1,318,233,357</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Уплаћени основни капитал по основу обичних акција</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822,798,000</w:t>
            </w:r>
          </w:p>
        </w:tc>
      </w:tr>
      <w:tr w:rsidR="003A1E79" w:rsidRPr="003A1E79" w:rsidTr="00A0697D">
        <w:trPr>
          <w:trHeight w:val="390"/>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2.</w:t>
            </w:r>
          </w:p>
        </w:tc>
        <w:tc>
          <w:tcPr>
            <w:tcW w:w="5179" w:type="dxa"/>
            <w:hideMark/>
          </w:tcPr>
          <w:p w:rsidR="003A1E79" w:rsidRPr="003A1E79"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Резерве утврђене статутом и другим актима друштва, осим резерви повезаних с преференцијалним акцијама</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153,759,936</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3.</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Ревалоризационе резерве с нереализованим резултатима</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39,433,924</w:t>
            </w:r>
          </w:p>
        </w:tc>
      </w:tr>
      <w:tr w:rsidR="003A1E79" w:rsidRPr="003A1E79" w:rsidTr="00A0697D">
        <w:trPr>
          <w:trHeight w:val="118"/>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4.</w:t>
            </w:r>
          </w:p>
        </w:tc>
        <w:tc>
          <w:tcPr>
            <w:tcW w:w="5179" w:type="dxa"/>
            <w:hideMark/>
          </w:tcPr>
          <w:p w:rsidR="003A1E79" w:rsidRPr="003A1E79"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Нераспоређени добитак ранијих година</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165,018,581</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151"/>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5.</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Нераспоређени добитак текуће године, до 50%</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137,222,916</w:t>
            </w:r>
          </w:p>
        </w:tc>
      </w:tr>
      <w:tr w:rsidR="003A1E79" w:rsidRPr="003A1E79" w:rsidTr="00A0697D">
        <w:trPr>
          <w:trHeight w:val="142"/>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II</w:t>
            </w:r>
          </w:p>
        </w:tc>
        <w:tc>
          <w:tcPr>
            <w:tcW w:w="5179" w:type="dxa"/>
            <w:hideMark/>
          </w:tcPr>
          <w:p w:rsidR="003A1E79" w:rsidRPr="003A1E79"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ДОПУНСКИ КАПИТАЛ (6+7+8)</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0.00</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249"/>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III</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ОДБИТНЕ СТАВКЕ, ПРВИ ДЕО (9+10+11+12)</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23,429,800</w:t>
            </w:r>
          </w:p>
        </w:tc>
      </w:tr>
      <w:tr w:rsidR="003A1E79" w:rsidRPr="003A1E79" w:rsidTr="00A0697D">
        <w:trPr>
          <w:trHeight w:val="133"/>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9.</w:t>
            </w:r>
          </w:p>
        </w:tc>
        <w:tc>
          <w:tcPr>
            <w:tcW w:w="5179" w:type="dxa"/>
            <w:hideMark/>
          </w:tcPr>
          <w:p w:rsidR="003A1E79" w:rsidRPr="003A1E79"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Нематеријална имовина (улагања)</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23,429,800</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177"/>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IV</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ГАРАНТНИ КАПИТАЛ (I+II-III)</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1,294,803,557</w:t>
            </w:r>
          </w:p>
        </w:tc>
      </w:tr>
      <w:tr w:rsidR="003A1E79" w:rsidRPr="003A1E79" w:rsidTr="00A0697D">
        <w:trPr>
          <w:trHeight w:val="249"/>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V</w:t>
            </w:r>
          </w:p>
        </w:tc>
        <w:tc>
          <w:tcPr>
            <w:tcW w:w="5179" w:type="dxa"/>
            <w:hideMark/>
          </w:tcPr>
          <w:p w:rsidR="003A1E79" w:rsidRPr="003A1E79"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ОДБИТНЕ СТАВКЕ, ДРУГИ ДЕО (13+14+15)</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0.00</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VI</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ГАРАНТНА РЕЗЕРВА, ПРЕЛИМИНАРНИ РЕЗУЛТАТ (I+II-III-V)</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1,294,803,557</w:t>
            </w:r>
          </w:p>
        </w:tc>
      </w:tr>
      <w:tr w:rsidR="003A1E79" w:rsidRPr="003A1E79" w:rsidTr="00A0697D">
        <w:trPr>
          <w:trHeight w:val="336"/>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VII</w:t>
            </w:r>
          </w:p>
        </w:tc>
        <w:tc>
          <w:tcPr>
            <w:tcW w:w="5179" w:type="dxa"/>
            <w:hideMark/>
          </w:tcPr>
          <w:p w:rsidR="003A1E79" w:rsidRPr="003A1E79"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ГАРАНТНА РЕЗЕРВА, КОНАЧНИ РЕЗУЛТАТ, РАСПОЛОЖИВА МАРГИНА СОЛВЕНТНОСТИ (VI-16-17-18)</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1,294,803,557</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VIII</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ЗАХТЕВАНА МАРГИНА СОЛВЕНТНОСТИ ЗА НЕЖИВОТНА ОСИГУРАЊА/РЕОСИГУРАЊЕ (члан 126. Закона ‒ Образац ЗМС-НО/РЕ)</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253,384,702</w:t>
            </w:r>
          </w:p>
        </w:tc>
      </w:tr>
      <w:tr w:rsidR="003A1E79" w:rsidRPr="003A1E79" w:rsidTr="00A0697D">
        <w:trPr>
          <w:trHeight w:val="613"/>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IX</w:t>
            </w:r>
          </w:p>
        </w:tc>
        <w:tc>
          <w:tcPr>
            <w:tcW w:w="5179" w:type="dxa"/>
            <w:hideMark/>
          </w:tcPr>
          <w:p w:rsidR="003A1E79" w:rsidRPr="003A1E79"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РАЗЛИКА РАСПОЛОЖИВЕ И ЗАХТЕВАНЕ МАРГИНЕ СОЛВЕНТНОСТИ ЗА НЕЖИВОТНА ОСИГУРАЊА/РЕОСИГУРАЊЕ (члан 126. став 9. и члан 127. став 2. Закона) VII-VIII ≥ 0</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1,041,418,855</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X</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 xml:space="preserve">ОДНОС ЗАХТЕВАНЕ МАРГИНЕ СОЛВЕНТНОСТИ ЗА НЕЖИВОТНА ОСИГУРАЊА/РЕОСИГУРАЊЕ И ГАРАНТНОГ КАПИТАЛА (члан 128. став 1. Закона) </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0.20</w:t>
            </w:r>
          </w:p>
        </w:tc>
      </w:tr>
      <w:tr w:rsidR="003A1E79" w:rsidRPr="003A1E79" w:rsidTr="00A0697D">
        <w:trPr>
          <w:trHeight w:val="37"/>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 </w:t>
            </w:r>
          </w:p>
        </w:tc>
        <w:tc>
          <w:tcPr>
            <w:tcW w:w="5179" w:type="dxa"/>
            <w:hideMark/>
          </w:tcPr>
          <w:p w:rsidR="003A1E79" w:rsidRPr="003A1E79"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VIII/IV ≤ 3</w:t>
            </w:r>
          </w:p>
        </w:tc>
        <w:tc>
          <w:tcPr>
            <w:tcW w:w="3686" w:type="dxa"/>
            <w:hideMark/>
          </w:tcPr>
          <w:p w:rsidR="003A1E79" w:rsidRPr="003A1E79" w:rsidRDefault="003A1E79" w:rsidP="00A0697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 </w:t>
            </w:r>
          </w:p>
        </w:tc>
      </w:tr>
      <w:tr w:rsidR="003A1E79" w:rsidRPr="003A1E79" w:rsidTr="00A0697D">
        <w:trPr>
          <w:cnfStyle w:val="000000100000" w:firstRow="0" w:lastRow="0" w:firstColumn="0" w:lastColumn="0" w:oddVBand="0" w:evenVBand="0" w:oddHBand="1" w:evenHBand="0" w:firstRowFirstColumn="0" w:firstRowLastColumn="0" w:lastRowFirstColumn="0" w:lastRowLastColumn="0"/>
          <w:trHeight w:val="318"/>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XI</w:t>
            </w:r>
          </w:p>
        </w:tc>
        <w:tc>
          <w:tcPr>
            <w:tcW w:w="5179" w:type="dxa"/>
            <w:hideMark/>
          </w:tcPr>
          <w:p w:rsidR="003A1E79" w:rsidRPr="003A1E79" w:rsidRDefault="003A1E79" w:rsidP="00A0697D">
            <w:pP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color w:val="000000"/>
                <w:sz w:val="16"/>
                <w:szCs w:val="16"/>
                <w:lang w:val="sr-Latn-RS" w:eastAsia="sr-Latn-RS"/>
              </w:rPr>
            </w:pPr>
            <w:r w:rsidRPr="003A1E79">
              <w:rPr>
                <w:rFonts w:ascii="Arial" w:eastAsia="Times New Roman" w:hAnsi="Arial" w:cs="Arial"/>
                <w:b/>
                <w:bCs/>
                <w:color w:val="000000"/>
                <w:sz w:val="16"/>
                <w:szCs w:val="16"/>
                <w:lang w:val="sr-Latn-RS" w:eastAsia="sr-Latn-RS"/>
              </w:rPr>
              <w:t>ИЗНОС ПРОПИСАН ЧЛАНОМ 27. ЗАКОНА (у складу с важећом дозволом за рад)</w:t>
            </w:r>
          </w:p>
        </w:tc>
        <w:tc>
          <w:tcPr>
            <w:tcW w:w="3686" w:type="dxa"/>
            <w:hideMark/>
          </w:tcPr>
          <w:p w:rsidR="003A1E79" w:rsidRPr="003A1E79" w:rsidRDefault="003A1E79" w:rsidP="00A0697D">
            <w:pPr>
              <w:jc w:val="right"/>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389,203,520</w:t>
            </w:r>
          </w:p>
        </w:tc>
      </w:tr>
      <w:tr w:rsidR="003A1E79" w:rsidRPr="003A1E79" w:rsidTr="00A0697D">
        <w:trPr>
          <w:trHeight w:val="223"/>
        </w:trPr>
        <w:tc>
          <w:tcPr>
            <w:cnfStyle w:val="001000000000" w:firstRow="0" w:lastRow="0" w:firstColumn="1" w:lastColumn="0" w:oddVBand="0" w:evenVBand="0" w:oddHBand="0" w:evenHBand="0" w:firstRowFirstColumn="0" w:firstRowLastColumn="0" w:lastRowFirstColumn="0" w:lastRowLastColumn="0"/>
            <w:tcW w:w="458" w:type="dxa"/>
            <w:hideMark/>
          </w:tcPr>
          <w:p w:rsidR="003A1E79" w:rsidRPr="003A1E79" w:rsidRDefault="003A1E79" w:rsidP="00A0697D">
            <w:pPr>
              <w:jc w:val="center"/>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XII</w:t>
            </w:r>
          </w:p>
        </w:tc>
        <w:tc>
          <w:tcPr>
            <w:tcW w:w="5179" w:type="dxa"/>
            <w:hideMark/>
          </w:tcPr>
          <w:p w:rsidR="003A1E79" w:rsidRPr="00A0697D" w:rsidRDefault="003A1E79" w:rsidP="00A0697D">
            <w:pP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16"/>
                <w:szCs w:val="16"/>
                <w:lang w:val="sr-Cyrl-RS" w:eastAsia="sr-Latn-RS"/>
              </w:rPr>
            </w:pPr>
            <w:r w:rsidRPr="003A1E79">
              <w:rPr>
                <w:rFonts w:ascii="Arial" w:eastAsia="Times New Roman" w:hAnsi="Arial" w:cs="Arial"/>
                <w:b/>
                <w:bCs/>
                <w:color w:val="000000"/>
                <w:sz w:val="16"/>
                <w:szCs w:val="16"/>
                <w:lang w:val="sr-Latn-RS" w:eastAsia="sr-Latn-RS"/>
              </w:rPr>
              <w:t xml:space="preserve">РАЗЛИКА ГАРАНТНОГ КАПИТАЛА И ИЗНОСА ПРОПИСАНОГ ЧЛАНОМ 27. ЗАКОНА </w:t>
            </w:r>
            <w:r w:rsidR="00A0697D" w:rsidRPr="003A1E79">
              <w:rPr>
                <w:rFonts w:ascii="Arial" w:eastAsia="Times New Roman" w:hAnsi="Arial" w:cs="Arial"/>
                <w:b/>
                <w:bCs/>
                <w:color w:val="000000"/>
                <w:sz w:val="16"/>
                <w:szCs w:val="16"/>
                <w:lang w:val="sr-Latn-RS" w:eastAsia="sr-Latn-RS"/>
              </w:rPr>
              <w:t>(члан 128. став 2. Закона) IV-XI ≥ 0</w:t>
            </w:r>
            <w:r w:rsidR="00A0697D">
              <w:rPr>
                <w:rFonts w:ascii="Arial" w:eastAsia="Times New Roman" w:hAnsi="Arial" w:cs="Arial"/>
                <w:b/>
                <w:bCs/>
                <w:color w:val="000000"/>
                <w:sz w:val="16"/>
                <w:szCs w:val="16"/>
                <w:lang w:val="sr-Cyrl-RS" w:eastAsia="sr-Latn-RS"/>
              </w:rPr>
              <w:t>)</w:t>
            </w:r>
          </w:p>
        </w:tc>
        <w:tc>
          <w:tcPr>
            <w:tcW w:w="3686" w:type="dxa"/>
            <w:hideMark/>
          </w:tcPr>
          <w:p w:rsidR="003A1E79" w:rsidRPr="003A1E79" w:rsidRDefault="003A1E79" w:rsidP="00A0697D">
            <w:pPr>
              <w:jc w:val="right"/>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6"/>
                <w:szCs w:val="16"/>
                <w:lang w:val="sr-Latn-RS" w:eastAsia="sr-Latn-RS"/>
              </w:rPr>
            </w:pPr>
            <w:r w:rsidRPr="003A1E79">
              <w:rPr>
                <w:rFonts w:ascii="Arial" w:eastAsia="Times New Roman" w:hAnsi="Arial" w:cs="Arial"/>
                <w:color w:val="000000"/>
                <w:sz w:val="16"/>
                <w:szCs w:val="16"/>
                <w:lang w:val="sr-Latn-RS" w:eastAsia="sr-Latn-RS"/>
              </w:rPr>
              <w:t>905,600,037</w:t>
            </w:r>
          </w:p>
        </w:tc>
      </w:tr>
    </w:tbl>
    <w:p w:rsidR="00B74F6C" w:rsidRPr="00BF3CDE" w:rsidRDefault="00A0697D" w:rsidP="00B74F6C">
      <w:pPr>
        <w:spacing w:after="0"/>
        <w:ind w:firstLine="567"/>
        <w:jc w:val="both"/>
        <w:rPr>
          <w:noProof/>
          <w:sz w:val="2"/>
          <w:szCs w:val="2"/>
          <w:highlight w:val="yellow"/>
          <w:lang w:val="sr-Cyrl-CS"/>
        </w:rPr>
      </w:pPr>
      <w:r>
        <w:rPr>
          <w:noProof/>
          <w:sz w:val="2"/>
          <w:szCs w:val="2"/>
          <w:highlight w:val="yellow"/>
          <w:lang w:val="sr-Cyrl-CS"/>
        </w:rPr>
        <w:br w:type="textWrapping" w:clear="all"/>
      </w:r>
    </w:p>
    <w:p w:rsidR="00522569" w:rsidRDefault="00BF4B4E" w:rsidP="0071269C">
      <w:pPr>
        <w:spacing w:after="0"/>
        <w:ind w:firstLine="567"/>
        <w:jc w:val="both"/>
        <w:rPr>
          <w:noProof/>
          <w:sz w:val="20"/>
          <w:szCs w:val="20"/>
          <w:lang w:val="sr-Cyrl-CS"/>
        </w:rPr>
      </w:pPr>
      <w:r w:rsidRPr="00BF3CDE">
        <w:rPr>
          <w:noProof/>
          <w:sz w:val="20"/>
          <w:szCs w:val="20"/>
          <w:lang w:val="sr-Cyrl-CS"/>
        </w:rPr>
        <w:t>Друштво</w:t>
      </w:r>
      <w:r w:rsidR="00522569">
        <w:rPr>
          <w:noProof/>
          <w:sz w:val="20"/>
          <w:szCs w:val="20"/>
          <w:lang w:val="sr-Cyrl-CS"/>
        </w:rPr>
        <w:t xml:space="preserve"> испуњава све услове адекватности капитала.</w:t>
      </w:r>
    </w:p>
    <w:p w:rsidR="00BF4B4E" w:rsidRPr="00BF3CDE" w:rsidRDefault="00522569" w:rsidP="0071269C">
      <w:pPr>
        <w:spacing w:after="0"/>
        <w:ind w:firstLine="567"/>
        <w:jc w:val="both"/>
        <w:rPr>
          <w:noProof/>
          <w:sz w:val="20"/>
          <w:szCs w:val="20"/>
          <w:lang w:val="sr-Cyrl-CS"/>
        </w:rPr>
      </w:pPr>
      <w:r>
        <w:rPr>
          <w:noProof/>
          <w:sz w:val="20"/>
          <w:szCs w:val="20"/>
          <w:lang w:val="sr-Cyrl-CS"/>
        </w:rPr>
        <w:t>С</w:t>
      </w:r>
      <w:r w:rsidR="00BF4B4E" w:rsidRPr="00BF3CDE">
        <w:rPr>
          <w:noProof/>
          <w:sz w:val="20"/>
          <w:szCs w:val="20"/>
          <w:lang w:val="sr-Cyrl-CS"/>
        </w:rPr>
        <w:t>редства гарантних резерви на дан 31. децембар 201</w:t>
      </w:r>
      <w:r w:rsidR="00424CA6">
        <w:rPr>
          <w:noProof/>
          <w:sz w:val="20"/>
          <w:szCs w:val="20"/>
          <w:lang w:val="sr-Cyrl-CS"/>
        </w:rPr>
        <w:t>5</w:t>
      </w:r>
      <w:r w:rsidR="00BF4B4E" w:rsidRPr="00BF3CDE">
        <w:rPr>
          <w:noProof/>
          <w:sz w:val="20"/>
          <w:szCs w:val="20"/>
          <w:lang w:val="sr-Cyrl-CS"/>
        </w:rPr>
        <w:t xml:space="preserve">. године </w:t>
      </w:r>
      <w:r>
        <w:rPr>
          <w:noProof/>
          <w:sz w:val="20"/>
          <w:szCs w:val="20"/>
          <w:lang w:val="sr-Cyrl-CS"/>
        </w:rPr>
        <w:t xml:space="preserve">Друштво је </w:t>
      </w:r>
      <w:r w:rsidR="00BF4B4E" w:rsidRPr="00BF3CDE">
        <w:rPr>
          <w:noProof/>
          <w:sz w:val="20"/>
          <w:szCs w:val="20"/>
          <w:lang w:val="sr-Cyrl-CS"/>
        </w:rPr>
        <w:t>уложило у следеће пласмане:</w:t>
      </w:r>
    </w:p>
    <w:tbl>
      <w:tblPr>
        <w:tblW w:w="9720" w:type="dxa"/>
        <w:tblInd w:w="93" w:type="dxa"/>
        <w:tblLook w:val="04A0" w:firstRow="1" w:lastRow="0" w:firstColumn="1" w:lastColumn="0" w:noHBand="0" w:noVBand="1"/>
      </w:tblPr>
      <w:tblGrid>
        <w:gridCol w:w="6400"/>
        <w:gridCol w:w="1660"/>
        <w:gridCol w:w="1660"/>
      </w:tblGrid>
      <w:tr w:rsidR="002D6A53" w:rsidRPr="00BF3CDE" w:rsidTr="002D6A53">
        <w:trPr>
          <w:trHeight w:val="283"/>
        </w:trPr>
        <w:tc>
          <w:tcPr>
            <w:tcW w:w="6400" w:type="dxa"/>
            <w:tcBorders>
              <w:top w:val="nil"/>
              <w:left w:val="nil"/>
              <w:bottom w:val="single" w:sz="8" w:space="0" w:color="629DD1"/>
              <w:right w:val="nil"/>
            </w:tcBorders>
            <w:shd w:val="clear" w:color="auto" w:fill="auto"/>
            <w:vAlign w:val="center"/>
            <w:hideMark/>
          </w:tcPr>
          <w:p w:rsidR="002D6A53" w:rsidRPr="00424CA6" w:rsidRDefault="002D6A53" w:rsidP="00424CA6">
            <w:pPr>
              <w:pStyle w:val="NoSpacing"/>
              <w:jc w:val="center"/>
              <w:rPr>
                <w:rFonts w:eastAsia="Times New Roman"/>
                <w:b/>
                <w:noProof/>
                <w:sz w:val="18"/>
                <w:lang w:val="sr-Cyrl-CS"/>
              </w:rPr>
            </w:pPr>
            <w:r w:rsidRPr="00424CA6">
              <w:rPr>
                <w:rFonts w:eastAsia="Times New Roman"/>
                <w:b/>
                <w:noProof/>
                <w:sz w:val="18"/>
                <w:lang w:val="sr-Cyrl-CS"/>
              </w:rPr>
              <w:t>Пласмани</w:t>
            </w:r>
          </w:p>
        </w:tc>
        <w:tc>
          <w:tcPr>
            <w:tcW w:w="1660" w:type="dxa"/>
            <w:tcBorders>
              <w:top w:val="nil"/>
              <w:left w:val="nil"/>
              <w:bottom w:val="single" w:sz="8" w:space="0" w:color="629DD1"/>
              <w:right w:val="nil"/>
            </w:tcBorders>
            <w:shd w:val="clear" w:color="auto" w:fill="auto"/>
            <w:vAlign w:val="center"/>
            <w:hideMark/>
          </w:tcPr>
          <w:p w:rsidR="002D6A53" w:rsidRPr="00424CA6" w:rsidRDefault="002D6A53" w:rsidP="002D6A53">
            <w:pPr>
              <w:pStyle w:val="NoSpacing"/>
              <w:jc w:val="center"/>
              <w:rPr>
                <w:rFonts w:eastAsia="Times New Roman"/>
                <w:b/>
                <w:noProof/>
                <w:sz w:val="18"/>
                <w:lang w:val="sr-Cyrl-CS"/>
              </w:rPr>
            </w:pPr>
            <w:r w:rsidRPr="00424CA6">
              <w:rPr>
                <w:rFonts w:eastAsia="Times New Roman"/>
                <w:b/>
                <w:noProof/>
                <w:sz w:val="18"/>
                <w:lang w:val="sr-Cyrl-CS"/>
              </w:rPr>
              <w:t>Износ у 000 РСД</w:t>
            </w:r>
          </w:p>
        </w:tc>
        <w:tc>
          <w:tcPr>
            <w:tcW w:w="1660" w:type="dxa"/>
            <w:tcBorders>
              <w:top w:val="nil"/>
              <w:left w:val="nil"/>
              <w:bottom w:val="single" w:sz="8" w:space="0" w:color="629DD1"/>
              <w:right w:val="nil"/>
            </w:tcBorders>
            <w:shd w:val="clear" w:color="auto" w:fill="auto"/>
            <w:vAlign w:val="center"/>
            <w:hideMark/>
          </w:tcPr>
          <w:p w:rsidR="002D6A53" w:rsidRPr="00424CA6" w:rsidRDefault="002D6A53" w:rsidP="002D6A53">
            <w:pPr>
              <w:pStyle w:val="NoSpacing"/>
              <w:jc w:val="center"/>
              <w:rPr>
                <w:rFonts w:eastAsia="Times New Roman"/>
                <w:b/>
                <w:noProof/>
                <w:sz w:val="18"/>
                <w:lang w:val="sr-Cyrl-CS"/>
              </w:rPr>
            </w:pPr>
            <w:r w:rsidRPr="00424CA6">
              <w:rPr>
                <w:rFonts w:eastAsia="Times New Roman"/>
                <w:b/>
                <w:noProof/>
                <w:sz w:val="18"/>
                <w:lang w:val="sr-Cyrl-CS"/>
              </w:rPr>
              <w:t>Учешће</w:t>
            </w:r>
          </w:p>
        </w:tc>
      </w:tr>
      <w:tr w:rsidR="002D6A53" w:rsidRPr="00BF3CDE" w:rsidTr="002D6A53">
        <w:trPr>
          <w:trHeight w:val="397"/>
        </w:trPr>
        <w:tc>
          <w:tcPr>
            <w:tcW w:w="6400" w:type="dxa"/>
            <w:tcBorders>
              <w:top w:val="single" w:sz="8" w:space="0" w:color="629DD1"/>
              <w:left w:val="nil"/>
              <w:right w:val="nil"/>
            </w:tcBorders>
            <w:shd w:val="clear" w:color="auto" w:fill="DBE5F1" w:themeFill="accent1" w:themeFillTint="33"/>
            <w:vAlign w:val="center"/>
            <w:hideMark/>
          </w:tcPr>
          <w:p w:rsidR="002D6A53" w:rsidRPr="00424CA6" w:rsidRDefault="002D6A53" w:rsidP="002D6A53">
            <w:pPr>
              <w:pStyle w:val="NoSpacing"/>
              <w:rPr>
                <w:rFonts w:eastAsia="Times New Roman"/>
                <w:noProof/>
                <w:sz w:val="18"/>
                <w:lang w:val="sr-Cyrl-CS"/>
              </w:rPr>
            </w:pPr>
            <w:r w:rsidRPr="00424CA6">
              <w:rPr>
                <w:rFonts w:eastAsia="Times New Roman"/>
                <w:noProof/>
                <w:sz w:val="18"/>
                <w:lang w:val="sr-Cyrl-CS"/>
              </w:rPr>
              <w:t>Депозити код бан</w:t>
            </w:r>
            <w:r w:rsidR="00FD3A30" w:rsidRPr="00424CA6">
              <w:rPr>
                <w:rFonts w:eastAsia="Times New Roman"/>
                <w:noProof/>
                <w:sz w:val="18"/>
                <w:lang w:val="sr-Cyrl-CS"/>
              </w:rPr>
              <w:t>а</w:t>
            </w:r>
            <w:r w:rsidRPr="00424CA6">
              <w:rPr>
                <w:rFonts w:eastAsia="Times New Roman"/>
                <w:noProof/>
                <w:sz w:val="18"/>
                <w:lang w:val="sr-Cyrl-CS"/>
              </w:rPr>
              <w:t>ка</w:t>
            </w:r>
          </w:p>
        </w:tc>
        <w:tc>
          <w:tcPr>
            <w:tcW w:w="1660" w:type="dxa"/>
            <w:tcBorders>
              <w:top w:val="single" w:sz="8" w:space="0" w:color="629DD1"/>
              <w:left w:val="nil"/>
              <w:right w:val="nil"/>
            </w:tcBorders>
            <w:shd w:val="clear" w:color="auto" w:fill="DBE5F1" w:themeFill="accent1" w:themeFillTint="33"/>
            <w:vAlign w:val="center"/>
            <w:hideMark/>
          </w:tcPr>
          <w:p w:rsidR="002D6A53" w:rsidRPr="00424CA6" w:rsidRDefault="00424CA6" w:rsidP="002D6A53">
            <w:pPr>
              <w:pStyle w:val="NoSpacing"/>
              <w:jc w:val="right"/>
              <w:rPr>
                <w:rFonts w:eastAsia="Times New Roman"/>
                <w:noProof/>
                <w:sz w:val="18"/>
                <w:lang w:val="sr-Cyrl-CS"/>
              </w:rPr>
            </w:pPr>
            <w:r w:rsidRPr="00424CA6">
              <w:rPr>
                <w:rFonts w:eastAsia="Times New Roman"/>
                <w:noProof/>
                <w:sz w:val="18"/>
                <w:lang w:val="sr-Cyrl-CS"/>
              </w:rPr>
              <w:t>167.852</w:t>
            </w:r>
          </w:p>
        </w:tc>
        <w:tc>
          <w:tcPr>
            <w:tcW w:w="1660" w:type="dxa"/>
            <w:tcBorders>
              <w:top w:val="single" w:sz="8" w:space="0" w:color="629DD1"/>
              <w:left w:val="nil"/>
              <w:right w:val="nil"/>
            </w:tcBorders>
            <w:shd w:val="clear" w:color="auto" w:fill="DBE5F1" w:themeFill="accent1" w:themeFillTint="33"/>
            <w:vAlign w:val="center"/>
            <w:hideMark/>
          </w:tcPr>
          <w:p w:rsidR="002D6A53" w:rsidRPr="00424CA6" w:rsidRDefault="00424CA6" w:rsidP="002D6A53">
            <w:pPr>
              <w:pStyle w:val="NoSpacing"/>
              <w:jc w:val="center"/>
              <w:rPr>
                <w:rFonts w:eastAsia="Times New Roman"/>
                <w:noProof/>
                <w:sz w:val="18"/>
                <w:lang w:val="sr-Cyrl-CS"/>
              </w:rPr>
            </w:pPr>
            <w:r w:rsidRPr="00424CA6">
              <w:rPr>
                <w:rFonts w:eastAsia="Times New Roman"/>
                <w:noProof/>
                <w:sz w:val="18"/>
                <w:lang w:val="sr-Cyrl-CS"/>
              </w:rPr>
              <w:t>12,96</w:t>
            </w:r>
            <w:r w:rsidR="002D6A53" w:rsidRPr="00424CA6">
              <w:rPr>
                <w:rFonts w:eastAsia="Times New Roman"/>
                <w:noProof/>
                <w:sz w:val="18"/>
                <w:lang w:val="sr-Cyrl-CS"/>
              </w:rPr>
              <w:t>%</w:t>
            </w:r>
          </w:p>
        </w:tc>
      </w:tr>
      <w:tr w:rsidR="002D6A53" w:rsidRPr="00BF3CDE" w:rsidTr="002D6A53">
        <w:trPr>
          <w:trHeight w:val="397"/>
        </w:trPr>
        <w:tc>
          <w:tcPr>
            <w:tcW w:w="6400" w:type="dxa"/>
            <w:tcBorders>
              <w:top w:val="nil"/>
              <w:left w:val="nil"/>
              <w:right w:val="nil"/>
            </w:tcBorders>
            <w:shd w:val="clear" w:color="auto" w:fill="auto"/>
            <w:vAlign w:val="center"/>
            <w:hideMark/>
          </w:tcPr>
          <w:p w:rsidR="002D6A53" w:rsidRPr="00424CA6" w:rsidRDefault="002D6A53" w:rsidP="002D6A53">
            <w:pPr>
              <w:pStyle w:val="NoSpacing"/>
              <w:rPr>
                <w:rFonts w:eastAsia="Times New Roman"/>
                <w:noProof/>
                <w:sz w:val="18"/>
                <w:lang w:val="sr-Cyrl-CS"/>
              </w:rPr>
            </w:pPr>
            <w:r w:rsidRPr="00424CA6">
              <w:rPr>
                <w:rFonts w:eastAsia="Times New Roman"/>
                <w:noProof/>
                <w:sz w:val="18"/>
                <w:lang w:val="sr-Cyrl-CS"/>
              </w:rPr>
              <w:t xml:space="preserve">У акције којима се тргује ван листинга А </w:t>
            </w:r>
          </w:p>
          <w:p w:rsidR="002D6A53" w:rsidRPr="00424CA6" w:rsidRDefault="002D6A53" w:rsidP="002D6A53">
            <w:pPr>
              <w:pStyle w:val="NoSpacing"/>
              <w:rPr>
                <w:rFonts w:eastAsia="Times New Roman"/>
                <w:noProof/>
                <w:sz w:val="18"/>
                <w:lang w:val="sr-Cyrl-CS"/>
              </w:rPr>
            </w:pPr>
            <w:r w:rsidRPr="00424CA6">
              <w:rPr>
                <w:rFonts w:eastAsia="Times New Roman"/>
                <w:noProof/>
                <w:sz w:val="18"/>
                <w:lang w:val="sr-Cyrl-CS"/>
              </w:rPr>
              <w:t>у иност. ван земаља ЕУ и ОЕЦД</w:t>
            </w:r>
          </w:p>
        </w:tc>
        <w:tc>
          <w:tcPr>
            <w:tcW w:w="1660" w:type="dxa"/>
            <w:tcBorders>
              <w:top w:val="nil"/>
              <w:left w:val="nil"/>
              <w:right w:val="nil"/>
            </w:tcBorders>
            <w:shd w:val="clear" w:color="auto" w:fill="auto"/>
            <w:vAlign w:val="center"/>
            <w:hideMark/>
          </w:tcPr>
          <w:p w:rsidR="002D6A53" w:rsidRPr="00424CA6" w:rsidRDefault="00424CA6" w:rsidP="00424CA6">
            <w:pPr>
              <w:pStyle w:val="NoSpacing"/>
              <w:jc w:val="right"/>
              <w:rPr>
                <w:rFonts w:eastAsia="Times New Roman"/>
                <w:noProof/>
                <w:sz w:val="18"/>
                <w:lang w:val="sr-Cyrl-CS"/>
              </w:rPr>
            </w:pPr>
            <w:r w:rsidRPr="00424CA6">
              <w:rPr>
                <w:rFonts w:eastAsia="Times New Roman"/>
                <w:noProof/>
                <w:sz w:val="18"/>
                <w:lang w:val="sr-Cyrl-CS"/>
              </w:rPr>
              <w:t>14.523</w:t>
            </w:r>
          </w:p>
        </w:tc>
        <w:tc>
          <w:tcPr>
            <w:tcW w:w="1660" w:type="dxa"/>
            <w:tcBorders>
              <w:top w:val="nil"/>
              <w:left w:val="nil"/>
              <w:right w:val="nil"/>
            </w:tcBorders>
            <w:shd w:val="clear" w:color="auto" w:fill="auto"/>
            <w:vAlign w:val="center"/>
            <w:hideMark/>
          </w:tcPr>
          <w:p w:rsidR="002D6A53" w:rsidRPr="00424CA6" w:rsidRDefault="00424CA6" w:rsidP="002D6A53">
            <w:pPr>
              <w:pStyle w:val="NoSpacing"/>
              <w:jc w:val="center"/>
              <w:rPr>
                <w:rFonts w:eastAsia="Times New Roman"/>
                <w:noProof/>
                <w:sz w:val="18"/>
                <w:lang w:val="sr-Cyrl-CS"/>
              </w:rPr>
            </w:pPr>
            <w:r w:rsidRPr="00424CA6">
              <w:rPr>
                <w:rFonts w:eastAsia="Times New Roman"/>
                <w:noProof/>
                <w:sz w:val="18"/>
                <w:lang w:val="sr-Cyrl-CS"/>
              </w:rPr>
              <w:t>1,12</w:t>
            </w:r>
            <w:r w:rsidR="002D6A53" w:rsidRPr="00424CA6">
              <w:rPr>
                <w:rFonts w:eastAsia="Times New Roman"/>
                <w:noProof/>
                <w:sz w:val="18"/>
                <w:lang w:val="sr-Cyrl-CS"/>
              </w:rPr>
              <w:t>%</w:t>
            </w:r>
          </w:p>
        </w:tc>
      </w:tr>
      <w:tr w:rsidR="002D6A53" w:rsidRPr="00BF3CDE" w:rsidTr="002D6A53">
        <w:trPr>
          <w:trHeight w:val="397"/>
        </w:trPr>
        <w:tc>
          <w:tcPr>
            <w:tcW w:w="6400" w:type="dxa"/>
            <w:tcBorders>
              <w:top w:val="nil"/>
              <w:left w:val="nil"/>
              <w:right w:val="nil"/>
            </w:tcBorders>
            <w:shd w:val="clear" w:color="auto" w:fill="DBE5F1" w:themeFill="accent1" w:themeFillTint="33"/>
            <w:vAlign w:val="center"/>
            <w:hideMark/>
          </w:tcPr>
          <w:p w:rsidR="002D6A53" w:rsidRPr="00424CA6" w:rsidRDefault="002D6A53" w:rsidP="002D6A53">
            <w:pPr>
              <w:pStyle w:val="NoSpacing"/>
              <w:rPr>
                <w:rFonts w:eastAsia="Times New Roman"/>
                <w:noProof/>
                <w:sz w:val="18"/>
                <w:lang w:val="sr-Cyrl-CS"/>
              </w:rPr>
            </w:pPr>
            <w:r w:rsidRPr="00424CA6">
              <w:rPr>
                <w:rFonts w:eastAsia="Times New Roman"/>
                <w:noProof/>
                <w:sz w:val="18"/>
                <w:lang w:val="sr-Cyrl-CS"/>
              </w:rPr>
              <w:t xml:space="preserve">У обвезнице и дужничке ХоВ којима се тргује </w:t>
            </w:r>
          </w:p>
          <w:p w:rsidR="002D6A53" w:rsidRPr="00424CA6" w:rsidRDefault="002D6A53" w:rsidP="002D6A53">
            <w:pPr>
              <w:pStyle w:val="NoSpacing"/>
              <w:rPr>
                <w:rFonts w:eastAsia="Times New Roman"/>
                <w:noProof/>
                <w:sz w:val="18"/>
                <w:lang w:val="sr-Cyrl-CS"/>
              </w:rPr>
            </w:pPr>
            <w:r w:rsidRPr="00424CA6">
              <w:rPr>
                <w:rFonts w:eastAsia="Times New Roman"/>
                <w:noProof/>
                <w:sz w:val="18"/>
                <w:lang w:val="sr-Cyrl-CS"/>
              </w:rPr>
              <w:t>у земљи и иностранству</w:t>
            </w:r>
          </w:p>
        </w:tc>
        <w:tc>
          <w:tcPr>
            <w:tcW w:w="1660" w:type="dxa"/>
            <w:tcBorders>
              <w:top w:val="nil"/>
              <w:left w:val="nil"/>
              <w:right w:val="nil"/>
            </w:tcBorders>
            <w:shd w:val="clear" w:color="auto" w:fill="DBE5F1" w:themeFill="accent1" w:themeFillTint="33"/>
            <w:vAlign w:val="center"/>
            <w:hideMark/>
          </w:tcPr>
          <w:p w:rsidR="002D6A53" w:rsidRPr="00424CA6" w:rsidRDefault="00424CA6" w:rsidP="002D6A53">
            <w:pPr>
              <w:pStyle w:val="NoSpacing"/>
              <w:jc w:val="right"/>
              <w:rPr>
                <w:rFonts w:eastAsia="Times New Roman"/>
                <w:noProof/>
                <w:sz w:val="18"/>
                <w:lang w:val="sr-Cyrl-CS"/>
              </w:rPr>
            </w:pPr>
            <w:r w:rsidRPr="00424CA6">
              <w:rPr>
                <w:rFonts w:eastAsia="Times New Roman"/>
                <w:noProof/>
                <w:sz w:val="18"/>
                <w:lang w:val="sr-Cyrl-CS"/>
              </w:rPr>
              <w:t>888.240</w:t>
            </w:r>
          </w:p>
        </w:tc>
        <w:tc>
          <w:tcPr>
            <w:tcW w:w="1660" w:type="dxa"/>
            <w:tcBorders>
              <w:top w:val="nil"/>
              <w:left w:val="nil"/>
              <w:right w:val="nil"/>
            </w:tcBorders>
            <w:shd w:val="clear" w:color="auto" w:fill="DBE5F1" w:themeFill="accent1" w:themeFillTint="33"/>
            <w:vAlign w:val="center"/>
            <w:hideMark/>
          </w:tcPr>
          <w:p w:rsidR="002D6A53" w:rsidRPr="00424CA6" w:rsidRDefault="00424CA6" w:rsidP="002D6A53">
            <w:pPr>
              <w:pStyle w:val="NoSpacing"/>
              <w:jc w:val="center"/>
              <w:rPr>
                <w:rFonts w:eastAsia="Times New Roman"/>
                <w:noProof/>
                <w:sz w:val="18"/>
                <w:lang w:val="sr-Cyrl-CS"/>
              </w:rPr>
            </w:pPr>
            <w:r w:rsidRPr="00424CA6">
              <w:rPr>
                <w:rFonts w:eastAsia="Times New Roman"/>
                <w:noProof/>
                <w:sz w:val="18"/>
                <w:lang w:val="sr-Cyrl-CS"/>
              </w:rPr>
              <w:t>68,60</w:t>
            </w:r>
            <w:r w:rsidR="002D6A53" w:rsidRPr="00424CA6">
              <w:rPr>
                <w:rFonts w:eastAsia="Times New Roman"/>
                <w:noProof/>
                <w:sz w:val="18"/>
                <w:lang w:val="sr-Cyrl-CS"/>
              </w:rPr>
              <w:t>%</w:t>
            </w:r>
          </w:p>
        </w:tc>
      </w:tr>
      <w:tr w:rsidR="002D6A53" w:rsidRPr="00BF3CDE" w:rsidTr="002D6A53">
        <w:trPr>
          <w:trHeight w:val="397"/>
        </w:trPr>
        <w:tc>
          <w:tcPr>
            <w:tcW w:w="6400" w:type="dxa"/>
            <w:tcBorders>
              <w:top w:val="nil"/>
              <w:left w:val="nil"/>
              <w:bottom w:val="single" w:sz="8" w:space="0" w:color="629DD1"/>
              <w:right w:val="nil"/>
            </w:tcBorders>
            <w:shd w:val="clear" w:color="auto" w:fill="auto"/>
            <w:vAlign w:val="center"/>
            <w:hideMark/>
          </w:tcPr>
          <w:p w:rsidR="002D6A53" w:rsidRPr="00424CA6" w:rsidRDefault="002D6A53" w:rsidP="002D6A53">
            <w:pPr>
              <w:pStyle w:val="NoSpacing"/>
              <w:rPr>
                <w:rFonts w:eastAsia="Times New Roman"/>
                <w:noProof/>
                <w:sz w:val="18"/>
                <w:lang w:val="sr-Cyrl-CS"/>
              </w:rPr>
            </w:pPr>
            <w:r w:rsidRPr="00424CA6">
              <w:rPr>
                <w:rFonts w:eastAsia="Times New Roman"/>
                <w:noProof/>
                <w:sz w:val="18"/>
                <w:lang w:val="sr-Cyrl-CS"/>
              </w:rPr>
              <w:t>Средства на рачуну</w:t>
            </w:r>
          </w:p>
        </w:tc>
        <w:tc>
          <w:tcPr>
            <w:tcW w:w="1660" w:type="dxa"/>
            <w:tcBorders>
              <w:top w:val="nil"/>
              <w:left w:val="nil"/>
              <w:bottom w:val="single" w:sz="8" w:space="0" w:color="629DD1"/>
              <w:right w:val="nil"/>
            </w:tcBorders>
            <w:shd w:val="clear" w:color="auto" w:fill="auto"/>
            <w:vAlign w:val="center"/>
            <w:hideMark/>
          </w:tcPr>
          <w:p w:rsidR="002D6A53" w:rsidRPr="00424CA6" w:rsidRDefault="00424CA6" w:rsidP="00424CA6">
            <w:pPr>
              <w:pStyle w:val="NoSpacing"/>
              <w:jc w:val="right"/>
              <w:rPr>
                <w:rFonts w:eastAsia="Times New Roman"/>
                <w:noProof/>
                <w:sz w:val="18"/>
                <w:lang w:val="sr-Cyrl-CS"/>
              </w:rPr>
            </w:pPr>
            <w:r w:rsidRPr="00424CA6">
              <w:rPr>
                <w:rFonts w:eastAsia="Times New Roman"/>
                <w:noProof/>
                <w:sz w:val="18"/>
                <w:lang w:val="sr-Cyrl-CS"/>
              </w:rPr>
              <w:t>224.188</w:t>
            </w:r>
          </w:p>
        </w:tc>
        <w:tc>
          <w:tcPr>
            <w:tcW w:w="1660" w:type="dxa"/>
            <w:tcBorders>
              <w:top w:val="nil"/>
              <w:left w:val="nil"/>
              <w:bottom w:val="single" w:sz="8" w:space="0" w:color="629DD1"/>
              <w:right w:val="nil"/>
            </w:tcBorders>
            <w:shd w:val="clear" w:color="auto" w:fill="auto"/>
            <w:vAlign w:val="center"/>
            <w:hideMark/>
          </w:tcPr>
          <w:p w:rsidR="002D6A53" w:rsidRPr="00424CA6" w:rsidRDefault="00424CA6" w:rsidP="002D6A53">
            <w:pPr>
              <w:pStyle w:val="NoSpacing"/>
              <w:jc w:val="center"/>
              <w:rPr>
                <w:rFonts w:eastAsia="Times New Roman"/>
                <w:noProof/>
                <w:sz w:val="18"/>
                <w:lang w:val="sr-Cyrl-CS"/>
              </w:rPr>
            </w:pPr>
            <w:r w:rsidRPr="00424CA6">
              <w:rPr>
                <w:rFonts w:eastAsia="Times New Roman"/>
                <w:noProof/>
                <w:sz w:val="18"/>
                <w:lang w:val="sr-Cyrl-CS"/>
              </w:rPr>
              <w:t>17,31</w:t>
            </w:r>
            <w:r w:rsidR="002D6A53" w:rsidRPr="00424CA6">
              <w:rPr>
                <w:rFonts w:eastAsia="Times New Roman"/>
                <w:noProof/>
                <w:sz w:val="18"/>
                <w:lang w:val="sr-Cyrl-CS"/>
              </w:rPr>
              <w:t>%</w:t>
            </w:r>
          </w:p>
        </w:tc>
      </w:tr>
      <w:tr w:rsidR="002D6A53" w:rsidRPr="00BF3CDE" w:rsidTr="00424CA6">
        <w:trPr>
          <w:trHeight w:val="228"/>
        </w:trPr>
        <w:tc>
          <w:tcPr>
            <w:tcW w:w="6400" w:type="dxa"/>
            <w:tcBorders>
              <w:top w:val="nil"/>
              <w:left w:val="nil"/>
              <w:bottom w:val="single" w:sz="8" w:space="0" w:color="629DD1"/>
              <w:right w:val="nil"/>
            </w:tcBorders>
            <w:shd w:val="clear" w:color="auto" w:fill="auto"/>
            <w:vAlign w:val="center"/>
            <w:hideMark/>
          </w:tcPr>
          <w:p w:rsidR="002D6A53" w:rsidRPr="00424CA6" w:rsidRDefault="002D6A53" w:rsidP="00424CA6">
            <w:pPr>
              <w:pStyle w:val="NoSpacing"/>
              <w:rPr>
                <w:rFonts w:eastAsia="Times New Roman"/>
                <w:b/>
                <w:noProof/>
                <w:sz w:val="18"/>
                <w:lang w:val="sr-Cyrl-CS"/>
              </w:rPr>
            </w:pPr>
            <w:r w:rsidRPr="00424CA6">
              <w:rPr>
                <w:rFonts w:eastAsia="Times New Roman"/>
                <w:b/>
                <w:noProof/>
                <w:sz w:val="18"/>
                <w:lang w:val="sr-Cyrl-CS"/>
              </w:rPr>
              <w:t>УКУПНО</w:t>
            </w:r>
          </w:p>
        </w:tc>
        <w:tc>
          <w:tcPr>
            <w:tcW w:w="1660" w:type="dxa"/>
            <w:tcBorders>
              <w:top w:val="nil"/>
              <w:left w:val="nil"/>
              <w:bottom w:val="single" w:sz="8" w:space="0" w:color="629DD1"/>
              <w:right w:val="nil"/>
            </w:tcBorders>
            <w:shd w:val="clear" w:color="auto" w:fill="auto"/>
            <w:vAlign w:val="center"/>
            <w:hideMark/>
          </w:tcPr>
          <w:p w:rsidR="002D6A53" w:rsidRPr="00424CA6" w:rsidRDefault="002D6A53" w:rsidP="00424CA6">
            <w:pPr>
              <w:pStyle w:val="NoSpacing"/>
              <w:jc w:val="right"/>
              <w:rPr>
                <w:rFonts w:eastAsia="Times New Roman"/>
                <w:b/>
                <w:noProof/>
                <w:sz w:val="18"/>
                <w:lang w:val="sr-Cyrl-CS"/>
              </w:rPr>
            </w:pPr>
            <w:r w:rsidRPr="00424CA6">
              <w:rPr>
                <w:rFonts w:eastAsia="Times New Roman"/>
                <w:b/>
                <w:noProof/>
                <w:sz w:val="18"/>
                <w:lang w:val="sr-Cyrl-CS"/>
              </w:rPr>
              <w:t>1.</w:t>
            </w:r>
            <w:r w:rsidR="00424CA6" w:rsidRPr="00424CA6">
              <w:rPr>
                <w:rFonts w:eastAsia="Times New Roman"/>
                <w:b/>
                <w:noProof/>
                <w:sz w:val="18"/>
                <w:lang w:val="sr-Cyrl-CS"/>
              </w:rPr>
              <w:t>294.803</w:t>
            </w:r>
          </w:p>
        </w:tc>
        <w:tc>
          <w:tcPr>
            <w:tcW w:w="1660" w:type="dxa"/>
            <w:tcBorders>
              <w:top w:val="nil"/>
              <w:left w:val="nil"/>
              <w:bottom w:val="single" w:sz="8" w:space="0" w:color="629DD1"/>
              <w:right w:val="nil"/>
            </w:tcBorders>
            <w:shd w:val="clear" w:color="auto" w:fill="auto"/>
            <w:vAlign w:val="center"/>
            <w:hideMark/>
          </w:tcPr>
          <w:p w:rsidR="002D6A53" w:rsidRPr="00424CA6" w:rsidRDefault="002D6A53" w:rsidP="002D6A53">
            <w:pPr>
              <w:pStyle w:val="NoSpacing"/>
              <w:jc w:val="center"/>
              <w:rPr>
                <w:rFonts w:eastAsia="Times New Roman"/>
                <w:b/>
                <w:noProof/>
                <w:sz w:val="18"/>
                <w:lang w:val="sr-Cyrl-CS"/>
              </w:rPr>
            </w:pPr>
            <w:r w:rsidRPr="00424CA6">
              <w:rPr>
                <w:rFonts w:eastAsia="Times New Roman"/>
                <w:b/>
                <w:noProof/>
                <w:sz w:val="18"/>
                <w:lang w:val="sr-Cyrl-CS"/>
              </w:rPr>
              <w:t>100,00%</w:t>
            </w:r>
          </w:p>
        </w:tc>
      </w:tr>
    </w:tbl>
    <w:p w:rsidR="003D22A0" w:rsidRPr="00BF3CDE" w:rsidRDefault="003D22A0" w:rsidP="00A678A2">
      <w:pPr>
        <w:spacing w:after="0"/>
        <w:jc w:val="center"/>
        <w:rPr>
          <w:rFonts w:eastAsiaTheme="minorEastAsia"/>
          <w:b/>
          <w:i/>
          <w:noProof/>
          <w:color w:val="365F91" w:themeColor="accent1" w:themeShade="BF"/>
          <w:sz w:val="6"/>
          <w:szCs w:val="6"/>
          <w:lang w:val="sr-Cyrl-CS" w:eastAsia="ja-JP"/>
        </w:rPr>
      </w:pPr>
    </w:p>
    <w:p w:rsidR="00522569" w:rsidRDefault="00522569" w:rsidP="00522569">
      <w:pPr>
        <w:spacing w:after="0"/>
        <w:jc w:val="center"/>
        <w:rPr>
          <w:rFonts w:eastAsiaTheme="minorEastAsia"/>
          <w:b/>
          <w:i/>
          <w:noProof/>
          <w:color w:val="365F91" w:themeColor="accent1" w:themeShade="BF"/>
          <w:sz w:val="20"/>
          <w:lang w:val="sr-Cyrl-CS" w:eastAsia="ja-JP"/>
        </w:rPr>
      </w:pPr>
    </w:p>
    <w:p w:rsidR="00522569" w:rsidRPr="00BF3CDE" w:rsidRDefault="00522569" w:rsidP="00522569">
      <w:pPr>
        <w:spacing w:after="0"/>
        <w:jc w:val="center"/>
        <w:rPr>
          <w:rFonts w:eastAsiaTheme="minorEastAsia"/>
          <w:b/>
          <w:i/>
          <w:noProof/>
          <w:color w:val="365F91" w:themeColor="accent1" w:themeShade="BF"/>
          <w:sz w:val="20"/>
          <w:lang w:val="sr-Cyrl-CS" w:eastAsia="ja-JP"/>
        </w:rPr>
      </w:pPr>
      <w:r w:rsidRPr="00BF3CDE">
        <w:rPr>
          <w:rFonts w:eastAsiaTheme="minorEastAsia"/>
          <w:b/>
          <w:i/>
          <w:noProof/>
          <w:color w:val="365F91" w:themeColor="accent1" w:themeShade="BF"/>
          <w:sz w:val="20"/>
          <w:lang w:val="sr-Cyrl-CS" w:eastAsia="ja-JP"/>
        </w:rPr>
        <w:t>Структура улагања средстава гарантне резерве</w:t>
      </w:r>
    </w:p>
    <w:p w:rsidR="00424CA6" w:rsidRDefault="00424CA6" w:rsidP="00A678A2">
      <w:pPr>
        <w:spacing w:after="0"/>
        <w:jc w:val="center"/>
        <w:rPr>
          <w:rFonts w:eastAsiaTheme="minorEastAsia"/>
          <w:b/>
          <w:i/>
          <w:noProof/>
          <w:color w:val="365F91" w:themeColor="accent1" w:themeShade="BF"/>
          <w:sz w:val="20"/>
          <w:lang w:val="sr-Cyrl-CS" w:eastAsia="ja-JP"/>
        </w:rPr>
      </w:pPr>
    </w:p>
    <w:p w:rsidR="00424CA6" w:rsidRDefault="009F3AB7" w:rsidP="00424CA6">
      <w:pPr>
        <w:spacing w:after="0"/>
        <w:rPr>
          <w:rFonts w:eastAsiaTheme="minorEastAsia"/>
          <w:b/>
          <w:i/>
          <w:noProof/>
          <w:color w:val="365F91" w:themeColor="accent1" w:themeShade="BF"/>
          <w:sz w:val="20"/>
          <w:lang w:val="sr-Cyrl-CS" w:eastAsia="ja-JP"/>
        </w:rPr>
      </w:pPr>
      <w:r>
        <w:rPr>
          <w:noProof/>
          <w:lang w:val="sr-Latn-RS" w:eastAsia="sr-Latn-RS"/>
        </w:rPr>
        <w:drawing>
          <wp:inline distT="0" distB="0" distL="0" distR="0" wp14:anchorId="20A1A3D8" wp14:editId="74175AB3">
            <wp:extent cx="6170213" cy="1820849"/>
            <wp:effectExtent l="0" t="0" r="21590" b="2730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7066DD" w:rsidRDefault="007066DD" w:rsidP="00860C32">
      <w:pPr>
        <w:pStyle w:val="Heading1"/>
        <w:numPr>
          <w:ilvl w:val="0"/>
          <w:numId w:val="0"/>
        </w:numPr>
      </w:pPr>
    </w:p>
    <w:p w:rsidR="00492321" w:rsidRPr="00BF3CDE" w:rsidRDefault="00492321" w:rsidP="00860C32">
      <w:pPr>
        <w:pStyle w:val="Heading1"/>
      </w:pPr>
      <w:bookmarkStart w:id="52" w:name="_Toc445975041"/>
      <w:r w:rsidRPr="00BF3CDE">
        <w:t>ИНВЕСТИЦИОНА ПОЛИТИКА</w:t>
      </w:r>
      <w:bookmarkEnd w:id="52"/>
      <w:r w:rsidR="0046210A" w:rsidRPr="00BF3CDE">
        <w:t xml:space="preserve"> </w:t>
      </w:r>
    </w:p>
    <w:p w:rsidR="00492321" w:rsidRPr="00BF3CDE" w:rsidRDefault="00492321" w:rsidP="00492321">
      <w:pPr>
        <w:rPr>
          <w:noProof/>
          <w:sz w:val="2"/>
          <w:szCs w:val="2"/>
          <w:lang w:val="sr-Cyrl-CS" w:eastAsia="ar-SA"/>
        </w:rPr>
      </w:pPr>
    </w:p>
    <w:p w:rsidR="0076189C" w:rsidRPr="00507055" w:rsidRDefault="0076189C" w:rsidP="005F78E3">
      <w:pPr>
        <w:spacing w:after="120" w:line="240" w:lineRule="auto"/>
        <w:ind w:firstLine="567"/>
        <w:jc w:val="both"/>
        <w:rPr>
          <w:noProof/>
          <w:sz w:val="20"/>
          <w:szCs w:val="20"/>
          <w:lang w:val="sr-Cyrl-CS"/>
        </w:rPr>
      </w:pPr>
      <w:r w:rsidRPr="00507055">
        <w:rPr>
          <w:noProof/>
          <w:sz w:val="20"/>
          <w:szCs w:val="20"/>
          <w:lang w:val="sr-Cyrl-CS"/>
        </w:rPr>
        <w:t xml:space="preserve">Основне смернице за креирање инвестиционог програма и структуре портфолиа "Дунав Ре" а.д.о. дефинисане су Законом o осигурању, Одлуком НБС о </w:t>
      </w:r>
      <w:r w:rsidR="00507055" w:rsidRPr="00507055">
        <w:rPr>
          <w:noProof/>
          <w:sz w:val="20"/>
          <w:szCs w:val="20"/>
          <w:lang w:val="sr-Cyrl-CS"/>
        </w:rPr>
        <w:t>инвестирању и Инвестиционом политиком са правилима инвестирања.</w:t>
      </w:r>
    </w:p>
    <w:p w:rsidR="0076189C" w:rsidRPr="00507055" w:rsidRDefault="0076189C" w:rsidP="005F78E3">
      <w:pPr>
        <w:spacing w:after="120" w:line="240" w:lineRule="auto"/>
        <w:ind w:firstLine="567"/>
        <w:jc w:val="both"/>
        <w:rPr>
          <w:noProof/>
          <w:sz w:val="20"/>
          <w:szCs w:val="20"/>
          <w:lang w:val="sr-Cyrl-CS"/>
        </w:rPr>
      </w:pPr>
      <w:r w:rsidRPr="00507055">
        <w:rPr>
          <w:noProof/>
          <w:sz w:val="20"/>
          <w:szCs w:val="20"/>
          <w:lang w:val="sr-Cyrl-CS"/>
        </w:rPr>
        <w:t>Полазну основу за формулисање инвестиционог плана Друштва за 201</w:t>
      </w:r>
      <w:r w:rsidR="00507055" w:rsidRPr="00507055">
        <w:rPr>
          <w:noProof/>
          <w:sz w:val="20"/>
          <w:szCs w:val="20"/>
          <w:lang w:val="sr-Cyrl-CS"/>
        </w:rPr>
        <w:t>5</w:t>
      </w:r>
      <w:r w:rsidRPr="00507055">
        <w:rPr>
          <w:noProof/>
          <w:sz w:val="20"/>
          <w:szCs w:val="20"/>
          <w:lang w:val="sr-Cyrl-CS"/>
        </w:rPr>
        <w:t xml:space="preserve">. годину, посебно за пројекцију прихода, представљао је постојећи инвестициони портфолио Друштва, при чему нису биле планиране значајне измене у инвестиционој политици. </w:t>
      </w:r>
    </w:p>
    <w:p w:rsidR="0076189C" w:rsidRPr="00507055" w:rsidRDefault="0076189C" w:rsidP="005F78E3">
      <w:pPr>
        <w:spacing w:after="120" w:line="240" w:lineRule="auto"/>
        <w:ind w:firstLine="567"/>
        <w:jc w:val="both"/>
        <w:rPr>
          <w:noProof/>
          <w:sz w:val="20"/>
          <w:szCs w:val="20"/>
          <w:lang w:val="sr-Cyrl-CS"/>
        </w:rPr>
      </w:pPr>
      <w:r w:rsidRPr="00507055">
        <w:rPr>
          <w:noProof/>
          <w:sz w:val="20"/>
          <w:szCs w:val="20"/>
          <w:lang w:val="sr-Cyrl-CS"/>
        </w:rPr>
        <w:t xml:space="preserve">Друштво је континуирано пратило трансакције којима се врши депоновање и улагање краткорочних и дугорочних извора средстава, имајући у фокусу хоризонталну и вертикалну усклађеност активе и пасиве и обезбеђење високог степена ликвидности Друштва уз задовољавајуће приносе. </w:t>
      </w:r>
    </w:p>
    <w:p w:rsidR="00C60116" w:rsidRPr="00C60116" w:rsidRDefault="00507055" w:rsidP="005F78E3">
      <w:pPr>
        <w:spacing w:before="60" w:after="60" w:line="240" w:lineRule="auto"/>
        <w:jc w:val="both"/>
        <w:rPr>
          <w:noProof/>
          <w:sz w:val="20"/>
          <w:szCs w:val="20"/>
          <w:lang w:val="sr-Cyrl-CS"/>
        </w:rPr>
      </w:pPr>
      <w:bookmarkStart w:id="53" w:name="OLE_LINK1"/>
      <w:r>
        <w:rPr>
          <w:noProof/>
          <w:sz w:val="20"/>
          <w:szCs w:val="20"/>
          <w:lang w:val="sr-Cyrl-CS"/>
        </w:rPr>
        <w:tab/>
      </w:r>
      <w:r w:rsidR="00C60116" w:rsidRPr="00C60116">
        <w:rPr>
          <w:noProof/>
          <w:sz w:val="20"/>
          <w:szCs w:val="20"/>
          <w:lang w:val="sr-Cyrl-CS"/>
        </w:rPr>
        <w:t xml:space="preserve">Полазну основу за формулисање инвестиционог плана Друштва за 2015. годину представља: </w:t>
      </w:r>
    </w:p>
    <w:p w:rsidR="00C60116" w:rsidRPr="00507055" w:rsidRDefault="00C60116" w:rsidP="00521CE0">
      <w:pPr>
        <w:pStyle w:val="ListParagraph"/>
        <w:numPr>
          <w:ilvl w:val="0"/>
          <w:numId w:val="32"/>
        </w:numPr>
        <w:spacing w:before="60" w:after="60"/>
        <w:jc w:val="both"/>
        <w:rPr>
          <w:noProof/>
          <w:sz w:val="20"/>
          <w:szCs w:val="20"/>
          <w:lang w:val="sr-Cyrl-CS"/>
        </w:rPr>
      </w:pPr>
      <w:r w:rsidRPr="00507055">
        <w:rPr>
          <w:noProof/>
          <w:sz w:val="20"/>
          <w:szCs w:val="20"/>
          <w:lang w:val="sr-Cyrl-CS"/>
        </w:rPr>
        <w:t xml:space="preserve">постојећи инвестициони портфолио Друштва, </w:t>
      </w:r>
    </w:p>
    <w:p w:rsidR="00C60116" w:rsidRPr="00507055" w:rsidRDefault="00C60116" w:rsidP="00521CE0">
      <w:pPr>
        <w:pStyle w:val="ListParagraph"/>
        <w:numPr>
          <w:ilvl w:val="0"/>
          <w:numId w:val="32"/>
        </w:numPr>
        <w:spacing w:before="60" w:after="60"/>
        <w:jc w:val="both"/>
        <w:rPr>
          <w:noProof/>
          <w:sz w:val="20"/>
          <w:szCs w:val="20"/>
          <w:lang w:val="sr-Cyrl-CS"/>
        </w:rPr>
      </w:pPr>
      <w:r w:rsidRPr="00507055">
        <w:rPr>
          <w:noProof/>
          <w:sz w:val="20"/>
          <w:szCs w:val="20"/>
          <w:lang w:val="sr-Cyrl-CS"/>
        </w:rPr>
        <w:t>пројектовани приливи и одливи из пословања,</w:t>
      </w:r>
    </w:p>
    <w:p w:rsidR="00C60116" w:rsidRPr="00507055" w:rsidRDefault="00C60116" w:rsidP="00521CE0">
      <w:pPr>
        <w:pStyle w:val="ListParagraph"/>
        <w:numPr>
          <w:ilvl w:val="0"/>
          <w:numId w:val="32"/>
        </w:numPr>
        <w:spacing w:before="60" w:after="60"/>
        <w:jc w:val="both"/>
        <w:rPr>
          <w:noProof/>
          <w:sz w:val="20"/>
          <w:szCs w:val="20"/>
          <w:lang w:val="sr-Cyrl-CS"/>
        </w:rPr>
      </w:pPr>
      <w:r w:rsidRPr="00507055">
        <w:rPr>
          <w:noProof/>
          <w:sz w:val="20"/>
          <w:szCs w:val="20"/>
          <w:lang w:val="sr-Cyrl-CS"/>
        </w:rPr>
        <w:t>кретање девизног курса на нивоу од 123 за 1 ЕУР,</w:t>
      </w:r>
    </w:p>
    <w:p w:rsidR="00C60116" w:rsidRPr="00507055" w:rsidRDefault="00C60116" w:rsidP="00521CE0">
      <w:pPr>
        <w:pStyle w:val="ListParagraph"/>
        <w:numPr>
          <w:ilvl w:val="0"/>
          <w:numId w:val="32"/>
        </w:numPr>
        <w:spacing w:before="60" w:after="60"/>
        <w:jc w:val="both"/>
        <w:rPr>
          <w:noProof/>
          <w:sz w:val="20"/>
          <w:szCs w:val="20"/>
          <w:lang w:val="sr-Cyrl-CS"/>
        </w:rPr>
      </w:pPr>
      <w:r w:rsidRPr="00507055">
        <w:rPr>
          <w:noProof/>
          <w:sz w:val="20"/>
          <w:szCs w:val="20"/>
          <w:lang w:val="sr-Cyrl-CS"/>
        </w:rPr>
        <w:t>пројектована каматна стопа на депозите у РСД од РЕПО-3 до висине РЕПО -2 на годишњем нивоу (5,5 до 6,5%),</w:t>
      </w:r>
    </w:p>
    <w:p w:rsidR="00C60116" w:rsidRPr="00507055" w:rsidRDefault="00C60116" w:rsidP="00521CE0">
      <w:pPr>
        <w:pStyle w:val="ListParagraph"/>
        <w:numPr>
          <w:ilvl w:val="0"/>
          <w:numId w:val="32"/>
        </w:numPr>
        <w:spacing w:before="60" w:after="60"/>
        <w:jc w:val="both"/>
        <w:rPr>
          <w:noProof/>
          <w:sz w:val="20"/>
          <w:szCs w:val="20"/>
          <w:lang w:val="sr-Cyrl-CS"/>
        </w:rPr>
      </w:pPr>
      <w:r w:rsidRPr="00507055">
        <w:rPr>
          <w:noProof/>
          <w:sz w:val="20"/>
          <w:szCs w:val="20"/>
          <w:lang w:val="sr-Cyrl-CS"/>
        </w:rPr>
        <w:t>пројектована каматна стопа на депозите у ЕУР од 1 до 2% на годишњем нивоу,</w:t>
      </w:r>
    </w:p>
    <w:p w:rsidR="00C60116" w:rsidRPr="00507055" w:rsidRDefault="00C60116" w:rsidP="00521CE0">
      <w:pPr>
        <w:pStyle w:val="ListParagraph"/>
        <w:numPr>
          <w:ilvl w:val="0"/>
          <w:numId w:val="32"/>
        </w:numPr>
        <w:spacing w:before="60" w:after="60"/>
        <w:jc w:val="both"/>
        <w:rPr>
          <w:noProof/>
          <w:sz w:val="20"/>
          <w:szCs w:val="20"/>
          <w:lang w:val="sr-Cyrl-CS"/>
        </w:rPr>
      </w:pPr>
      <w:r w:rsidRPr="00507055">
        <w:rPr>
          <w:noProof/>
          <w:sz w:val="20"/>
          <w:szCs w:val="20"/>
          <w:lang w:val="sr-Cyrl-CS"/>
        </w:rPr>
        <w:t xml:space="preserve">пројектована каматна стопа на депозите у УСД од 0,5 до 1% на годишњем нивоу </w:t>
      </w:r>
    </w:p>
    <w:p w:rsidR="00C60116" w:rsidRPr="00507055" w:rsidRDefault="00C60116" w:rsidP="00521CE0">
      <w:pPr>
        <w:pStyle w:val="ListParagraph"/>
        <w:numPr>
          <w:ilvl w:val="0"/>
          <w:numId w:val="32"/>
        </w:numPr>
        <w:spacing w:before="60" w:after="60"/>
        <w:jc w:val="both"/>
        <w:rPr>
          <w:noProof/>
          <w:sz w:val="20"/>
          <w:szCs w:val="20"/>
          <w:lang w:val="sr-Cyrl-CS"/>
        </w:rPr>
      </w:pPr>
      <w:r w:rsidRPr="00507055">
        <w:rPr>
          <w:noProof/>
          <w:sz w:val="20"/>
          <w:szCs w:val="20"/>
          <w:lang w:val="sr-Cyrl-CS"/>
        </w:rPr>
        <w:t>пројектована извршна стопа на државним хартијама од вредности деноминованих у ЕУР од 2% до 4,0%</w:t>
      </w:r>
    </w:p>
    <w:p w:rsidR="00C60116" w:rsidRDefault="00C60116" w:rsidP="00521CE0">
      <w:pPr>
        <w:pStyle w:val="ListParagraph"/>
        <w:numPr>
          <w:ilvl w:val="0"/>
          <w:numId w:val="32"/>
        </w:numPr>
        <w:spacing w:before="60" w:after="60"/>
        <w:jc w:val="both"/>
        <w:rPr>
          <w:noProof/>
          <w:sz w:val="20"/>
          <w:szCs w:val="20"/>
          <w:lang w:val="sr-Cyrl-CS"/>
        </w:rPr>
      </w:pPr>
      <w:r w:rsidRPr="00507055">
        <w:rPr>
          <w:noProof/>
          <w:sz w:val="20"/>
          <w:szCs w:val="20"/>
          <w:lang w:val="sr-Cyrl-CS"/>
        </w:rPr>
        <w:t>стабилна вредност акција у потрфолиу Друштва у току 2015. године</w:t>
      </w:r>
      <w:r w:rsidR="00765F7E">
        <w:rPr>
          <w:noProof/>
          <w:sz w:val="20"/>
          <w:szCs w:val="20"/>
          <w:lang w:val="sr-Cyrl-CS"/>
        </w:rPr>
        <w:t>.</w:t>
      </w:r>
    </w:p>
    <w:p w:rsidR="007066DD" w:rsidRDefault="00507055" w:rsidP="007066DD">
      <w:pPr>
        <w:spacing w:before="60" w:after="60"/>
        <w:jc w:val="both"/>
        <w:rPr>
          <w:b/>
          <w:noProof/>
          <w:sz w:val="20"/>
          <w:szCs w:val="20"/>
          <w:lang w:val="sr-Cyrl-CS"/>
        </w:rPr>
      </w:pPr>
      <w:r>
        <w:rPr>
          <w:noProof/>
          <w:sz w:val="20"/>
          <w:szCs w:val="20"/>
          <w:lang w:val="sr-Cyrl-CS"/>
        </w:rPr>
        <w:tab/>
      </w:r>
      <w:r w:rsidR="00AB028A" w:rsidRPr="00765F7E">
        <w:rPr>
          <w:b/>
          <w:noProof/>
          <w:sz w:val="20"/>
          <w:szCs w:val="20"/>
          <w:lang w:val="sr-Cyrl-CS"/>
        </w:rPr>
        <w:t>У 2015. години је настављен тренд пада каматних стопа на депозите и пад извршних стопа на аукцијама државних хартија вредности. Рефернетна каматна стопа је забележила пад од 43,75%, камате на девизне депозите око 35%,</w:t>
      </w:r>
      <w:r w:rsidR="00765F7E" w:rsidRPr="00765F7E">
        <w:rPr>
          <w:b/>
          <w:noProof/>
          <w:sz w:val="20"/>
          <w:szCs w:val="20"/>
          <w:lang w:val="sr-Cyrl-CS"/>
        </w:rPr>
        <w:t xml:space="preserve"> извршне стопе на аукцијама државних хартија од вредности за око 36%.</w:t>
      </w:r>
    </w:p>
    <w:p w:rsidR="00CE7015" w:rsidRDefault="00CE7015" w:rsidP="007066DD">
      <w:pPr>
        <w:spacing w:before="60" w:after="60"/>
        <w:jc w:val="both"/>
        <w:rPr>
          <w:b/>
          <w:noProof/>
          <w:sz w:val="20"/>
          <w:szCs w:val="20"/>
          <w:lang w:val="sr-Cyrl-CS"/>
        </w:rPr>
      </w:pPr>
    </w:p>
    <w:p w:rsidR="00CE7015" w:rsidRDefault="00CE7015" w:rsidP="007066DD">
      <w:pPr>
        <w:spacing w:before="60" w:after="60"/>
        <w:jc w:val="both"/>
        <w:rPr>
          <w:b/>
          <w:noProof/>
          <w:sz w:val="20"/>
          <w:szCs w:val="20"/>
          <w:lang w:val="sr-Cyrl-CS"/>
        </w:rPr>
      </w:pPr>
    </w:p>
    <w:p w:rsidR="00CE7015" w:rsidRDefault="00CE7015" w:rsidP="007066DD">
      <w:pPr>
        <w:spacing w:before="60" w:after="60"/>
        <w:jc w:val="both"/>
        <w:rPr>
          <w:b/>
          <w:noProof/>
          <w:sz w:val="20"/>
          <w:szCs w:val="20"/>
          <w:lang w:val="sr-Cyrl-CS"/>
        </w:rPr>
      </w:pPr>
    </w:p>
    <w:p w:rsidR="00CE7015" w:rsidRDefault="00CE7015" w:rsidP="007066DD">
      <w:pPr>
        <w:spacing w:before="60" w:after="60"/>
        <w:jc w:val="both"/>
        <w:rPr>
          <w:b/>
          <w:noProof/>
          <w:sz w:val="20"/>
          <w:szCs w:val="20"/>
          <w:lang w:val="sr-Cyrl-CS"/>
        </w:rPr>
      </w:pPr>
    </w:p>
    <w:p w:rsidR="0076189C" w:rsidRDefault="0076189C" w:rsidP="007066DD">
      <w:pPr>
        <w:spacing w:before="60" w:after="60"/>
        <w:jc w:val="both"/>
        <w:rPr>
          <w:rFonts w:eastAsiaTheme="minorEastAsia"/>
          <w:b/>
          <w:i/>
          <w:noProof/>
          <w:color w:val="365F91" w:themeColor="accent1" w:themeShade="BF"/>
          <w:sz w:val="20"/>
          <w:lang w:val="sr-Cyrl-CS" w:eastAsia="ja-JP"/>
        </w:rPr>
      </w:pPr>
      <w:r w:rsidRPr="00BF3CDE">
        <w:rPr>
          <w:rFonts w:eastAsiaTheme="minorEastAsia"/>
          <w:b/>
          <w:i/>
          <w:noProof/>
          <w:color w:val="365F91" w:themeColor="accent1" w:themeShade="BF"/>
          <w:sz w:val="20"/>
          <w:lang w:val="sr-Cyrl-CS" w:eastAsia="ja-JP"/>
        </w:rPr>
        <w:t xml:space="preserve">Структура инвестиционог портфолиа </w:t>
      </w:r>
      <w:r w:rsidR="00011135" w:rsidRPr="00BF3CDE">
        <w:rPr>
          <w:rFonts w:eastAsiaTheme="minorEastAsia"/>
          <w:b/>
          <w:i/>
          <w:noProof/>
          <w:color w:val="365F91" w:themeColor="accent1" w:themeShade="BF"/>
          <w:sz w:val="20"/>
          <w:lang w:val="sr-Cyrl-CS" w:eastAsia="ja-JP"/>
        </w:rPr>
        <w:t>у 000 РСД</w:t>
      </w:r>
    </w:p>
    <w:tbl>
      <w:tblPr>
        <w:tblW w:w="9393" w:type="dxa"/>
        <w:tblInd w:w="93" w:type="dxa"/>
        <w:tblLook w:val="04A0" w:firstRow="1" w:lastRow="0" w:firstColumn="1" w:lastColumn="0" w:noHBand="0" w:noVBand="1"/>
      </w:tblPr>
      <w:tblGrid>
        <w:gridCol w:w="582"/>
        <w:gridCol w:w="3505"/>
        <w:gridCol w:w="1126"/>
        <w:gridCol w:w="200"/>
        <w:gridCol w:w="825"/>
        <w:gridCol w:w="200"/>
        <w:gridCol w:w="926"/>
        <w:gridCol w:w="200"/>
        <w:gridCol w:w="825"/>
        <w:gridCol w:w="200"/>
        <w:gridCol w:w="615"/>
        <w:gridCol w:w="200"/>
      </w:tblGrid>
      <w:tr w:rsidR="00167C48" w:rsidRPr="00167C48" w:rsidTr="007066DD">
        <w:trPr>
          <w:trHeight w:val="620"/>
        </w:trPr>
        <w:tc>
          <w:tcPr>
            <w:tcW w:w="571" w:type="dxa"/>
            <w:tcBorders>
              <w:top w:val="single" w:sz="8" w:space="0" w:color="4F81BD"/>
              <w:left w:val="nil"/>
              <w:bottom w:val="single" w:sz="8" w:space="0" w:color="4F81BD"/>
              <w:right w:val="nil"/>
            </w:tcBorders>
            <w:shd w:val="clear" w:color="auto" w:fill="auto"/>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20"/>
                <w:szCs w:val="20"/>
                <w:lang w:val="sr-Latn-RS" w:eastAsia="sr-Latn-RS"/>
              </w:rPr>
            </w:pPr>
            <w:r w:rsidRPr="00167C48">
              <w:rPr>
                <w:rFonts w:ascii="Calibri" w:eastAsia="Times New Roman" w:hAnsi="Calibri" w:cs="Times New Roman"/>
                <w:bCs/>
                <w:color w:val="000000"/>
                <w:sz w:val="20"/>
                <w:szCs w:val="20"/>
                <w:lang w:val="sr-Cyrl-CS" w:eastAsia="sr-Latn-RS"/>
              </w:rPr>
              <w:t>Ред. Број</w:t>
            </w:r>
          </w:p>
        </w:tc>
        <w:tc>
          <w:tcPr>
            <w:tcW w:w="3505" w:type="dxa"/>
            <w:tcBorders>
              <w:top w:val="single" w:sz="8" w:space="0" w:color="4F81BD"/>
              <w:left w:val="nil"/>
              <w:bottom w:val="single" w:sz="8" w:space="0" w:color="4F81BD"/>
              <w:right w:val="nil"/>
            </w:tcBorders>
            <w:shd w:val="clear" w:color="auto" w:fill="auto"/>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18"/>
                <w:szCs w:val="18"/>
                <w:lang w:val="sr-Latn-RS" w:eastAsia="sr-Latn-RS"/>
              </w:rPr>
            </w:pPr>
            <w:r w:rsidRPr="00167C48">
              <w:rPr>
                <w:rFonts w:ascii="Calibri" w:eastAsia="Times New Roman" w:hAnsi="Calibri" w:cs="Times New Roman"/>
                <w:bCs/>
                <w:color w:val="000000"/>
                <w:sz w:val="18"/>
                <w:szCs w:val="18"/>
                <w:lang w:val="sr-Cyrl-CS" w:eastAsia="sr-Latn-RS"/>
              </w:rPr>
              <w:t>Позиција</w:t>
            </w:r>
          </w:p>
        </w:tc>
        <w:tc>
          <w:tcPr>
            <w:tcW w:w="1326" w:type="dxa"/>
            <w:gridSpan w:val="2"/>
            <w:tcBorders>
              <w:top w:val="single" w:sz="8" w:space="0" w:color="4F81BD"/>
              <w:left w:val="nil"/>
              <w:bottom w:val="single" w:sz="8" w:space="0" w:color="4F81BD"/>
              <w:right w:val="nil"/>
            </w:tcBorders>
            <w:shd w:val="clear" w:color="auto" w:fill="auto"/>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18"/>
                <w:szCs w:val="18"/>
                <w:lang w:val="sr-Latn-RS" w:eastAsia="sr-Latn-RS"/>
              </w:rPr>
            </w:pPr>
            <w:r w:rsidRPr="00167C48">
              <w:rPr>
                <w:rFonts w:ascii="Calibri" w:eastAsia="Times New Roman" w:hAnsi="Calibri" w:cs="Times New Roman"/>
                <w:bCs/>
                <w:color w:val="000000"/>
                <w:sz w:val="18"/>
                <w:szCs w:val="18"/>
                <w:lang w:val="sr-Cyrl-CS" w:eastAsia="sr-Latn-RS"/>
              </w:rPr>
              <w:t>Стање на дан 31.12.2015.                               у 000 РСД</w:t>
            </w:r>
          </w:p>
        </w:tc>
        <w:tc>
          <w:tcPr>
            <w:tcW w:w="1025" w:type="dxa"/>
            <w:gridSpan w:val="2"/>
            <w:tcBorders>
              <w:top w:val="single" w:sz="8" w:space="0" w:color="4F81BD"/>
              <w:left w:val="nil"/>
              <w:bottom w:val="single" w:sz="8" w:space="0" w:color="4F81BD"/>
              <w:right w:val="nil"/>
            </w:tcBorders>
            <w:shd w:val="clear" w:color="auto" w:fill="auto"/>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18"/>
                <w:szCs w:val="18"/>
                <w:lang w:val="sr-Latn-RS" w:eastAsia="sr-Latn-RS"/>
              </w:rPr>
            </w:pPr>
            <w:r w:rsidRPr="00167C48">
              <w:rPr>
                <w:rFonts w:ascii="Calibri" w:eastAsia="Times New Roman" w:hAnsi="Calibri" w:cs="Times New Roman"/>
                <w:bCs/>
                <w:color w:val="000000"/>
                <w:sz w:val="18"/>
                <w:szCs w:val="18"/>
                <w:lang w:val="sr-Cyrl-CS" w:eastAsia="sr-Latn-RS"/>
              </w:rPr>
              <w:t>Структура у %</w:t>
            </w:r>
          </w:p>
        </w:tc>
        <w:tc>
          <w:tcPr>
            <w:tcW w:w="1126" w:type="dxa"/>
            <w:gridSpan w:val="2"/>
            <w:tcBorders>
              <w:top w:val="single" w:sz="8" w:space="0" w:color="4F81BD"/>
              <w:left w:val="nil"/>
              <w:bottom w:val="single" w:sz="8" w:space="0" w:color="4F81BD"/>
              <w:right w:val="nil"/>
            </w:tcBorders>
            <w:shd w:val="clear" w:color="auto" w:fill="auto"/>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18"/>
                <w:szCs w:val="18"/>
                <w:lang w:val="sr-Latn-RS" w:eastAsia="sr-Latn-RS"/>
              </w:rPr>
            </w:pPr>
            <w:r w:rsidRPr="00167C48">
              <w:rPr>
                <w:rFonts w:ascii="Calibri" w:eastAsia="Times New Roman" w:hAnsi="Calibri" w:cs="Times New Roman"/>
                <w:bCs/>
                <w:color w:val="000000"/>
                <w:sz w:val="18"/>
                <w:szCs w:val="18"/>
                <w:lang w:val="sr-Cyrl-CS" w:eastAsia="sr-Latn-RS"/>
              </w:rPr>
              <w:t>Стање на дан 31.12.2014.                              у 000 РСД</w:t>
            </w:r>
          </w:p>
        </w:tc>
        <w:tc>
          <w:tcPr>
            <w:tcW w:w="1025" w:type="dxa"/>
            <w:gridSpan w:val="2"/>
            <w:tcBorders>
              <w:top w:val="single" w:sz="8" w:space="0" w:color="4F81BD"/>
              <w:left w:val="nil"/>
              <w:bottom w:val="single" w:sz="8" w:space="0" w:color="4F81BD"/>
              <w:right w:val="nil"/>
            </w:tcBorders>
            <w:shd w:val="clear" w:color="auto" w:fill="auto"/>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18"/>
                <w:szCs w:val="18"/>
                <w:lang w:val="sr-Latn-RS" w:eastAsia="sr-Latn-RS"/>
              </w:rPr>
            </w:pPr>
            <w:r w:rsidRPr="00167C48">
              <w:rPr>
                <w:rFonts w:ascii="Calibri" w:eastAsia="Times New Roman" w:hAnsi="Calibri" w:cs="Times New Roman"/>
                <w:bCs/>
                <w:color w:val="000000"/>
                <w:sz w:val="18"/>
                <w:szCs w:val="18"/>
                <w:lang w:val="sr-Cyrl-CS" w:eastAsia="sr-Latn-RS"/>
              </w:rPr>
              <w:t>Структура у %</w:t>
            </w:r>
          </w:p>
        </w:tc>
        <w:tc>
          <w:tcPr>
            <w:tcW w:w="815" w:type="dxa"/>
            <w:gridSpan w:val="2"/>
            <w:tcBorders>
              <w:top w:val="single" w:sz="8" w:space="0" w:color="4F81BD"/>
              <w:left w:val="nil"/>
              <w:bottom w:val="single" w:sz="8" w:space="0" w:color="4F81BD"/>
              <w:right w:val="nil"/>
            </w:tcBorders>
            <w:shd w:val="clear" w:color="auto" w:fill="auto"/>
            <w:noWrap/>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18"/>
                <w:szCs w:val="18"/>
                <w:lang w:val="sr-Latn-RS" w:eastAsia="sr-Latn-RS"/>
              </w:rPr>
            </w:pPr>
            <w:r w:rsidRPr="00167C48">
              <w:rPr>
                <w:rFonts w:ascii="Calibri" w:eastAsia="Times New Roman" w:hAnsi="Calibri" w:cs="Times New Roman"/>
                <w:bCs/>
                <w:color w:val="000000"/>
                <w:sz w:val="18"/>
                <w:szCs w:val="18"/>
                <w:lang w:val="sr-Cyrl-CS" w:eastAsia="sr-Latn-RS"/>
              </w:rPr>
              <w:t>Инедкс</w:t>
            </w:r>
          </w:p>
        </w:tc>
      </w:tr>
      <w:tr w:rsidR="00167C48" w:rsidRPr="00167C48" w:rsidTr="00167C48">
        <w:trPr>
          <w:gridAfter w:val="1"/>
          <w:wAfter w:w="200" w:type="dxa"/>
          <w:trHeight w:val="218"/>
        </w:trPr>
        <w:tc>
          <w:tcPr>
            <w:tcW w:w="571" w:type="dxa"/>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20"/>
                <w:szCs w:val="20"/>
                <w:lang w:val="sr-Latn-RS" w:eastAsia="sr-Latn-RS"/>
              </w:rPr>
            </w:pPr>
            <w:r w:rsidRPr="00167C48">
              <w:rPr>
                <w:rFonts w:ascii="Calibri" w:eastAsia="Times New Roman" w:hAnsi="Calibri" w:cs="Times New Roman"/>
                <w:bCs/>
                <w:color w:val="000000"/>
                <w:sz w:val="20"/>
                <w:szCs w:val="20"/>
                <w:lang w:val="sr-Cyrl-CS" w:eastAsia="sr-Latn-RS"/>
              </w:rPr>
              <w:t>1</w:t>
            </w:r>
          </w:p>
        </w:tc>
        <w:tc>
          <w:tcPr>
            <w:tcW w:w="3505" w:type="dxa"/>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Хартије од вредности које се држе до доспећа</w:t>
            </w:r>
          </w:p>
        </w:tc>
        <w:tc>
          <w:tcPr>
            <w:tcW w:w="1126" w:type="dxa"/>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276.569</w:t>
            </w:r>
          </w:p>
        </w:tc>
        <w:tc>
          <w:tcPr>
            <w:tcW w:w="1025"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13,41%</w:t>
            </w:r>
          </w:p>
        </w:tc>
        <w:tc>
          <w:tcPr>
            <w:tcW w:w="1126"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275.284</w:t>
            </w:r>
          </w:p>
        </w:tc>
        <w:tc>
          <w:tcPr>
            <w:tcW w:w="1025"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12,94%</w:t>
            </w:r>
          </w:p>
        </w:tc>
        <w:tc>
          <w:tcPr>
            <w:tcW w:w="815"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100,47</w:t>
            </w:r>
          </w:p>
        </w:tc>
      </w:tr>
      <w:tr w:rsidR="00167C48" w:rsidRPr="00167C48" w:rsidTr="007066DD">
        <w:trPr>
          <w:gridAfter w:val="1"/>
          <w:wAfter w:w="200" w:type="dxa"/>
          <w:trHeight w:val="235"/>
        </w:trPr>
        <w:tc>
          <w:tcPr>
            <w:tcW w:w="571"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20"/>
                <w:szCs w:val="20"/>
                <w:lang w:val="sr-Latn-RS" w:eastAsia="sr-Latn-RS"/>
              </w:rPr>
            </w:pPr>
            <w:r w:rsidRPr="00167C48">
              <w:rPr>
                <w:rFonts w:ascii="Calibri" w:eastAsia="Times New Roman" w:hAnsi="Calibri" w:cs="Times New Roman"/>
                <w:bCs/>
                <w:color w:val="000000"/>
                <w:sz w:val="20"/>
                <w:szCs w:val="20"/>
                <w:lang w:val="sr-Cyrl-CS" w:eastAsia="sr-Latn-RS"/>
              </w:rPr>
              <w:t>2</w:t>
            </w:r>
          </w:p>
        </w:tc>
        <w:tc>
          <w:tcPr>
            <w:tcW w:w="3505"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Дужничке хартије од вредности расположиве за продају</w:t>
            </w:r>
          </w:p>
        </w:tc>
        <w:tc>
          <w:tcPr>
            <w:tcW w:w="1126"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0</w:t>
            </w:r>
          </w:p>
        </w:tc>
        <w:tc>
          <w:tcPr>
            <w:tcW w:w="102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0,00%</w:t>
            </w:r>
          </w:p>
        </w:tc>
        <w:tc>
          <w:tcPr>
            <w:tcW w:w="1126"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357.933</w:t>
            </w:r>
          </w:p>
        </w:tc>
        <w:tc>
          <w:tcPr>
            <w:tcW w:w="102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16,83%</w:t>
            </w:r>
          </w:p>
        </w:tc>
        <w:tc>
          <w:tcPr>
            <w:tcW w:w="81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0,00</w:t>
            </w:r>
          </w:p>
        </w:tc>
      </w:tr>
      <w:tr w:rsidR="00167C48" w:rsidRPr="00167C48" w:rsidTr="00167C48">
        <w:trPr>
          <w:gridAfter w:val="1"/>
          <w:wAfter w:w="200" w:type="dxa"/>
          <w:trHeight w:val="218"/>
        </w:trPr>
        <w:tc>
          <w:tcPr>
            <w:tcW w:w="571" w:type="dxa"/>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20"/>
                <w:szCs w:val="20"/>
                <w:lang w:val="sr-Latn-RS" w:eastAsia="sr-Latn-RS"/>
              </w:rPr>
            </w:pPr>
            <w:r w:rsidRPr="00167C48">
              <w:rPr>
                <w:rFonts w:ascii="Calibri" w:eastAsia="Times New Roman" w:hAnsi="Calibri" w:cs="Times New Roman"/>
                <w:bCs/>
                <w:color w:val="000000"/>
                <w:sz w:val="20"/>
                <w:szCs w:val="20"/>
                <w:lang w:val="sr-Cyrl-CS" w:eastAsia="sr-Latn-RS"/>
              </w:rPr>
              <w:t>3</w:t>
            </w:r>
          </w:p>
        </w:tc>
        <w:tc>
          <w:tcPr>
            <w:tcW w:w="3505" w:type="dxa"/>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Власничке хартије од вредности расположиве за продају</w:t>
            </w:r>
          </w:p>
        </w:tc>
        <w:tc>
          <w:tcPr>
            <w:tcW w:w="1126" w:type="dxa"/>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329.562</w:t>
            </w:r>
          </w:p>
        </w:tc>
        <w:tc>
          <w:tcPr>
            <w:tcW w:w="1025"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15,98%</w:t>
            </w:r>
          </w:p>
        </w:tc>
        <w:tc>
          <w:tcPr>
            <w:tcW w:w="1126"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325.851</w:t>
            </w:r>
          </w:p>
        </w:tc>
        <w:tc>
          <w:tcPr>
            <w:tcW w:w="1025"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15,32%</w:t>
            </w:r>
          </w:p>
        </w:tc>
        <w:tc>
          <w:tcPr>
            <w:tcW w:w="815"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Latn-RS" w:eastAsia="sr-Latn-RS"/>
              </w:rPr>
              <w:t>101,14</w:t>
            </w:r>
          </w:p>
        </w:tc>
      </w:tr>
      <w:tr w:rsidR="00167C48" w:rsidRPr="00167C48" w:rsidTr="007066DD">
        <w:trPr>
          <w:gridAfter w:val="1"/>
          <w:wAfter w:w="200" w:type="dxa"/>
          <w:trHeight w:val="250"/>
        </w:trPr>
        <w:tc>
          <w:tcPr>
            <w:tcW w:w="571"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20"/>
                <w:szCs w:val="20"/>
                <w:lang w:val="sr-Latn-RS" w:eastAsia="sr-Latn-RS"/>
              </w:rPr>
            </w:pPr>
            <w:r w:rsidRPr="00167C48">
              <w:rPr>
                <w:rFonts w:ascii="Calibri" w:eastAsia="Times New Roman" w:hAnsi="Calibri" w:cs="Times New Roman"/>
                <w:bCs/>
                <w:color w:val="000000"/>
                <w:sz w:val="20"/>
                <w:szCs w:val="20"/>
                <w:lang w:val="sr-Cyrl-CS" w:eastAsia="sr-Latn-RS"/>
              </w:rPr>
              <w:t>4</w:t>
            </w:r>
          </w:p>
        </w:tc>
        <w:tc>
          <w:tcPr>
            <w:tcW w:w="3505"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Исправка вредности власничких ХОВ расположивих за продају</w:t>
            </w:r>
          </w:p>
        </w:tc>
        <w:tc>
          <w:tcPr>
            <w:tcW w:w="1126"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-203.933</w:t>
            </w:r>
          </w:p>
        </w:tc>
        <w:tc>
          <w:tcPr>
            <w:tcW w:w="102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-9,89%</w:t>
            </w:r>
          </w:p>
        </w:tc>
        <w:tc>
          <w:tcPr>
            <w:tcW w:w="1126"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-178.333</w:t>
            </w:r>
          </w:p>
        </w:tc>
        <w:tc>
          <w:tcPr>
            <w:tcW w:w="102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-8,39%</w:t>
            </w:r>
          </w:p>
        </w:tc>
        <w:tc>
          <w:tcPr>
            <w:tcW w:w="81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Latn-RS" w:eastAsia="sr-Latn-RS"/>
              </w:rPr>
              <w:t>114,36</w:t>
            </w:r>
          </w:p>
        </w:tc>
      </w:tr>
      <w:tr w:rsidR="00167C48" w:rsidRPr="00167C48" w:rsidTr="00167C48">
        <w:trPr>
          <w:gridAfter w:val="1"/>
          <w:wAfter w:w="200" w:type="dxa"/>
          <w:trHeight w:val="218"/>
        </w:trPr>
        <w:tc>
          <w:tcPr>
            <w:tcW w:w="571" w:type="dxa"/>
            <w:tcBorders>
              <w:top w:val="nil"/>
              <w:left w:val="nil"/>
              <w:bottom w:val="nil"/>
              <w:right w:val="nil"/>
            </w:tcBorders>
            <w:shd w:val="clear" w:color="000000" w:fill="D3DFEE"/>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20"/>
                <w:szCs w:val="20"/>
                <w:lang w:val="sr-Latn-RS" w:eastAsia="sr-Latn-RS"/>
              </w:rPr>
            </w:pPr>
            <w:r w:rsidRPr="00167C48">
              <w:rPr>
                <w:rFonts w:ascii="Calibri" w:eastAsia="Times New Roman" w:hAnsi="Calibri" w:cs="Times New Roman"/>
                <w:bCs/>
                <w:color w:val="000000"/>
                <w:sz w:val="20"/>
                <w:szCs w:val="20"/>
                <w:lang w:val="sr-Cyrl-CS" w:eastAsia="sr-Latn-RS"/>
              </w:rPr>
              <w:t>5</w:t>
            </w:r>
          </w:p>
        </w:tc>
        <w:tc>
          <w:tcPr>
            <w:tcW w:w="3505" w:type="dxa"/>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Хартије од вредности намењене трговању</w:t>
            </w:r>
          </w:p>
        </w:tc>
        <w:tc>
          <w:tcPr>
            <w:tcW w:w="1126" w:type="dxa"/>
            <w:tcBorders>
              <w:top w:val="nil"/>
              <w:left w:val="nil"/>
              <w:bottom w:val="nil"/>
              <w:right w:val="nil"/>
            </w:tcBorders>
            <w:shd w:val="clear" w:color="000000" w:fill="D3DFEE"/>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1.013.680</w:t>
            </w:r>
          </w:p>
        </w:tc>
        <w:tc>
          <w:tcPr>
            <w:tcW w:w="1025" w:type="dxa"/>
            <w:gridSpan w:val="2"/>
            <w:tcBorders>
              <w:top w:val="nil"/>
              <w:left w:val="nil"/>
              <w:bottom w:val="nil"/>
              <w:right w:val="nil"/>
            </w:tcBorders>
            <w:shd w:val="clear" w:color="000000" w:fill="D3DFEE"/>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49,16%</w:t>
            </w:r>
          </w:p>
        </w:tc>
        <w:tc>
          <w:tcPr>
            <w:tcW w:w="1126"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125.795</w:t>
            </w:r>
          </w:p>
        </w:tc>
        <w:tc>
          <w:tcPr>
            <w:tcW w:w="1025"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5,92%</w:t>
            </w:r>
          </w:p>
        </w:tc>
        <w:tc>
          <w:tcPr>
            <w:tcW w:w="815" w:type="dxa"/>
            <w:gridSpan w:val="2"/>
            <w:tcBorders>
              <w:top w:val="nil"/>
              <w:left w:val="nil"/>
              <w:bottom w:val="nil"/>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Latn-RS" w:eastAsia="sr-Latn-RS"/>
              </w:rPr>
              <w:t>805,82</w:t>
            </w:r>
          </w:p>
        </w:tc>
      </w:tr>
      <w:tr w:rsidR="00167C48" w:rsidRPr="00167C48" w:rsidTr="00167C48">
        <w:trPr>
          <w:gridAfter w:val="1"/>
          <w:wAfter w:w="200" w:type="dxa"/>
          <w:trHeight w:val="218"/>
        </w:trPr>
        <w:tc>
          <w:tcPr>
            <w:tcW w:w="571"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20"/>
                <w:szCs w:val="20"/>
                <w:lang w:val="sr-Latn-RS" w:eastAsia="sr-Latn-RS"/>
              </w:rPr>
            </w:pPr>
            <w:r w:rsidRPr="00167C48">
              <w:rPr>
                <w:rFonts w:ascii="Calibri" w:eastAsia="Times New Roman" w:hAnsi="Calibri" w:cs="Times New Roman"/>
                <w:bCs/>
                <w:color w:val="000000"/>
                <w:sz w:val="20"/>
                <w:szCs w:val="20"/>
                <w:lang w:val="sr-Cyrl-CS" w:eastAsia="sr-Latn-RS"/>
              </w:rPr>
              <w:t>6</w:t>
            </w:r>
          </w:p>
        </w:tc>
        <w:tc>
          <w:tcPr>
            <w:tcW w:w="3505"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Краткорочни депозити код банака</w:t>
            </w:r>
          </w:p>
        </w:tc>
        <w:tc>
          <w:tcPr>
            <w:tcW w:w="1126" w:type="dxa"/>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263.455</w:t>
            </w:r>
          </w:p>
        </w:tc>
        <w:tc>
          <w:tcPr>
            <w:tcW w:w="102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12,78%</w:t>
            </w:r>
          </w:p>
        </w:tc>
        <w:tc>
          <w:tcPr>
            <w:tcW w:w="1126"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377.244</w:t>
            </w:r>
          </w:p>
        </w:tc>
        <w:tc>
          <w:tcPr>
            <w:tcW w:w="102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17,74%</w:t>
            </w:r>
          </w:p>
        </w:tc>
        <w:tc>
          <w:tcPr>
            <w:tcW w:w="815" w:type="dxa"/>
            <w:gridSpan w:val="2"/>
            <w:tcBorders>
              <w:top w:val="nil"/>
              <w:left w:val="nil"/>
              <w:bottom w:val="nil"/>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Latn-RS" w:eastAsia="sr-Latn-RS"/>
              </w:rPr>
              <w:t>69,84</w:t>
            </w:r>
          </w:p>
        </w:tc>
      </w:tr>
      <w:tr w:rsidR="00167C48" w:rsidRPr="00167C48" w:rsidTr="00BC1410">
        <w:trPr>
          <w:gridAfter w:val="1"/>
          <w:wAfter w:w="200" w:type="dxa"/>
          <w:trHeight w:val="229"/>
        </w:trPr>
        <w:tc>
          <w:tcPr>
            <w:tcW w:w="571" w:type="dxa"/>
            <w:tcBorders>
              <w:top w:val="nil"/>
              <w:left w:val="nil"/>
              <w:bottom w:val="single" w:sz="8" w:space="0" w:color="4F81BD"/>
              <w:right w:val="nil"/>
            </w:tcBorders>
            <w:shd w:val="clear" w:color="000000" w:fill="D3DFEE"/>
            <w:noWrap/>
            <w:vAlign w:val="center"/>
            <w:hideMark/>
          </w:tcPr>
          <w:p w:rsidR="00167C48" w:rsidRPr="00167C48" w:rsidRDefault="00167C48" w:rsidP="00167C48">
            <w:pPr>
              <w:spacing w:after="0" w:line="240" w:lineRule="auto"/>
              <w:jc w:val="center"/>
              <w:rPr>
                <w:rFonts w:ascii="Calibri" w:eastAsia="Times New Roman" w:hAnsi="Calibri" w:cs="Times New Roman"/>
                <w:bCs/>
                <w:color w:val="000000"/>
                <w:sz w:val="20"/>
                <w:szCs w:val="20"/>
                <w:lang w:val="sr-Latn-RS" w:eastAsia="sr-Latn-RS"/>
              </w:rPr>
            </w:pPr>
            <w:r w:rsidRPr="00167C48">
              <w:rPr>
                <w:rFonts w:ascii="Calibri" w:eastAsia="Times New Roman" w:hAnsi="Calibri" w:cs="Times New Roman"/>
                <w:bCs/>
                <w:color w:val="000000"/>
                <w:sz w:val="20"/>
                <w:szCs w:val="20"/>
                <w:lang w:val="sr-Cyrl-CS" w:eastAsia="sr-Latn-RS"/>
              </w:rPr>
              <w:t>7</w:t>
            </w:r>
          </w:p>
        </w:tc>
        <w:tc>
          <w:tcPr>
            <w:tcW w:w="3505" w:type="dxa"/>
            <w:tcBorders>
              <w:top w:val="nil"/>
              <w:left w:val="nil"/>
              <w:bottom w:val="single" w:sz="8" w:space="0" w:color="4F81BD"/>
              <w:right w:val="nil"/>
            </w:tcBorders>
            <w:shd w:val="clear" w:color="000000" w:fill="D3DFEE"/>
            <w:noWrap/>
            <w:vAlign w:val="center"/>
            <w:hideMark/>
          </w:tcPr>
          <w:p w:rsidR="00167C48" w:rsidRPr="00167C48" w:rsidRDefault="00167C48" w:rsidP="00167C48">
            <w:pPr>
              <w:spacing w:after="0" w:line="240" w:lineRule="auto"/>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Готовина и готовински еквиваленти</w:t>
            </w:r>
          </w:p>
        </w:tc>
        <w:tc>
          <w:tcPr>
            <w:tcW w:w="1126" w:type="dxa"/>
            <w:tcBorders>
              <w:top w:val="nil"/>
              <w:left w:val="nil"/>
              <w:bottom w:val="single" w:sz="8" w:space="0" w:color="4F81BD"/>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382.642</w:t>
            </w:r>
          </w:p>
        </w:tc>
        <w:tc>
          <w:tcPr>
            <w:tcW w:w="1025" w:type="dxa"/>
            <w:gridSpan w:val="2"/>
            <w:tcBorders>
              <w:top w:val="nil"/>
              <w:left w:val="nil"/>
              <w:bottom w:val="single" w:sz="8" w:space="0" w:color="4F81BD"/>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18,56%</w:t>
            </w:r>
          </w:p>
        </w:tc>
        <w:tc>
          <w:tcPr>
            <w:tcW w:w="1126" w:type="dxa"/>
            <w:gridSpan w:val="2"/>
            <w:tcBorders>
              <w:top w:val="nil"/>
              <w:left w:val="nil"/>
              <w:bottom w:val="single" w:sz="8" w:space="0" w:color="4F81BD"/>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842.881</w:t>
            </w:r>
          </w:p>
        </w:tc>
        <w:tc>
          <w:tcPr>
            <w:tcW w:w="1025" w:type="dxa"/>
            <w:gridSpan w:val="2"/>
            <w:tcBorders>
              <w:top w:val="nil"/>
              <w:left w:val="nil"/>
              <w:bottom w:val="single" w:sz="8" w:space="0" w:color="4F81BD"/>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Cyrl-CS" w:eastAsia="sr-Latn-RS"/>
              </w:rPr>
              <w:t>39,63%</w:t>
            </w:r>
          </w:p>
        </w:tc>
        <w:tc>
          <w:tcPr>
            <w:tcW w:w="815" w:type="dxa"/>
            <w:gridSpan w:val="2"/>
            <w:tcBorders>
              <w:top w:val="nil"/>
              <w:left w:val="nil"/>
              <w:bottom w:val="single" w:sz="8" w:space="0" w:color="4F81BD"/>
              <w:right w:val="nil"/>
            </w:tcBorders>
            <w:shd w:val="clear" w:color="000000" w:fill="D3DFEE"/>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val="sr-Latn-RS" w:eastAsia="sr-Latn-RS"/>
              </w:rPr>
              <w:t>45,40</w:t>
            </w:r>
          </w:p>
        </w:tc>
      </w:tr>
      <w:tr w:rsidR="00167C48" w:rsidRPr="00167C48" w:rsidTr="00BC1410">
        <w:trPr>
          <w:gridAfter w:val="1"/>
          <w:wAfter w:w="200" w:type="dxa"/>
          <w:trHeight w:val="229"/>
        </w:trPr>
        <w:tc>
          <w:tcPr>
            <w:tcW w:w="571" w:type="dxa"/>
            <w:tcBorders>
              <w:top w:val="single" w:sz="8" w:space="0" w:color="4F81BD"/>
              <w:left w:val="nil"/>
              <w:bottom w:val="single" w:sz="4" w:space="0" w:color="auto"/>
              <w:right w:val="nil"/>
            </w:tcBorders>
            <w:shd w:val="clear" w:color="auto" w:fill="auto"/>
            <w:noWrap/>
            <w:vAlign w:val="center"/>
            <w:hideMark/>
          </w:tcPr>
          <w:p w:rsidR="00167C48" w:rsidRPr="00167C48" w:rsidRDefault="00167C48" w:rsidP="00167C48">
            <w:pPr>
              <w:spacing w:after="0" w:line="240" w:lineRule="auto"/>
              <w:rPr>
                <w:rFonts w:ascii="Calibri" w:eastAsia="Times New Roman" w:hAnsi="Calibri" w:cs="Times New Roman"/>
                <w:b/>
                <w:bCs/>
                <w:color w:val="000000"/>
                <w:sz w:val="20"/>
                <w:szCs w:val="20"/>
                <w:lang w:val="sr-Latn-RS" w:eastAsia="sr-Latn-RS"/>
              </w:rPr>
            </w:pPr>
            <w:r w:rsidRPr="00167C48">
              <w:rPr>
                <w:rFonts w:ascii="Calibri" w:eastAsia="Times New Roman" w:hAnsi="Calibri" w:cs="Times New Roman"/>
                <w:b/>
                <w:bCs/>
                <w:color w:val="000000"/>
                <w:sz w:val="20"/>
                <w:szCs w:val="20"/>
                <w:lang w:val="sr-Cyrl-CS" w:eastAsia="sr-Latn-RS"/>
              </w:rPr>
              <w:t> </w:t>
            </w:r>
          </w:p>
        </w:tc>
        <w:tc>
          <w:tcPr>
            <w:tcW w:w="3505" w:type="dxa"/>
            <w:tcBorders>
              <w:top w:val="single" w:sz="8" w:space="0" w:color="4F81BD"/>
              <w:left w:val="nil"/>
              <w:bottom w:val="single" w:sz="4" w:space="0" w:color="auto"/>
              <w:right w:val="nil"/>
            </w:tcBorders>
            <w:shd w:val="clear" w:color="auto" w:fill="auto"/>
            <w:vAlign w:val="center"/>
            <w:hideMark/>
          </w:tcPr>
          <w:p w:rsidR="00167C48" w:rsidRPr="00167C48" w:rsidRDefault="00167C48" w:rsidP="00167C48">
            <w:pPr>
              <w:spacing w:after="0" w:line="240" w:lineRule="auto"/>
              <w:jc w:val="center"/>
              <w:rPr>
                <w:rFonts w:ascii="Calibri" w:eastAsia="Times New Roman" w:hAnsi="Calibri" w:cs="Times New Roman"/>
                <w:b/>
                <w:bCs/>
                <w:color w:val="000000"/>
                <w:sz w:val="20"/>
                <w:szCs w:val="20"/>
                <w:lang w:val="sr-Latn-RS" w:eastAsia="sr-Latn-RS"/>
              </w:rPr>
            </w:pPr>
            <w:r w:rsidRPr="00167C48">
              <w:rPr>
                <w:rFonts w:ascii="Calibri" w:eastAsia="Times New Roman" w:hAnsi="Calibri" w:cs="Times New Roman"/>
                <w:b/>
                <w:bCs/>
                <w:color w:val="000000"/>
                <w:sz w:val="20"/>
                <w:szCs w:val="20"/>
                <w:lang w:val="sr-Cyrl-CS" w:eastAsia="sr-Latn-RS"/>
              </w:rPr>
              <w:t>УКУПНО</w:t>
            </w:r>
          </w:p>
        </w:tc>
        <w:tc>
          <w:tcPr>
            <w:tcW w:w="1126" w:type="dxa"/>
            <w:tcBorders>
              <w:top w:val="single" w:sz="8" w:space="0" w:color="4F81BD"/>
              <w:left w:val="nil"/>
              <w:bottom w:val="single" w:sz="4" w:space="0" w:color="auto"/>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eastAsia="sr-Latn-RS"/>
              </w:rPr>
              <w:t>2.061.975</w:t>
            </w:r>
          </w:p>
        </w:tc>
        <w:tc>
          <w:tcPr>
            <w:tcW w:w="1025" w:type="dxa"/>
            <w:gridSpan w:val="2"/>
            <w:tcBorders>
              <w:top w:val="single" w:sz="8" w:space="0" w:color="4F81BD"/>
              <w:left w:val="nil"/>
              <w:bottom w:val="single" w:sz="4" w:space="0" w:color="auto"/>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b/>
                <w:bCs/>
                <w:color w:val="000000"/>
                <w:sz w:val="20"/>
                <w:szCs w:val="20"/>
                <w:lang w:val="sr-Latn-RS" w:eastAsia="sr-Latn-RS"/>
              </w:rPr>
            </w:pPr>
            <w:r w:rsidRPr="00167C48">
              <w:rPr>
                <w:rFonts w:ascii="Calibri" w:eastAsia="Times New Roman" w:hAnsi="Calibri" w:cs="Times New Roman"/>
                <w:b/>
                <w:bCs/>
                <w:color w:val="000000"/>
                <w:sz w:val="20"/>
                <w:szCs w:val="20"/>
                <w:lang w:val="sr-Cyrl-CS" w:eastAsia="sr-Latn-RS"/>
              </w:rPr>
              <w:t>100,00%</w:t>
            </w:r>
          </w:p>
        </w:tc>
        <w:tc>
          <w:tcPr>
            <w:tcW w:w="1126" w:type="dxa"/>
            <w:gridSpan w:val="2"/>
            <w:tcBorders>
              <w:top w:val="single" w:sz="8" w:space="0" w:color="4F81BD"/>
              <w:left w:val="nil"/>
              <w:bottom w:val="single" w:sz="4" w:space="0" w:color="auto"/>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color w:val="000000"/>
                <w:sz w:val="20"/>
                <w:szCs w:val="20"/>
                <w:lang w:val="sr-Latn-RS" w:eastAsia="sr-Latn-RS"/>
              </w:rPr>
            </w:pPr>
            <w:r w:rsidRPr="00167C48">
              <w:rPr>
                <w:rFonts w:ascii="Calibri" w:eastAsia="Times New Roman" w:hAnsi="Calibri" w:cs="Times New Roman"/>
                <w:color w:val="000000"/>
                <w:sz w:val="20"/>
                <w:szCs w:val="20"/>
                <w:lang w:eastAsia="sr-Latn-RS"/>
              </w:rPr>
              <w:t>2.126.655</w:t>
            </w:r>
          </w:p>
        </w:tc>
        <w:tc>
          <w:tcPr>
            <w:tcW w:w="1025" w:type="dxa"/>
            <w:gridSpan w:val="2"/>
            <w:tcBorders>
              <w:top w:val="single" w:sz="8" w:space="0" w:color="4F81BD"/>
              <w:left w:val="nil"/>
              <w:bottom w:val="single" w:sz="4" w:space="0" w:color="auto"/>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b/>
                <w:bCs/>
                <w:color w:val="000000"/>
                <w:sz w:val="20"/>
                <w:szCs w:val="20"/>
                <w:lang w:val="sr-Latn-RS" w:eastAsia="sr-Latn-RS"/>
              </w:rPr>
            </w:pPr>
            <w:r w:rsidRPr="00167C48">
              <w:rPr>
                <w:rFonts w:ascii="Calibri" w:eastAsia="Times New Roman" w:hAnsi="Calibri" w:cs="Times New Roman"/>
                <w:b/>
                <w:bCs/>
                <w:color w:val="000000"/>
                <w:sz w:val="20"/>
                <w:szCs w:val="20"/>
                <w:lang w:val="sr-Cyrl-CS" w:eastAsia="sr-Latn-RS"/>
              </w:rPr>
              <w:t>100.00%</w:t>
            </w:r>
          </w:p>
        </w:tc>
        <w:tc>
          <w:tcPr>
            <w:tcW w:w="815" w:type="dxa"/>
            <w:gridSpan w:val="2"/>
            <w:tcBorders>
              <w:top w:val="single" w:sz="8" w:space="0" w:color="4F81BD"/>
              <w:left w:val="nil"/>
              <w:bottom w:val="single" w:sz="4" w:space="0" w:color="auto"/>
              <w:right w:val="nil"/>
            </w:tcBorders>
            <w:shd w:val="clear" w:color="auto" w:fill="auto"/>
            <w:noWrap/>
            <w:vAlign w:val="center"/>
            <w:hideMark/>
          </w:tcPr>
          <w:p w:rsidR="00167C48" w:rsidRPr="00167C48" w:rsidRDefault="00167C48" w:rsidP="00167C48">
            <w:pPr>
              <w:spacing w:after="0" w:line="240" w:lineRule="auto"/>
              <w:jc w:val="right"/>
              <w:rPr>
                <w:rFonts w:ascii="Calibri" w:eastAsia="Times New Roman" w:hAnsi="Calibri" w:cs="Times New Roman"/>
                <w:b/>
                <w:bCs/>
                <w:color w:val="000000"/>
                <w:sz w:val="20"/>
                <w:szCs w:val="20"/>
                <w:lang w:val="sr-Latn-RS" w:eastAsia="sr-Latn-RS"/>
              </w:rPr>
            </w:pPr>
            <w:r w:rsidRPr="00167C48">
              <w:rPr>
                <w:rFonts w:ascii="Calibri" w:eastAsia="Times New Roman" w:hAnsi="Calibri" w:cs="Times New Roman"/>
                <w:b/>
                <w:bCs/>
                <w:color w:val="000000"/>
                <w:sz w:val="20"/>
                <w:szCs w:val="20"/>
                <w:lang w:val="sr-Cyrl-CS" w:eastAsia="sr-Latn-RS"/>
              </w:rPr>
              <w:t>96,96</w:t>
            </w:r>
          </w:p>
        </w:tc>
      </w:tr>
    </w:tbl>
    <w:p w:rsidR="00167C48" w:rsidRDefault="00167C48" w:rsidP="00BD65A1">
      <w:pPr>
        <w:spacing w:before="60" w:after="60"/>
        <w:jc w:val="center"/>
        <w:rPr>
          <w:rFonts w:eastAsiaTheme="minorEastAsia"/>
          <w:b/>
          <w:i/>
          <w:noProof/>
          <w:color w:val="365F91" w:themeColor="accent1" w:themeShade="BF"/>
          <w:sz w:val="20"/>
          <w:lang w:val="sr-Cyrl-CS" w:eastAsia="ja-JP"/>
        </w:rPr>
      </w:pPr>
    </w:p>
    <w:bookmarkEnd w:id="53"/>
    <w:p w:rsidR="006A1DA2" w:rsidRPr="00BF3CDE" w:rsidRDefault="00200F65" w:rsidP="00911099">
      <w:pPr>
        <w:spacing w:before="120" w:after="0"/>
        <w:ind w:hanging="567"/>
        <w:jc w:val="both"/>
        <w:rPr>
          <w:noProof/>
          <w:sz w:val="20"/>
          <w:szCs w:val="20"/>
          <w:lang w:val="sr-Cyrl-CS"/>
        </w:rPr>
      </w:pPr>
      <w:r>
        <w:rPr>
          <w:noProof/>
          <w:lang w:val="sr-Latn-RS" w:eastAsia="sr-Latn-RS"/>
        </w:rPr>
        <w:drawing>
          <wp:inline distT="0" distB="0" distL="0" distR="0" wp14:anchorId="3EFF7EF0" wp14:editId="6AB5850B">
            <wp:extent cx="6464410" cy="2703443"/>
            <wp:effectExtent l="0" t="0" r="12700" b="20955"/>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76189C" w:rsidRPr="00765F7E" w:rsidRDefault="0076189C" w:rsidP="006A1DA2">
      <w:pPr>
        <w:spacing w:before="120" w:after="0"/>
        <w:ind w:firstLine="567"/>
        <w:jc w:val="both"/>
        <w:rPr>
          <w:noProof/>
          <w:sz w:val="20"/>
          <w:szCs w:val="20"/>
          <w:lang w:val="sr-Cyrl-CS"/>
        </w:rPr>
      </w:pPr>
      <w:r w:rsidRPr="00765F7E">
        <w:rPr>
          <w:noProof/>
          <w:sz w:val="20"/>
          <w:szCs w:val="20"/>
          <w:lang w:val="sr-Cyrl-CS"/>
        </w:rPr>
        <w:t xml:space="preserve">Укупан инвестициони портфолио Друштва је смањен за </w:t>
      </w:r>
      <w:r w:rsidR="00765F7E" w:rsidRPr="00765F7E">
        <w:rPr>
          <w:noProof/>
          <w:sz w:val="20"/>
          <w:szCs w:val="20"/>
          <w:lang w:val="sr-Cyrl-CS"/>
        </w:rPr>
        <w:t>3%</w:t>
      </w:r>
      <w:r w:rsidRPr="00765F7E">
        <w:rPr>
          <w:noProof/>
          <w:sz w:val="20"/>
          <w:szCs w:val="20"/>
          <w:lang w:val="sr-Cyrl-CS"/>
        </w:rPr>
        <w:t xml:space="preserve">, што је највећим делом последица обезвређења акција Дунав банке, </w:t>
      </w:r>
      <w:r w:rsidR="00765F7E" w:rsidRPr="00765F7E">
        <w:rPr>
          <w:noProof/>
          <w:sz w:val="20"/>
          <w:szCs w:val="20"/>
          <w:lang w:val="sr-Cyrl-CS"/>
        </w:rPr>
        <w:t>тржишних осцилација и падом готовине због исплата штета.</w:t>
      </w:r>
    </w:p>
    <w:p w:rsidR="0076189C" w:rsidRPr="00765F7E" w:rsidRDefault="0076189C" w:rsidP="00E847DA">
      <w:pPr>
        <w:spacing w:before="120" w:after="0"/>
        <w:jc w:val="center"/>
        <w:rPr>
          <w:rFonts w:eastAsiaTheme="minorEastAsia"/>
          <w:b/>
          <w:i/>
          <w:noProof/>
          <w:color w:val="365F91" w:themeColor="accent1" w:themeShade="BF"/>
          <w:sz w:val="20"/>
          <w:lang w:val="sr-Cyrl-CS" w:eastAsia="ja-JP"/>
        </w:rPr>
      </w:pPr>
      <w:r w:rsidRPr="00765F7E">
        <w:rPr>
          <w:rFonts w:eastAsiaTheme="minorEastAsia"/>
          <w:b/>
          <w:i/>
          <w:noProof/>
          <w:color w:val="365F91" w:themeColor="accent1" w:themeShade="BF"/>
          <w:sz w:val="20"/>
          <w:lang w:val="sr-Cyrl-CS" w:eastAsia="ja-JP"/>
        </w:rPr>
        <w:t>Хартије од вредности које се држе до доспећа</w:t>
      </w:r>
    </w:p>
    <w:p w:rsidR="0076189C" w:rsidRPr="00765F7E" w:rsidRDefault="0076189C" w:rsidP="0076189C">
      <w:pPr>
        <w:spacing w:after="0"/>
        <w:jc w:val="both"/>
        <w:rPr>
          <w:noProof/>
          <w:sz w:val="20"/>
          <w:szCs w:val="20"/>
          <w:lang w:val="sr-Cyrl-CS"/>
        </w:rPr>
      </w:pPr>
      <w:r w:rsidRPr="00765F7E">
        <w:rPr>
          <w:noProof/>
          <w:sz w:val="20"/>
          <w:szCs w:val="20"/>
          <w:lang w:val="sr-Cyrl-CS"/>
        </w:rPr>
        <w:tab/>
        <w:t>Друштво је:</w:t>
      </w:r>
    </w:p>
    <w:p w:rsidR="00765F7E" w:rsidRPr="00765F7E" w:rsidRDefault="00765F7E" w:rsidP="00521CE0">
      <w:pPr>
        <w:pStyle w:val="ListParagraph"/>
        <w:numPr>
          <w:ilvl w:val="0"/>
          <w:numId w:val="33"/>
        </w:numPr>
        <w:spacing w:after="120"/>
        <w:jc w:val="both"/>
        <w:rPr>
          <w:noProof/>
          <w:sz w:val="20"/>
          <w:szCs w:val="20"/>
          <w:lang w:val="sr-Cyrl-CS"/>
        </w:rPr>
      </w:pPr>
      <w:r w:rsidRPr="00765F7E">
        <w:rPr>
          <w:noProof/>
          <w:sz w:val="20"/>
          <w:szCs w:val="20"/>
          <w:lang w:val="sr-Cyrl-CS"/>
        </w:rPr>
        <w:t>дана 21.02.2011. године купило 200 комада државних записа Републике Србије РСМФРСD82183 емитованих у ЕУР-има са роком доспећа од 15 година, номиналне вредности 200.000,00 ЕУР и приносом од 5.75% на годишњем нивоу. Проценом методе ефективне каматне стопе вредност записа на дан 31.12.2015.године  изражена у динарима износи 24.885 хиљада РСД.</w:t>
      </w:r>
    </w:p>
    <w:p w:rsidR="00765F7E" w:rsidRPr="00765F7E" w:rsidRDefault="00765F7E" w:rsidP="00521CE0">
      <w:pPr>
        <w:pStyle w:val="ListParagraph"/>
        <w:numPr>
          <w:ilvl w:val="0"/>
          <w:numId w:val="33"/>
        </w:numPr>
        <w:spacing w:after="120"/>
        <w:jc w:val="both"/>
        <w:rPr>
          <w:noProof/>
          <w:sz w:val="20"/>
          <w:szCs w:val="20"/>
          <w:lang w:val="sr-Cyrl-CS"/>
        </w:rPr>
      </w:pPr>
      <w:r w:rsidRPr="00765F7E">
        <w:rPr>
          <w:noProof/>
          <w:sz w:val="20"/>
          <w:szCs w:val="20"/>
          <w:lang w:val="sr-Cyrl-CS"/>
        </w:rPr>
        <w:t>дана 16.02.2014. године купило 1.994 комада обвезница Републике Србије РСМФРСD64991 номиналне вредности 1.000 ЕУР-а по комаду, са роком доспећа 21.02.2017.године и приносом од 4,80% на годишњем нивоу.Тржишна цена обвезнице на дан куповине износила је 991,80 ЕУР-а по комаду. Укупaн принос мерен методом ефективне каматне стопе  износи 285.540,80 ЕУР-а. Укупна вредност ових обвезница на дан 31.12.15. износи 2.059.0021,29 ЕУР-а или 250.653 хиљада РСД.</w:t>
      </w:r>
    </w:p>
    <w:p w:rsidR="00765F7E" w:rsidRDefault="00765F7E" w:rsidP="00765F7E">
      <w:pPr>
        <w:spacing w:after="120"/>
        <w:jc w:val="both"/>
        <w:rPr>
          <w:noProof/>
          <w:sz w:val="20"/>
          <w:szCs w:val="20"/>
          <w:lang w:val="sr-Cyrl-CS"/>
        </w:rPr>
      </w:pPr>
    </w:p>
    <w:p w:rsidR="0076189C" w:rsidRPr="00B32DE6" w:rsidRDefault="0076189C" w:rsidP="00765F7E">
      <w:pPr>
        <w:spacing w:after="120"/>
        <w:jc w:val="both"/>
        <w:rPr>
          <w:rFonts w:eastAsiaTheme="minorEastAsia"/>
          <w:b/>
          <w:i/>
          <w:noProof/>
          <w:color w:val="365F91" w:themeColor="accent1" w:themeShade="BF"/>
          <w:sz w:val="20"/>
          <w:lang w:val="sr-Cyrl-CS" w:eastAsia="ja-JP"/>
        </w:rPr>
      </w:pPr>
      <w:r w:rsidRPr="00B32DE6">
        <w:rPr>
          <w:rFonts w:eastAsiaTheme="minorEastAsia"/>
          <w:b/>
          <w:i/>
          <w:noProof/>
          <w:color w:val="365F91" w:themeColor="accent1" w:themeShade="BF"/>
          <w:sz w:val="20"/>
          <w:lang w:val="sr-Cyrl-CS" w:eastAsia="ja-JP"/>
        </w:rPr>
        <w:tab/>
        <w:t>Дужничке хартије од вредности расположиве за продају</w:t>
      </w:r>
    </w:p>
    <w:p w:rsidR="008B2D3B" w:rsidRDefault="00B32DE6" w:rsidP="00B32DE6">
      <w:pPr>
        <w:spacing w:before="80" w:after="80"/>
        <w:ind w:firstLine="567"/>
        <w:jc w:val="both"/>
        <w:rPr>
          <w:noProof/>
          <w:sz w:val="20"/>
          <w:szCs w:val="20"/>
          <w:lang w:val="sr-Cyrl-CS"/>
        </w:rPr>
      </w:pPr>
      <w:r w:rsidRPr="00B32DE6">
        <w:rPr>
          <w:noProof/>
          <w:sz w:val="20"/>
          <w:szCs w:val="20"/>
          <w:lang w:val="sr-Cyrl-CS"/>
        </w:rPr>
        <w:t xml:space="preserve">Дана 11.06.2014. године Друштво је купило 3.000 комада државних записа  РСМФРСD23153-РСDЗ14509, номиналне вредности 1.000 ЕУР-а по једном запису. Тржишна цена записа на дан куповине била је 968,17 ЕУР-а по комаду. Записи су доспели 17.06.2015. године, а стопа приноса износила је  3,19% на годишњем нивоу. Укупна камата до дана доспећа мерено методом ефективне каматне стопе износила је  95.490 ЕУР-а. </w:t>
      </w:r>
      <w:r w:rsidR="008B2D3B">
        <w:rPr>
          <w:noProof/>
          <w:sz w:val="20"/>
          <w:szCs w:val="20"/>
          <w:lang w:val="sr-Cyrl-CS"/>
        </w:rPr>
        <w:t xml:space="preserve"> </w:t>
      </w:r>
    </w:p>
    <w:p w:rsidR="005F78E3" w:rsidRPr="00BF3CDE" w:rsidRDefault="005F78E3" w:rsidP="00B32DE6">
      <w:pPr>
        <w:spacing w:before="80" w:after="80"/>
        <w:ind w:firstLine="567"/>
        <w:jc w:val="both"/>
        <w:rPr>
          <w:noProof/>
          <w:sz w:val="20"/>
          <w:szCs w:val="20"/>
          <w:lang w:val="sr-Cyrl-CS"/>
        </w:rPr>
      </w:pPr>
    </w:p>
    <w:p w:rsidR="0076189C" w:rsidRDefault="0076189C" w:rsidP="00D50EE5">
      <w:pPr>
        <w:spacing w:before="80" w:after="80"/>
        <w:jc w:val="center"/>
        <w:rPr>
          <w:rFonts w:eastAsiaTheme="minorEastAsia"/>
          <w:b/>
          <w:i/>
          <w:noProof/>
          <w:color w:val="365F91" w:themeColor="accent1" w:themeShade="BF"/>
          <w:sz w:val="20"/>
          <w:lang w:val="sr-Cyrl-CS" w:eastAsia="ja-JP"/>
        </w:rPr>
      </w:pPr>
      <w:bookmarkStart w:id="54" w:name="_Toc413417682"/>
      <w:r w:rsidRPr="00BF3CDE">
        <w:rPr>
          <w:rFonts w:eastAsiaTheme="minorEastAsia"/>
          <w:b/>
          <w:i/>
          <w:noProof/>
          <w:color w:val="365F91" w:themeColor="accent1" w:themeShade="BF"/>
          <w:sz w:val="20"/>
          <w:lang w:val="sr-Cyrl-CS" w:eastAsia="ja-JP"/>
        </w:rPr>
        <w:t>Власничке хартије од вредности расположиве за продају</w:t>
      </w:r>
      <w:bookmarkEnd w:id="54"/>
    </w:p>
    <w:p w:rsidR="005F78E3" w:rsidRPr="00BF3CDE" w:rsidRDefault="005F78E3" w:rsidP="00D50EE5">
      <w:pPr>
        <w:spacing w:before="80" w:after="80"/>
        <w:jc w:val="center"/>
        <w:rPr>
          <w:rFonts w:eastAsiaTheme="minorEastAsia"/>
          <w:b/>
          <w:i/>
          <w:noProof/>
          <w:color w:val="365F91" w:themeColor="accent1" w:themeShade="BF"/>
          <w:sz w:val="20"/>
          <w:lang w:val="sr-Cyrl-CS" w:eastAsia="ja-JP"/>
        </w:rPr>
      </w:pPr>
    </w:p>
    <w:p w:rsidR="00480E31" w:rsidRDefault="0076189C" w:rsidP="00BD65A1">
      <w:pPr>
        <w:spacing w:after="0"/>
        <w:jc w:val="both"/>
        <w:rPr>
          <w:noProof/>
          <w:sz w:val="20"/>
          <w:szCs w:val="20"/>
          <w:lang w:val="sr-Latn-RS"/>
        </w:rPr>
      </w:pPr>
      <w:r w:rsidRPr="00BF3CDE">
        <w:rPr>
          <w:rFonts w:ascii="Tahoma" w:hAnsi="Tahoma" w:cs="Tahoma"/>
          <w:noProof/>
          <w:lang w:val="sr-Cyrl-CS"/>
        </w:rPr>
        <w:tab/>
      </w:r>
      <w:r w:rsidRPr="00BF3CDE">
        <w:rPr>
          <w:noProof/>
          <w:sz w:val="20"/>
          <w:szCs w:val="20"/>
          <w:lang w:val="sr-Cyrl-CS"/>
        </w:rPr>
        <w:t>Власничке ХОВ расположиве за продају на дан 31.12.201</w:t>
      </w:r>
      <w:r w:rsidR="008D4D3A">
        <w:rPr>
          <w:noProof/>
          <w:sz w:val="20"/>
          <w:szCs w:val="20"/>
          <w:lang w:val="sr-Latn-RS"/>
        </w:rPr>
        <w:t>5</w:t>
      </w:r>
      <w:r w:rsidRPr="00BF3CDE">
        <w:rPr>
          <w:noProof/>
          <w:sz w:val="20"/>
          <w:szCs w:val="20"/>
          <w:lang w:val="sr-Cyrl-CS"/>
        </w:rPr>
        <w:t xml:space="preserve">. године износе </w:t>
      </w:r>
      <w:r w:rsidR="008D4D3A">
        <w:rPr>
          <w:noProof/>
          <w:sz w:val="20"/>
          <w:szCs w:val="20"/>
          <w:lang w:val="sr-Latn-RS"/>
        </w:rPr>
        <w:t>125.629</w:t>
      </w:r>
      <w:r w:rsidRPr="00BF3CDE">
        <w:rPr>
          <w:noProof/>
          <w:sz w:val="20"/>
          <w:szCs w:val="20"/>
          <w:lang w:val="sr-Cyrl-CS"/>
        </w:rPr>
        <w:t xml:space="preserve"> хиљада динара, а састоје се од:</w:t>
      </w:r>
      <w:r w:rsidR="00BD65A1" w:rsidRPr="00BD65A1">
        <w:rPr>
          <w:noProof/>
          <w:sz w:val="20"/>
          <w:szCs w:val="20"/>
          <w:lang w:val="sr-Cyrl-CS"/>
        </w:rPr>
        <w:t xml:space="preserve"> </w:t>
      </w:r>
      <w:r w:rsidR="00BD65A1">
        <w:rPr>
          <w:noProof/>
          <w:sz w:val="20"/>
          <w:szCs w:val="20"/>
          <w:lang w:val="sr-Cyrl-CS"/>
        </w:rPr>
        <w:tab/>
      </w:r>
      <w:r w:rsidR="00BD65A1">
        <w:rPr>
          <w:noProof/>
          <w:sz w:val="20"/>
          <w:szCs w:val="20"/>
          <w:lang w:val="sr-Cyrl-CS"/>
        </w:rPr>
        <w:tab/>
      </w:r>
    </w:p>
    <w:p w:rsidR="005F78E3" w:rsidRDefault="005F78E3" w:rsidP="00480E31">
      <w:pPr>
        <w:spacing w:after="0"/>
        <w:jc w:val="right"/>
        <w:rPr>
          <w:noProof/>
          <w:sz w:val="20"/>
          <w:szCs w:val="20"/>
          <w:lang w:val="sr-Cyrl-CS"/>
        </w:rPr>
      </w:pPr>
    </w:p>
    <w:p w:rsidR="0076189C" w:rsidRPr="00480E31" w:rsidRDefault="00BD65A1" w:rsidP="00480E31">
      <w:pPr>
        <w:spacing w:after="0"/>
        <w:jc w:val="right"/>
        <w:rPr>
          <w:noProof/>
          <w:sz w:val="18"/>
          <w:szCs w:val="18"/>
          <w:lang w:val="sr-Cyrl-CS"/>
        </w:rPr>
      </w:pPr>
      <w:r>
        <w:rPr>
          <w:noProof/>
          <w:sz w:val="20"/>
          <w:szCs w:val="20"/>
          <w:lang w:val="sr-Cyrl-CS"/>
        </w:rPr>
        <w:tab/>
      </w:r>
      <w:r>
        <w:rPr>
          <w:noProof/>
          <w:sz w:val="20"/>
          <w:szCs w:val="20"/>
          <w:lang w:val="sr-Cyrl-CS"/>
        </w:rPr>
        <w:tab/>
      </w:r>
      <w:r>
        <w:rPr>
          <w:noProof/>
          <w:sz w:val="20"/>
          <w:szCs w:val="20"/>
          <w:lang w:val="sr-Cyrl-CS"/>
        </w:rPr>
        <w:tab/>
        <w:t xml:space="preserve">  </w:t>
      </w:r>
      <w:r w:rsidRPr="00480E31">
        <w:rPr>
          <w:noProof/>
          <w:sz w:val="18"/>
          <w:szCs w:val="18"/>
          <w:lang w:val="sr-Cyrl-CS"/>
        </w:rPr>
        <w:t>у 000 РСД</w:t>
      </w:r>
    </w:p>
    <w:tbl>
      <w:tblPr>
        <w:tblW w:w="9163" w:type="dxa"/>
        <w:tblInd w:w="93" w:type="dxa"/>
        <w:tblLook w:val="04A0" w:firstRow="1" w:lastRow="0" w:firstColumn="1" w:lastColumn="0" w:noHBand="0" w:noVBand="1"/>
      </w:tblPr>
      <w:tblGrid>
        <w:gridCol w:w="2113"/>
        <w:gridCol w:w="2621"/>
        <w:gridCol w:w="1251"/>
        <w:gridCol w:w="1589"/>
        <w:gridCol w:w="1589"/>
      </w:tblGrid>
      <w:tr w:rsidR="005E3E2D" w:rsidRPr="005E3E2D" w:rsidTr="005E3E2D">
        <w:trPr>
          <w:trHeight w:val="247"/>
        </w:trPr>
        <w:tc>
          <w:tcPr>
            <w:tcW w:w="2113" w:type="dxa"/>
            <w:tcBorders>
              <w:top w:val="nil"/>
              <w:left w:val="nil"/>
              <w:bottom w:val="double" w:sz="6" w:space="0" w:color="auto"/>
              <w:right w:val="nil"/>
            </w:tcBorders>
            <w:shd w:val="clear" w:color="000000" w:fill="F2F2F2"/>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Назив правног лица</w:t>
            </w:r>
          </w:p>
        </w:tc>
        <w:tc>
          <w:tcPr>
            <w:tcW w:w="2621" w:type="dxa"/>
            <w:tcBorders>
              <w:top w:val="nil"/>
              <w:left w:val="nil"/>
              <w:bottom w:val="double" w:sz="6" w:space="0" w:color="auto"/>
              <w:right w:val="nil"/>
            </w:tcBorders>
            <w:shd w:val="clear" w:color="000000" w:fill="F2F2F2"/>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Адреса правног лица</w:t>
            </w:r>
          </w:p>
        </w:tc>
        <w:tc>
          <w:tcPr>
            <w:tcW w:w="1251" w:type="dxa"/>
            <w:tcBorders>
              <w:top w:val="nil"/>
              <w:left w:val="nil"/>
              <w:bottom w:val="double" w:sz="6" w:space="0" w:color="auto"/>
              <w:right w:val="nil"/>
            </w:tcBorders>
            <w:shd w:val="clear" w:color="000000" w:fill="F2F2F2"/>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%учешћа</w:t>
            </w:r>
          </w:p>
        </w:tc>
        <w:tc>
          <w:tcPr>
            <w:tcW w:w="1589" w:type="dxa"/>
            <w:tcBorders>
              <w:top w:val="nil"/>
              <w:left w:val="nil"/>
              <w:bottom w:val="double" w:sz="6" w:space="0" w:color="auto"/>
              <w:right w:val="nil"/>
            </w:tcBorders>
            <w:shd w:val="clear" w:color="000000" w:fill="F2F2F2"/>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Тек. год.</w:t>
            </w:r>
          </w:p>
        </w:tc>
        <w:tc>
          <w:tcPr>
            <w:tcW w:w="1589" w:type="dxa"/>
            <w:tcBorders>
              <w:top w:val="nil"/>
              <w:left w:val="nil"/>
              <w:bottom w:val="double" w:sz="6" w:space="0" w:color="auto"/>
              <w:right w:val="nil"/>
            </w:tcBorders>
            <w:shd w:val="clear" w:color="000000" w:fill="F2F2F2"/>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Прет. год.</w:t>
            </w:r>
          </w:p>
        </w:tc>
      </w:tr>
      <w:tr w:rsidR="005E3E2D" w:rsidRPr="005E3E2D" w:rsidTr="005E3E2D">
        <w:trPr>
          <w:trHeight w:val="90"/>
        </w:trPr>
        <w:tc>
          <w:tcPr>
            <w:tcW w:w="2113"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p>
        </w:tc>
        <w:tc>
          <w:tcPr>
            <w:tcW w:w="2621"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p>
        </w:tc>
        <w:tc>
          <w:tcPr>
            <w:tcW w:w="1251"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p>
        </w:tc>
      </w:tr>
      <w:tr w:rsidR="005E3E2D" w:rsidRPr="005E3E2D" w:rsidTr="005E3E2D">
        <w:trPr>
          <w:trHeight w:val="225"/>
        </w:trPr>
        <w:tc>
          <w:tcPr>
            <w:tcW w:w="9163" w:type="dxa"/>
            <w:gridSpan w:val="5"/>
            <w:tcBorders>
              <w:top w:val="nil"/>
              <w:left w:val="nil"/>
              <w:bottom w:val="nil"/>
              <w:right w:val="nil"/>
            </w:tcBorders>
            <w:shd w:val="clear" w:color="000000" w:fill="DBE5F1"/>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Учешћа у капиталу</w:t>
            </w:r>
            <w:r w:rsidRPr="005E3E2D">
              <w:rPr>
                <w:rFonts w:ascii="Tahoma" w:eastAsia="Times New Roman" w:hAnsi="Tahoma" w:cs="Tahoma"/>
                <w:b/>
                <w:bCs/>
                <w:color w:val="000000"/>
                <w:sz w:val="18"/>
                <w:szCs w:val="18"/>
                <w:lang w:val="sr-Cyrl-CS" w:eastAsia="sr-Latn-RS"/>
              </w:rPr>
              <w:t xml:space="preserve"> банака и других правних лица</w:t>
            </w:r>
          </w:p>
        </w:tc>
      </w:tr>
      <w:tr w:rsidR="005E3E2D" w:rsidRPr="005E3E2D" w:rsidTr="005E3E2D">
        <w:trPr>
          <w:trHeight w:val="225"/>
        </w:trPr>
        <w:tc>
          <w:tcPr>
            <w:tcW w:w="2113" w:type="dxa"/>
            <w:tcBorders>
              <w:top w:val="nil"/>
              <w:left w:val="nil"/>
              <w:bottom w:val="nil"/>
              <w:right w:val="nil"/>
            </w:tcBorders>
            <w:shd w:val="clear" w:color="auto" w:fill="auto"/>
            <w:vAlign w:val="center"/>
            <w:hideMark/>
          </w:tcPr>
          <w:p w:rsidR="005E3E2D" w:rsidRPr="005E3E2D" w:rsidRDefault="005E3E2D" w:rsidP="005E3E2D">
            <w:pPr>
              <w:spacing w:after="0" w:line="240" w:lineRule="auto"/>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Комерцијална банка а.д.</w:t>
            </w:r>
          </w:p>
        </w:tc>
        <w:tc>
          <w:tcPr>
            <w:tcW w:w="2621" w:type="dxa"/>
            <w:tcBorders>
              <w:top w:val="nil"/>
              <w:left w:val="nil"/>
              <w:bottom w:val="nil"/>
              <w:right w:val="nil"/>
            </w:tcBorders>
            <w:shd w:val="clear" w:color="auto" w:fill="auto"/>
            <w:vAlign w:val="center"/>
            <w:hideMark/>
          </w:tcPr>
          <w:p w:rsidR="005E3E2D" w:rsidRPr="005E3E2D" w:rsidRDefault="005E3E2D" w:rsidP="005E3E2D">
            <w:pPr>
              <w:spacing w:after="0" w:line="240" w:lineRule="auto"/>
              <w:jc w:val="center"/>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Светог Саве 14, Београд</w:t>
            </w:r>
          </w:p>
        </w:tc>
        <w:tc>
          <w:tcPr>
            <w:tcW w:w="1251"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Испод 1%</w:t>
            </w: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27.965</w:t>
            </w: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37.901</w:t>
            </w:r>
          </w:p>
        </w:tc>
      </w:tr>
      <w:tr w:rsidR="005E3E2D" w:rsidRPr="005E3E2D" w:rsidTr="005E3E2D">
        <w:trPr>
          <w:trHeight w:val="225"/>
        </w:trPr>
        <w:tc>
          <w:tcPr>
            <w:tcW w:w="2113" w:type="dxa"/>
            <w:tcBorders>
              <w:top w:val="nil"/>
              <w:left w:val="nil"/>
              <w:bottom w:val="nil"/>
              <w:right w:val="nil"/>
            </w:tcBorders>
            <w:shd w:val="clear" w:color="auto" w:fill="auto"/>
            <w:vAlign w:val="center"/>
            <w:hideMark/>
          </w:tcPr>
          <w:p w:rsidR="005E3E2D" w:rsidRPr="005E3E2D" w:rsidRDefault="005E3E2D" w:rsidP="005E3E2D">
            <w:pPr>
              <w:spacing w:after="0" w:line="240" w:lineRule="auto"/>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МТС банка а.д.</w:t>
            </w:r>
          </w:p>
        </w:tc>
        <w:tc>
          <w:tcPr>
            <w:tcW w:w="2621" w:type="dxa"/>
            <w:tcBorders>
              <w:top w:val="nil"/>
              <w:left w:val="nil"/>
              <w:bottom w:val="nil"/>
              <w:right w:val="nil"/>
            </w:tcBorders>
            <w:shd w:val="clear" w:color="auto" w:fill="auto"/>
            <w:vAlign w:val="center"/>
            <w:hideMark/>
          </w:tcPr>
          <w:p w:rsidR="005E3E2D" w:rsidRPr="005E3E2D" w:rsidRDefault="005E3E2D" w:rsidP="005E3E2D">
            <w:pPr>
              <w:spacing w:after="0" w:line="240" w:lineRule="auto"/>
              <w:jc w:val="center"/>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Београд</w:t>
            </w:r>
          </w:p>
        </w:tc>
        <w:tc>
          <w:tcPr>
            <w:tcW w:w="1251"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16,40%</w:t>
            </w: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254.524</w:t>
            </w: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254.523</w:t>
            </w:r>
          </w:p>
        </w:tc>
      </w:tr>
      <w:tr w:rsidR="005E3E2D" w:rsidRPr="005E3E2D" w:rsidTr="005E3E2D">
        <w:trPr>
          <w:trHeight w:val="225"/>
        </w:trPr>
        <w:tc>
          <w:tcPr>
            <w:tcW w:w="2113" w:type="dxa"/>
            <w:tcBorders>
              <w:top w:val="nil"/>
              <w:left w:val="nil"/>
              <w:bottom w:val="double" w:sz="6" w:space="0" w:color="auto"/>
              <w:right w:val="nil"/>
            </w:tcBorders>
            <w:shd w:val="clear" w:color="auto" w:fill="auto"/>
            <w:vAlign w:val="center"/>
            <w:hideMark/>
          </w:tcPr>
          <w:p w:rsidR="005E3E2D" w:rsidRPr="005E3E2D" w:rsidRDefault="005E3E2D" w:rsidP="005E3E2D">
            <w:pPr>
              <w:spacing w:after="0" w:line="240" w:lineRule="auto"/>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Аеродром Никола Тесла</w:t>
            </w:r>
          </w:p>
        </w:tc>
        <w:tc>
          <w:tcPr>
            <w:tcW w:w="2621" w:type="dxa"/>
            <w:tcBorders>
              <w:top w:val="nil"/>
              <w:left w:val="nil"/>
              <w:bottom w:val="double" w:sz="6" w:space="0" w:color="auto"/>
              <w:right w:val="nil"/>
            </w:tcBorders>
            <w:shd w:val="clear" w:color="auto" w:fill="auto"/>
            <w:vAlign w:val="center"/>
            <w:hideMark/>
          </w:tcPr>
          <w:p w:rsidR="005E3E2D" w:rsidRPr="005E3E2D" w:rsidRDefault="005E3E2D" w:rsidP="005E3E2D">
            <w:pPr>
              <w:spacing w:after="0" w:line="240" w:lineRule="auto"/>
              <w:jc w:val="center"/>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Београд</w:t>
            </w:r>
          </w:p>
        </w:tc>
        <w:tc>
          <w:tcPr>
            <w:tcW w:w="1251" w:type="dxa"/>
            <w:tcBorders>
              <w:top w:val="nil"/>
              <w:left w:val="nil"/>
              <w:bottom w:val="double" w:sz="6"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Испод 1%</w:t>
            </w:r>
          </w:p>
        </w:tc>
        <w:tc>
          <w:tcPr>
            <w:tcW w:w="1589" w:type="dxa"/>
            <w:tcBorders>
              <w:top w:val="nil"/>
              <w:left w:val="nil"/>
              <w:bottom w:val="double" w:sz="6"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32.551</w:t>
            </w:r>
          </w:p>
        </w:tc>
        <w:tc>
          <w:tcPr>
            <w:tcW w:w="1589" w:type="dxa"/>
            <w:tcBorders>
              <w:top w:val="nil"/>
              <w:left w:val="nil"/>
              <w:bottom w:val="double" w:sz="6"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26.594</w:t>
            </w:r>
          </w:p>
        </w:tc>
      </w:tr>
      <w:tr w:rsidR="005E3E2D" w:rsidRPr="005E3E2D" w:rsidTr="005E3E2D">
        <w:trPr>
          <w:trHeight w:val="247"/>
        </w:trPr>
        <w:tc>
          <w:tcPr>
            <w:tcW w:w="5984" w:type="dxa"/>
            <w:gridSpan w:val="3"/>
            <w:tcBorders>
              <w:top w:val="double" w:sz="6" w:space="0" w:color="auto"/>
              <w:left w:val="nil"/>
              <w:bottom w:val="double" w:sz="6" w:space="0" w:color="auto"/>
              <w:right w:val="nil"/>
            </w:tcBorders>
            <w:shd w:val="clear" w:color="000000" w:fill="DCE6F1"/>
            <w:noWrap/>
            <w:vAlign w:val="center"/>
            <w:hideMark/>
          </w:tcPr>
          <w:p w:rsidR="005E3E2D" w:rsidRPr="005E3E2D" w:rsidRDefault="005E3E2D" w:rsidP="005E3E2D">
            <w:pPr>
              <w:spacing w:after="0" w:line="240" w:lineRule="auto"/>
              <w:jc w:val="right"/>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Укупно</w:t>
            </w:r>
          </w:p>
        </w:tc>
        <w:tc>
          <w:tcPr>
            <w:tcW w:w="1589" w:type="dxa"/>
            <w:tcBorders>
              <w:top w:val="nil"/>
              <w:left w:val="nil"/>
              <w:bottom w:val="double" w:sz="6" w:space="0" w:color="auto"/>
              <w:right w:val="nil"/>
            </w:tcBorders>
            <w:shd w:val="clear" w:color="000000" w:fill="DCE6F1"/>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315.040</w:t>
            </w:r>
          </w:p>
        </w:tc>
        <w:tc>
          <w:tcPr>
            <w:tcW w:w="1589" w:type="dxa"/>
            <w:tcBorders>
              <w:top w:val="nil"/>
              <w:left w:val="nil"/>
              <w:bottom w:val="double" w:sz="6" w:space="0" w:color="auto"/>
              <w:right w:val="nil"/>
            </w:tcBorders>
            <w:shd w:val="clear" w:color="000000" w:fill="DCE6F1"/>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319.018</w:t>
            </w:r>
          </w:p>
        </w:tc>
      </w:tr>
      <w:tr w:rsidR="005E3E2D" w:rsidRPr="005E3E2D" w:rsidTr="005E3E2D">
        <w:trPr>
          <w:trHeight w:val="113"/>
        </w:trPr>
        <w:tc>
          <w:tcPr>
            <w:tcW w:w="2113"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right"/>
              <w:rPr>
                <w:rFonts w:ascii="Tahoma" w:eastAsia="Times New Roman" w:hAnsi="Tahoma" w:cs="Tahoma"/>
                <w:b/>
                <w:bCs/>
                <w:color w:val="000000"/>
                <w:sz w:val="18"/>
                <w:szCs w:val="18"/>
                <w:lang w:val="sr-Latn-RS" w:eastAsia="sr-Latn-RS"/>
              </w:rPr>
            </w:pPr>
          </w:p>
        </w:tc>
        <w:tc>
          <w:tcPr>
            <w:tcW w:w="2621"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right"/>
              <w:rPr>
                <w:rFonts w:ascii="Tahoma" w:eastAsia="Times New Roman" w:hAnsi="Tahoma" w:cs="Tahoma"/>
                <w:b/>
                <w:bCs/>
                <w:color w:val="000000"/>
                <w:sz w:val="18"/>
                <w:szCs w:val="18"/>
                <w:lang w:val="sr-Latn-RS" w:eastAsia="sr-Latn-RS"/>
              </w:rPr>
            </w:pPr>
          </w:p>
        </w:tc>
        <w:tc>
          <w:tcPr>
            <w:tcW w:w="1251"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right"/>
              <w:rPr>
                <w:rFonts w:ascii="Tahoma" w:eastAsia="Times New Roman" w:hAnsi="Tahoma" w:cs="Tahoma"/>
                <w:b/>
                <w:bCs/>
                <w:color w:val="000000"/>
                <w:sz w:val="18"/>
                <w:szCs w:val="18"/>
                <w:lang w:val="sr-Latn-RS" w:eastAsia="sr-Latn-RS"/>
              </w:rPr>
            </w:pP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p>
        </w:tc>
      </w:tr>
      <w:tr w:rsidR="005E3E2D" w:rsidRPr="005E3E2D" w:rsidTr="005E3E2D">
        <w:trPr>
          <w:trHeight w:val="225"/>
        </w:trPr>
        <w:tc>
          <w:tcPr>
            <w:tcW w:w="9163" w:type="dxa"/>
            <w:gridSpan w:val="5"/>
            <w:tcBorders>
              <w:top w:val="nil"/>
              <w:left w:val="nil"/>
              <w:bottom w:val="nil"/>
              <w:right w:val="nil"/>
            </w:tcBorders>
            <w:shd w:val="clear" w:color="000000" w:fill="DBE5F1"/>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Учешћа у капиталу</w:t>
            </w:r>
            <w:r w:rsidRPr="005E3E2D">
              <w:rPr>
                <w:rFonts w:ascii="Tahoma" w:eastAsia="Times New Roman" w:hAnsi="Tahoma" w:cs="Tahoma"/>
                <w:b/>
                <w:bCs/>
                <w:color w:val="000000"/>
                <w:sz w:val="18"/>
                <w:szCs w:val="18"/>
                <w:lang w:val="sr-Cyrl-CS" w:eastAsia="sr-Latn-RS"/>
              </w:rPr>
              <w:t xml:space="preserve"> осигуравајућих друштава</w:t>
            </w:r>
          </w:p>
        </w:tc>
      </w:tr>
      <w:tr w:rsidR="005E3E2D" w:rsidRPr="005E3E2D" w:rsidTr="005E3E2D">
        <w:trPr>
          <w:trHeight w:val="225"/>
        </w:trPr>
        <w:tc>
          <w:tcPr>
            <w:tcW w:w="2113" w:type="dxa"/>
            <w:tcBorders>
              <w:top w:val="nil"/>
              <w:left w:val="nil"/>
              <w:bottom w:val="nil"/>
              <w:right w:val="nil"/>
            </w:tcBorders>
            <w:shd w:val="clear" w:color="auto" w:fill="auto"/>
            <w:vAlign w:val="center"/>
            <w:hideMark/>
          </w:tcPr>
          <w:p w:rsidR="005E3E2D" w:rsidRPr="005E3E2D" w:rsidRDefault="005E3E2D" w:rsidP="005E3E2D">
            <w:pPr>
              <w:spacing w:after="0" w:line="240" w:lineRule="auto"/>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Ловћен осигурање а.д.</w:t>
            </w:r>
          </w:p>
        </w:tc>
        <w:tc>
          <w:tcPr>
            <w:tcW w:w="2621" w:type="dxa"/>
            <w:tcBorders>
              <w:top w:val="nil"/>
              <w:left w:val="nil"/>
              <w:bottom w:val="nil"/>
              <w:right w:val="nil"/>
            </w:tcBorders>
            <w:shd w:val="clear" w:color="auto" w:fill="auto"/>
            <w:vAlign w:val="center"/>
            <w:hideMark/>
          </w:tcPr>
          <w:p w:rsidR="005E3E2D" w:rsidRPr="005E3E2D" w:rsidRDefault="005E3E2D" w:rsidP="005E3E2D">
            <w:pPr>
              <w:spacing w:after="0" w:line="240" w:lineRule="auto"/>
              <w:jc w:val="center"/>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Трг Слободе 13а, Подгорица</w:t>
            </w:r>
          </w:p>
        </w:tc>
        <w:tc>
          <w:tcPr>
            <w:tcW w:w="1251"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Испод 1%</w:t>
            </w: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617</w:t>
            </w: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2.307</w:t>
            </w:r>
          </w:p>
        </w:tc>
      </w:tr>
      <w:tr w:rsidR="005E3E2D" w:rsidRPr="005E3E2D" w:rsidTr="005E3E2D">
        <w:trPr>
          <w:trHeight w:val="225"/>
        </w:trPr>
        <w:tc>
          <w:tcPr>
            <w:tcW w:w="2113" w:type="dxa"/>
            <w:tcBorders>
              <w:top w:val="nil"/>
              <w:left w:val="nil"/>
              <w:bottom w:val="nil"/>
              <w:right w:val="nil"/>
            </w:tcBorders>
            <w:shd w:val="clear" w:color="auto" w:fill="auto"/>
            <w:vAlign w:val="center"/>
            <w:hideMark/>
          </w:tcPr>
          <w:p w:rsidR="005E3E2D" w:rsidRPr="005E3E2D" w:rsidRDefault="005E3E2D" w:rsidP="005E3E2D">
            <w:pPr>
              <w:spacing w:after="0" w:line="240" w:lineRule="auto"/>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Босна РЕ а.д.</w:t>
            </w:r>
          </w:p>
        </w:tc>
        <w:tc>
          <w:tcPr>
            <w:tcW w:w="2621" w:type="dxa"/>
            <w:tcBorders>
              <w:top w:val="nil"/>
              <w:left w:val="nil"/>
              <w:bottom w:val="nil"/>
              <w:right w:val="nil"/>
            </w:tcBorders>
            <w:shd w:val="clear" w:color="auto" w:fill="auto"/>
            <w:vAlign w:val="center"/>
            <w:hideMark/>
          </w:tcPr>
          <w:p w:rsidR="005E3E2D" w:rsidRPr="005E3E2D" w:rsidRDefault="005E3E2D" w:rsidP="005E3E2D">
            <w:pPr>
              <w:spacing w:after="0" w:line="240" w:lineRule="auto"/>
              <w:jc w:val="center"/>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Деспићева 4, Сарајево</w:t>
            </w:r>
          </w:p>
        </w:tc>
        <w:tc>
          <w:tcPr>
            <w:tcW w:w="1251"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Испод 1%</w:t>
            </w: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10.183</w:t>
            </w:r>
          </w:p>
        </w:tc>
        <w:tc>
          <w:tcPr>
            <w:tcW w:w="1589" w:type="dxa"/>
            <w:tcBorders>
              <w:top w:val="nil"/>
              <w:left w:val="nil"/>
              <w:bottom w:val="nil"/>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3.842</w:t>
            </w:r>
          </w:p>
        </w:tc>
      </w:tr>
      <w:tr w:rsidR="005E3E2D" w:rsidRPr="005E3E2D" w:rsidTr="005E3E2D">
        <w:trPr>
          <w:trHeight w:val="236"/>
        </w:trPr>
        <w:tc>
          <w:tcPr>
            <w:tcW w:w="2113" w:type="dxa"/>
            <w:tcBorders>
              <w:top w:val="nil"/>
              <w:left w:val="nil"/>
              <w:bottom w:val="double" w:sz="6" w:space="0" w:color="auto"/>
              <w:right w:val="nil"/>
            </w:tcBorders>
            <w:shd w:val="clear" w:color="auto" w:fill="auto"/>
            <w:vAlign w:val="center"/>
            <w:hideMark/>
          </w:tcPr>
          <w:p w:rsidR="005E3E2D" w:rsidRPr="005E3E2D" w:rsidRDefault="005E3E2D" w:rsidP="005E3E2D">
            <w:pPr>
              <w:spacing w:after="0" w:line="240" w:lineRule="auto"/>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Swiss осигурање а.д.</w:t>
            </w:r>
          </w:p>
        </w:tc>
        <w:tc>
          <w:tcPr>
            <w:tcW w:w="2621" w:type="dxa"/>
            <w:tcBorders>
              <w:top w:val="nil"/>
              <w:left w:val="nil"/>
              <w:bottom w:val="double" w:sz="6" w:space="0" w:color="auto"/>
              <w:right w:val="nil"/>
            </w:tcBorders>
            <w:shd w:val="clear" w:color="auto" w:fill="auto"/>
            <w:vAlign w:val="center"/>
            <w:hideMark/>
          </w:tcPr>
          <w:p w:rsidR="005E3E2D" w:rsidRPr="005E3E2D" w:rsidRDefault="005E3E2D" w:rsidP="005E3E2D">
            <w:pPr>
              <w:spacing w:after="0" w:line="240" w:lineRule="auto"/>
              <w:jc w:val="center"/>
              <w:rPr>
                <w:rFonts w:ascii="Tahoma" w:eastAsia="Times New Roman" w:hAnsi="Tahoma" w:cs="Tahoma"/>
                <w:color w:val="000000"/>
                <w:sz w:val="16"/>
                <w:szCs w:val="16"/>
                <w:lang w:val="sr-Latn-RS" w:eastAsia="sr-Latn-RS"/>
              </w:rPr>
            </w:pPr>
            <w:r w:rsidRPr="005E3E2D">
              <w:rPr>
                <w:rFonts w:ascii="Tahoma" w:eastAsia="Times New Roman" w:hAnsi="Tahoma" w:cs="Tahoma"/>
                <w:color w:val="000000"/>
                <w:sz w:val="16"/>
                <w:szCs w:val="16"/>
                <w:lang w:val="sr-Cyrl-CS" w:eastAsia="sr-Latn-RS"/>
              </w:rPr>
              <w:t>Бул. Ј. Броза 23 а, Подгорица</w:t>
            </w:r>
          </w:p>
        </w:tc>
        <w:tc>
          <w:tcPr>
            <w:tcW w:w="1251" w:type="dxa"/>
            <w:tcBorders>
              <w:top w:val="nil"/>
              <w:left w:val="nil"/>
              <w:bottom w:val="double" w:sz="6"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Испод 1%</w:t>
            </w:r>
          </w:p>
        </w:tc>
        <w:tc>
          <w:tcPr>
            <w:tcW w:w="1589" w:type="dxa"/>
            <w:tcBorders>
              <w:top w:val="nil"/>
              <w:left w:val="nil"/>
              <w:bottom w:val="double" w:sz="6"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3.722</w:t>
            </w:r>
          </w:p>
        </w:tc>
        <w:tc>
          <w:tcPr>
            <w:tcW w:w="1589" w:type="dxa"/>
            <w:tcBorders>
              <w:top w:val="nil"/>
              <w:left w:val="nil"/>
              <w:bottom w:val="double" w:sz="6"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color w:val="000000"/>
                <w:sz w:val="18"/>
                <w:szCs w:val="18"/>
                <w:lang w:val="sr-Latn-RS" w:eastAsia="sr-Latn-RS"/>
              </w:rPr>
            </w:pPr>
            <w:r w:rsidRPr="005E3E2D">
              <w:rPr>
                <w:rFonts w:ascii="Tahoma" w:eastAsia="Times New Roman" w:hAnsi="Tahoma" w:cs="Tahoma"/>
                <w:color w:val="000000"/>
                <w:sz w:val="18"/>
                <w:szCs w:val="18"/>
                <w:lang w:val="sr-Cyrl-CS" w:eastAsia="sr-Latn-RS"/>
              </w:rPr>
              <w:t>684</w:t>
            </w:r>
          </w:p>
        </w:tc>
      </w:tr>
      <w:tr w:rsidR="005E3E2D" w:rsidRPr="005E3E2D" w:rsidTr="005E3E2D">
        <w:trPr>
          <w:trHeight w:val="247"/>
        </w:trPr>
        <w:tc>
          <w:tcPr>
            <w:tcW w:w="5984" w:type="dxa"/>
            <w:gridSpan w:val="3"/>
            <w:tcBorders>
              <w:top w:val="double" w:sz="6" w:space="0" w:color="auto"/>
              <w:left w:val="nil"/>
              <w:bottom w:val="double" w:sz="6" w:space="0" w:color="auto"/>
              <w:right w:val="nil"/>
            </w:tcBorders>
            <w:shd w:val="clear" w:color="000000" w:fill="DCE6F1"/>
            <w:noWrap/>
            <w:vAlign w:val="center"/>
            <w:hideMark/>
          </w:tcPr>
          <w:p w:rsidR="005E3E2D" w:rsidRPr="005E3E2D" w:rsidRDefault="005E3E2D" w:rsidP="005E3E2D">
            <w:pPr>
              <w:spacing w:after="0" w:line="240" w:lineRule="auto"/>
              <w:jc w:val="right"/>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Укупно</w:t>
            </w:r>
          </w:p>
        </w:tc>
        <w:tc>
          <w:tcPr>
            <w:tcW w:w="1589" w:type="dxa"/>
            <w:tcBorders>
              <w:top w:val="nil"/>
              <w:left w:val="nil"/>
              <w:bottom w:val="double" w:sz="6" w:space="0" w:color="auto"/>
              <w:right w:val="nil"/>
            </w:tcBorders>
            <w:shd w:val="clear" w:color="000000" w:fill="DCE6F1"/>
            <w:noWrap/>
            <w:vAlign w:val="center"/>
            <w:hideMark/>
          </w:tcPr>
          <w:p w:rsidR="005E3E2D" w:rsidRPr="005E3E2D" w:rsidRDefault="005E3E2D" w:rsidP="005E3E2D">
            <w:pPr>
              <w:spacing w:after="0" w:line="240" w:lineRule="auto"/>
              <w:jc w:val="center"/>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14.522</w:t>
            </w:r>
          </w:p>
        </w:tc>
        <w:tc>
          <w:tcPr>
            <w:tcW w:w="1589" w:type="dxa"/>
            <w:tcBorders>
              <w:top w:val="nil"/>
              <w:left w:val="nil"/>
              <w:bottom w:val="double" w:sz="6" w:space="0" w:color="auto"/>
              <w:right w:val="nil"/>
            </w:tcBorders>
            <w:shd w:val="clear" w:color="000000" w:fill="DCE6F1"/>
            <w:noWrap/>
            <w:vAlign w:val="center"/>
            <w:hideMark/>
          </w:tcPr>
          <w:p w:rsidR="005E3E2D" w:rsidRPr="005E3E2D" w:rsidRDefault="005E3E2D" w:rsidP="005E3E2D">
            <w:pPr>
              <w:spacing w:after="0" w:line="240" w:lineRule="auto"/>
              <w:jc w:val="center"/>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6.833</w:t>
            </w:r>
          </w:p>
        </w:tc>
      </w:tr>
      <w:tr w:rsidR="005E3E2D" w:rsidRPr="005E3E2D" w:rsidTr="005E3E2D">
        <w:trPr>
          <w:trHeight w:val="236"/>
        </w:trPr>
        <w:tc>
          <w:tcPr>
            <w:tcW w:w="5984" w:type="dxa"/>
            <w:gridSpan w:val="3"/>
            <w:tcBorders>
              <w:top w:val="double" w:sz="6" w:space="0" w:color="auto"/>
              <w:left w:val="nil"/>
              <w:bottom w:val="single" w:sz="4" w:space="0" w:color="auto"/>
              <w:right w:val="nil"/>
            </w:tcBorders>
            <w:shd w:val="clear" w:color="auto" w:fill="auto"/>
            <w:noWrap/>
            <w:vAlign w:val="center"/>
            <w:hideMark/>
          </w:tcPr>
          <w:p w:rsidR="005E3E2D" w:rsidRPr="005E3E2D" w:rsidRDefault="005E3E2D" w:rsidP="005E3E2D">
            <w:pPr>
              <w:spacing w:after="0" w:line="240" w:lineRule="auto"/>
              <w:jc w:val="right"/>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СВЕГА</w:t>
            </w:r>
          </w:p>
        </w:tc>
        <w:tc>
          <w:tcPr>
            <w:tcW w:w="1589" w:type="dxa"/>
            <w:tcBorders>
              <w:top w:val="nil"/>
              <w:left w:val="nil"/>
              <w:bottom w:val="single" w:sz="4"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329.562</w:t>
            </w:r>
          </w:p>
        </w:tc>
        <w:tc>
          <w:tcPr>
            <w:tcW w:w="1589" w:type="dxa"/>
            <w:tcBorders>
              <w:top w:val="nil"/>
              <w:left w:val="nil"/>
              <w:bottom w:val="single" w:sz="4"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325.851</w:t>
            </w:r>
          </w:p>
        </w:tc>
      </w:tr>
      <w:tr w:rsidR="005E3E2D" w:rsidRPr="005E3E2D" w:rsidTr="005E3E2D">
        <w:trPr>
          <w:trHeight w:val="236"/>
        </w:trPr>
        <w:tc>
          <w:tcPr>
            <w:tcW w:w="5984" w:type="dxa"/>
            <w:gridSpan w:val="3"/>
            <w:tcBorders>
              <w:top w:val="single" w:sz="4" w:space="0" w:color="auto"/>
              <w:left w:val="nil"/>
              <w:bottom w:val="double" w:sz="6" w:space="0" w:color="auto"/>
              <w:right w:val="nil"/>
            </w:tcBorders>
            <w:shd w:val="clear" w:color="auto" w:fill="auto"/>
            <w:noWrap/>
            <w:vAlign w:val="center"/>
            <w:hideMark/>
          </w:tcPr>
          <w:p w:rsidR="005E3E2D" w:rsidRPr="005E3E2D" w:rsidRDefault="005E3E2D" w:rsidP="003E587D">
            <w:pPr>
              <w:spacing w:after="0" w:line="240" w:lineRule="auto"/>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Исправка вредности ХОВ расположивих за продају –МТС банка</w:t>
            </w:r>
          </w:p>
        </w:tc>
        <w:tc>
          <w:tcPr>
            <w:tcW w:w="1589" w:type="dxa"/>
            <w:tcBorders>
              <w:top w:val="nil"/>
              <w:left w:val="nil"/>
              <w:bottom w:val="double" w:sz="6"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203.933</w:t>
            </w:r>
          </w:p>
        </w:tc>
        <w:tc>
          <w:tcPr>
            <w:tcW w:w="1589" w:type="dxa"/>
            <w:tcBorders>
              <w:top w:val="nil"/>
              <w:left w:val="nil"/>
              <w:bottom w:val="double" w:sz="6" w:space="0" w:color="auto"/>
              <w:right w:val="nil"/>
            </w:tcBorders>
            <w:shd w:val="clear" w:color="auto" w:fill="auto"/>
            <w:noWrap/>
            <w:vAlign w:val="center"/>
            <w:hideMark/>
          </w:tcPr>
          <w:p w:rsidR="005E3E2D" w:rsidRPr="005E3E2D" w:rsidRDefault="005E3E2D" w:rsidP="005E3E2D">
            <w:pPr>
              <w:spacing w:after="0" w:line="240" w:lineRule="auto"/>
              <w:jc w:val="center"/>
              <w:rPr>
                <w:rFonts w:ascii="Tahoma" w:eastAsia="Times New Roman" w:hAnsi="Tahoma" w:cs="Tahoma"/>
                <w:bCs/>
                <w:color w:val="000000"/>
                <w:sz w:val="18"/>
                <w:szCs w:val="18"/>
                <w:lang w:val="sr-Latn-RS" w:eastAsia="sr-Latn-RS"/>
              </w:rPr>
            </w:pPr>
            <w:r w:rsidRPr="005E3E2D">
              <w:rPr>
                <w:rFonts w:ascii="Tahoma" w:eastAsia="Times New Roman" w:hAnsi="Tahoma" w:cs="Tahoma"/>
                <w:bCs/>
                <w:color w:val="000000"/>
                <w:sz w:val="18"/>
                <w:szCs w:val="18"/>
                <w:lang w:val="sr-Cyrl-CS" w:eastAsia="sr-Latn-RS"/>
              </w:rPr>
              <w:t>178.333</w:t>
            </w:r>
          </w:p>
        </w:tc>
      </w:tr>
      <w:tr w:rsidR="005E3E2D" w:rsidRPr="005E3E2D" w:rsidTr="005E3E2D">
        <w:trPr>
          <w:trHeight w:val="236"/>
        </w:trPr>
        <w:tc>
          <w:tcPr>
            <w:tcW w:w="5984" w:type="dxa"/>
            <w:gridSpan w:val="3"/>
            <w:tcBorders>
              <w:top w:val="nil"/>
              <w:left w:val="nil"/>
              <w:bottom w:val="single" w:sz="4" w:space="0" w:color="auto"/>
              <w:right w:val="nil"/>
            </w:tcBorders>
            <w:shd w:val="clear" w:color="000000" w:fill="DBE5F1"/>
            <w:noWrap/>
            <w:vAlign w:val="center"/>
            <w:hideMark/>
          </w:tcPr>
          <w:p w:rsidR="005E3E2D" w:rsidRPr="005E3E2D" w:rsidRDefault="005E3E2D" w:rsidP="005E3E2D">
            <w:pPr>
              <w:spacing w:after="0" w:line="240" w:lineRule="auto"/>
              <w:jc w:val="right"/>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СВЕГА</w:t>
            </w:r>
          </w:p>
        </w:tc>
        <w:tc>
          <w:tcPr>
            <w:tcW w:w="1589" w:type="dxa"/>
            <w:tcBorders>
              <w:top w:val="nil"/>
              <w:left w:val="nil"/>
              <w:bottom w:val="single" w:sz="4" w:space="0" w:color="auto"/>
              <w:right w:val="nil"/>
            </w:tcBorders>
            <w:shd w:val="clear" w:color="000000" w:fill="DBE5F1"/>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125.629</w:t>
            </w:r>
          </w:p>
        </w:tc>
        <w:tc>
          <w:tcPr>
            <w:tcW w:w="1589" w:type="dxa"/>
            <w:tcBorders>
              <w:top w:val="nil"/>
              <w:left w:val="nil"/>
              <w:bottom w:val="single" w:sz="4" w:space="0" w:color="auto"/>
              <w:right w:val="nil"/>
            </w:tcBorders>
            <w:shd w:val="clear" w:color="000000" w:fill="DBE5F1"/>
            <w:noWrap/>
            <w:vAlign w:val="center"/>
            <w:hideMark/>
          </w:tcPr>
          <w:p w:rsidR="005E3E2D" w:rsidRPr="005E3E2D" w:rsidRDefault="005E3E2D" w:rsidP="005E3E2D">
            <w:pPr>
              <w:spacing w:after="0" w:line="240" w:lineRule="auto"/>
              <w:jc w:val="center"/>
              <w:rPr>
                <w:rFonts w:ascii="Tahoma" w:eastAsia="Times New Roman" w:hAnsi="Tahoma" w:cs="Tahoma"/>
                <w:b/>
                <w:bCs/>
                <w:color w:val="000000"/>
                <w:sz w:val="18"/>
                <w:szCs w:val="18"/>
                <w:lang w:val="sr-Latn-RS" w:eastAsia="sr-Latn-RS"/>
              </w:rPr>
            </w:pPr>
            <w:r w:rsidRPr="005E3E2D">
              <w:rPr>
                <w:rFonts w:ascii="Tahoma" w:eastAsia="Times New Roman" w:hAnsi="Tahoma" w:cs="Tahoma"/>
                <w:b/>
                <w:bCs/>
                <w:color w:val="000000"/>
                <w:sz w:val="18"/>
                <w:szCs w:val="18"/>
                <w:lang w:val="sr-Cyrl-CS" w:eastAsia="sr-Latn-RS"/>
              </w:rPr>
              <w:t>147.518</w:t>
            </w:r>
          </w:p>
        </w:tc>
      </w:tr>
    </w:tbl>
    <w:p w:rsidR="0076189C" w:rsidRPr="00B32DE6" w:rsidRDefault="0076189C" w:rsidP="00911099">
      <w:pPr>
        <w:spacing w:before="120" w:after="120"/>
        <w:ind w:firstLine="708"/>
        <w:jc w:val="both"/>
        <w:rPr>
          <w:noProof/>
          <w:sz w:val="20"/>
          <w:szCs w:val="20"/>
          <w:lang w:val="sr-Cyrl-CS"/>
        </w:rPr>
      </w:pPr>
      <w:r w:rsidRPr="00B32DE6">
        <w:rPr>
          <w:noProof/>
          <w:sz w:val="20"/>
          <w:szCs w:val="20"/>
          <w:lang w:val="sr-Cyrl-CS"/>
        </w:rPr>
        <w:t>Друштво у 201</w:t>
      </w:r>
      <w:r w:rsidR="00B32DE6" w:rsidRPr="00B32DE6">
        <w:rPr>
          <w:noProof/>
          <w:sz w:val="20"/>
          <w:szCs w:val="20"/>
          <w:lang w:val="sr-Cyrl-CS"/>
        </w:rPr>
        <w:t>5</w:t>
      </w:r>
      <w:r w:rsidRPr="00B32DE6">
        <w:rPr>
          <w:noProof/>
          <w:sz w:val="20"/>
          <w:szCs w:val="20"/>
          <w:lang w:val="sr-Cyrl-CS"/>
        </w:rPr>
        <w:t xml:space="preserve">. години није ни набављало ни отуђивало власничке хартије од вредности. </w:t>
      </w:r>
    </w:p>
    <w:p w:rsidR="00B32DE6" w:rsidRPr="00B32DE6" w:rsidRDefault="0076189C" w:rsidP="00B32DE6">
      <w:pPr>
        <w:spacing w:before="120" w:after="120"/>
        <w:jc w:val="both"/>
        <w:rPr>
          <w:noProof/>
          <w:sz w:val="20"/>
          <w:szCs w:val="20"/>
          <w:lang w:val="sr-Cyrl-CS"/>
        </w:rPr>
      </w:pPr>
      <w:r w:rsidRPr="00B32DE6">
        <w:rPr>
          <w:noProof/>
          <w:sz w:val="20"/>
          <w:szCs w:val="20"/>
          <w:lang w:val="sr-Cyrl-CS"/>
        </w:rPr>
        <w:tab/>
      </w:r>
      <w:r w:rsidR="00B32DE6" w:rsidRPr="00B32DE6">
        <w:rPr>
          <w:noProof/>
          <w:sz w:val="20"/>
          <w:szCs w:val="20"/>
          <w:lang w:val="sr-Cyrl-CS"/>
        </w:rPr>
        <w:t xml:space="preserve">Власничке ХОВ расположиве за продају вреднују се по фер вредности. Осцилације фер вредности евидентирају се преко капитала, и исказане  су у Извештају о осталом резултату. </w:t>
      </w:r>
    </w:p>
    <w:p w:rsidR="00B32DE6" w:rsidRPr="00B32DE6" w:rsidRDefault="00B32DE6" w:rsidP="00B32DE6">
      <w:pPr>
        <w:spacing w:before="120" w:after="120"/>
        <w:jc w:val="both"/>
        <w:rPr>
          <w:noProof/>
          <w:sz w:val="20"/>
          <w:szCs w:val="20"/>
          <w:lang w:val="sr-Cyrl-CS"/>
        </w:rPr>
      </w:pPr>
      <w:r w:rsidRPr="00B32DE6">
        <w:rPr>
          <w:noProof/>
          <w:sz w:val="20"/>
          <w:szCs w:val="20"/>
          <w:lang w:val="sr-Cyrl-CS"/>
        </w:rPr>
        <w:t>За своје потребе Компанија Дунав осигурање је ангажовала овлашћеног проценитеља да процени вредност акција МТС банке. Проценитељ ТФЦ утврдио је да једна акција вреди 212,48 динара.</w:t>
      </w:r>
    </w:p>
    <w:p w:rsidR="00B32DE6" w:rsidRPr="00B32DE6" w:rsidRDefault="00B32DE6" w:rsidP="00B32DE6">
      <w:pPr>
        <w:spacing w:before="120" w:after="120"/>
        <w:jc w:val="both"/>
        <w:rPr>
          <w:noProof/>
          <w:sz w:val="20"/>
          <w:szCs w:val="20"/>
          <w:lang w:val="sr-Cyrl-CS"/>
        </w:rPr>
      </w:pPr>
      <w:r w:rsidRPr="00B32DE6">
        <w:rPr>
          <w:noProof/>
          <w:sz w:val="20"/>
          <w:szCs w:val="20"/>
          <w:lang w:val="sr-Cyrl-CS"/>
        </w:rPr>
        <w:t xml:space="preserve">У складу са МРС 39 – Финансијски инструменти: признавање и одмеравање на дан 31.12.2015. године извршено је индиректно обезвређење акција Дунав банке у власништву Друштва. Обезвређење у износу од 178.333 хиљаде динара представља исправку вредности по почетном стању. На крају 2015. године акције су додатно обезвређене за 25.600 хиљада динара. Износ од 25.600 хиљада динара је теретио расход периода. Укупно обезвређење на дан 31.12.2015. године износи 203.933 хиљада динара. </w:t>
      </w:r>
    </w:p>
    <w:p w:rsidR="00B32DE6" w:rsidRPr="00B32DE6" w:rsidRDefault="00B32DE6" w:rsidP="00B32DE6">
      <w:pPr>
        <w:spacing w:before="120" w:after="120"/>
        <w:jc w:val="both"/>
        <w:rPr>
          <w:noProof/>
          <w:sz w:val="20"/>
          <w:szCs w:val="20"/>
          <w:lang w:val="sr-Cyrl-CS"/>
        </w:rPr>
      </w:pPr>
      <w:r w:rsidRPr="00B32DE6">
        <w:rPr>
          <w:noProof/>
          <w:sz w:val="20"/>
          <w:szCs w:val="20"/>
          <w:lang w:val="sr-Cyrl-CS"/>
        </w:rPr>
        <w:t>Вредност акција МТС банке које Друштво поседује на дан 31.12.2015. године износи 50.590 хиљада динара.</w:t>
      </w:r>
    </w:p>
    <w:p w:rsidR="0076189C" w:rsidRPr="00BF3CDE" w:rsidRDefault="0076189C" w:rsidP="00B32DE6">
      <w:pPr>
        <w:spacing w:before="120" w:after="120"/>
        <w:jc w:val="both"/>
        <w:rPr>
          <w:rFonts w:eastAsiaTheme="minorEastAsia"/>
          <w:b/>
          <w:i/>
          <w:noProof/>
          <w:color w:val="365F91" w:themeColor="accent1" w:themeShade="BF"/>
          <w:sz w:val="20"/>
          <w:lang w:val="sr-Cyrl-CS" w:eastAsia="ja-JP"/>
        </w:rPr>
      </w:pPr>
      <w:r w:rsidRPr="00BF3CDE">
        <w:rPr>
          <w:rFonts w:eastAsiaTheme="minorEastAsia"/>
          <w:b/>
          <w:i/>
          <w:noProof/>
          <w:color w:val="365F91" w:themeColor="accent1" w:themeShade="BF"/>
          <w:sz w:val="20"/>
          <w:lang w:val="sr-Cyrl-CS" w:eastAsia="ja-JP"/>
        </w:rPr>
        <w:t>Хартије од вредности намењене трговању</w:t>
      </w:r>
    </w:p>
    <w:p w:rsidR="00B32DE6" w:rsidRPr="00B32DE6" w:rsidRDefault="00B32DE6" w:rsidP="005F78E3">
      <w:pPr>
        <w:pStyle w:val="ListParagraph"/>
        <w:numPr>
          <w:ilvl w:val="0"/>
          <w:numId w:val="34"/>
        </w:numPr>
        <w:spacing w:after="0" w:line="240" w:lineRule="auto"/>
        <w:jc w:val="both"/>
        <w:rPr>
          <w:noProof/>
          <w:sz w:val="20"/>
          <w:szCs w:val="20"/>
          <w:lang w:val="sr-Cyrl-CS"/>
        </w:rPr>
      </w:pPr>
      <w:r w:rsidRPr="00B32DE6">
        <w:rPr>
          <w:noProof/>
          <w:sz w:val="20"/>
          <w:szCs w:val="20"/>
          <w:lang w:val="sr-Cyrl-CS"/>
        </w:rPr>
        <w:t>Дана 13.11.2014. године Друштво је купило 1.000 комада обвезница Републике Србије, номиналне вредности 1.000 ЕУР-а по комаду, и стопом приноса 3,60% на годишњем нивоу. Тржишна цена на дан куповине била је 1.035,10 ЕУР-а по комаду. Обвезнице доспевају 15.05.2016. године. Укупна камата до дана доспећа износи 54.990 ЕУР-а. Сагласно рачуноводственој политици Друштва ове ХОВ су разврстане на ХОВ намењене трговању, вреднују се по фер вредности, а осцилације фер вредности евидентирају се преко Биланса успеха. Фер (прљава) вредност ових акција на дан 31.12.2015. године износи 1.031.356,57 ЕУР-а или 125.440 хиљада динара</w:t>
      </w:r>
    </w:p>
    <w:p w:rsidR="00B32DE6" w:rsidRPr="00B32DE6" w:rsidRDefault="00B32DE6" w:rsidP="005F78E3">
      <w:pPr>
        <w:spacing w:after="0" w:line="240" w:lineRule="auto"/>
        <w:jc w:val="both"/>
        <w:rPr>
          <w:noProof/>
          <w:sz w:val="20"/>
          <w:szCs w:val="20"/>
          <w:lang w:val="sr-Cyrl-CS"/>
        </w:rPr>
      </w:pPr>
    </w:p>
    <w:p w:rsidR="00B32DE6" w:rsidRPr="00B32DE6" w:rsidRDefault="00B32DE6" w:rsidP="005F78E3">
      <w:pPr>
        <w:pStyle w:val="ListParagraph"/>
        <w:numPr>
          <w:ilvl w:val="0"/>
          <w:numId w:val="34"/>
        </w:numPr>
        <w:spacing w:after="0" w:line="240" w:lineRule="auto"/>
        <w:jc w:val="both"/>
        <w:rPr>
          <w:noProof/>
          <w:sz w:val="20"/>
          <w:szCs w:val="20"/>
          <w:lang w:val="sr-Cyrl-CS"/>
        </w:rPr>
      </w:pPr>
      <w:r w:rsidRPr="00B32DE6">
        <w:rPr>
          <w:noProof/>
          <w:sz w:val="20"/>
          <w:szCs w:val="20"/>
          <w:lang w:val="sr-Cyrl-CS"/>
        </w:rPr>
        <w:t>Дана 05.01.2015. године Друштво је купило 583 комада записа Републике Србије, номиналне вредности 1.000 ЕУР-а по комаду, и стопом приноса 2,51% на годишњем нивоу. Тржишна цена на дан куповине била је 568,36 ЕУР-а по комаду. Обвезнице доспевају 11.01.2016. године. Укупна камата до дана доспећа износи 14.644,96 ЕУР-а. Сагласно рачуноводственој политици Друштва ове ХОВ су разврстане на ХОВ намењене трговању, вреднују се по фер вредности, а осцилације фер вредности евидентирају се преко Биланса успеха. Фер (прљава) вредност ових акција на дан 31.12.2015. године износи 582.554,99 ЕУР-а или 70.854 хиљада динара</w:t>
      </w:r>
    </w:p>
    <w:p w:rsidR="00B32DE6" w:rsidRPr="00B32DE6" w:rsidRDefault="00B32DE6" w:rsidP="005F78E3">
      <w:pPr>
        <w:spacing w:after="0" w:line="240" w:lineRule="auto"/>
        <w:jc w:val="both"/>
        <w:rPr>
          <w:noProof/>
          <w:sz w:val="20"/>
          <w:szCs w:val="20"/>
          <w:lang w:val="sr-Cyrl-CS"/>
        </w:rPr>
      </w:pPr>
    </w:p>
    <w:p w:rsidR="00B32DE6" w:rsidRPr="00B32DE6" w:rsidRDefault="00B32DE6" w:rsidP="005F78E3">
      <w:pPr>
        <w:pStyle w:val="ListParagraph"/>
        <w:numPr>
          <w:ilvl w:val="0"/>
          <w:numId w:val="34"/>
        </w:numPr>
        <w:spacing w:after="0" w:line="240" w:lineRule="auto"/>
        <w:jc w:val="both"/>
        <w:rPr>
          <w:noProof/>
          <w:sz w:val="20"/>
          <w:szCs w:val="20"/>
          <w:lang w:val="sr-Cyrl-CS"/>
        </w:rPr>
      </w:pPr>
      <w:r w:rsidRPr="00B32DE6">
        <w:rPr>
          <w:noProof/>
          <w:sz w:val="20"/>
          <w:szCs w:val="20"/>
          <w:lang w:val="sr-Cyrl-CS"/>
        </w:rPr>
        <w:t>Дана 05.01.2015. године Друштво је купило 583 комада записа Републике Србије, номиналне вредности 1.000 ЕУР-а по комаду, и стопом приноса 2,51% на годишњем нивоу. Тржишна цена на дан куповине била је 568,36 ЕУР-а по комаду. Обвезнице доспевају 11.01.2016. године. Укупна камата до дана доспећа износи 14.644,96 ЕУР-а. Сагласно рачуноводственој политици Друштва ове ХОВ су разврстане на ХОВ намењене трговању, вреднују се по фер вредности, а осцилације фер вредности евидентирају се преко Биланса успеха. Фер (прљава) вредност ових акција на дан 31.12.2015. године износи 582.554,99 ЕУР-а или 70.854 хиљада динара</w:t>
      </w:r>
    </w:p>
    <w:p w:rsidR="00B32DE6" w:rsidRPr="00B32DE6" w:rsidRDefault="00B32DE6" w:rsidP="005F78E3">
      <w:pPr>
        <w:spacing w:after="0" w:line="240" w:lineRule="auto"/>
        <w:jc w:val="both"/>
        <w:rPr>
          <w:noProof/>
          <w:sz w:val="20"/>
          <w:szCs w:val="20"/>
          <w:lang w:val="sr-Cyrl-CS"/>
        </w:rPr>
      </w:pPr>
    </w:p>
    <w:p w:rsidR="00B32DE6" w:rsidRPr="00B32DE6" w:rsidRDefault="00B32DE6" w:rsidP="005F78E3">
      <w:pPr>
        <w:pStyle w:val="ListParagraph"/>
        <w:numPr>
          <w:ilvl w:val="0"/>
          <w:numId w:val="34"/>
        </w:numPr>
        <w:spacing w:after="0" w:line="240" w:lineRule="auto"/>
        <w:jc w:val="both"/>
        <w:rPr>
          <w:noProof/>
          <w:sz w:val="20"/>
          <w:szCs w:val="20"/>
          <w:lang w:val="sr-Cyrl-CS"/>
        </w:rPr>
      </w:pPr>
      <w:r w:rsidRPr="00B32DE6">
        <w:rPr>
          <w:noProof/>
          <w:sz w:val="20"/>
          <w:szCs w:val="20"/>
          <w:lang w:val="sr-Cyrl-CS"/>
        </w:rPr>
        <w:t>Дана 24.04.2015. године Друштво је купило 999 комада обвезница Републике Србије, номиналне вредности 1.000 ЕУР-а по комаду, и стопом приноса 3,90% на годишњем нивоу. Тржишна цена на дан куповине била је 568,36 ЕУР-а по комаду. Обвезнице доспевају 24.04.2018. године. Укупна камата до дана доспећа износи 11.109 ЕУР-а. Сагласно рачуноводственој политици Друштва ове ХОВ су разврстане на ХОВ намењене трговању, вреднују се по фер вредности, а осцилације фер вредности евидентирају се преко Биланса успеха. Фер (прљава) вредност ових акција на дан 31.12.2015. године износи 941.177,88 ЕУР-а или 114.472 хиљада динара</w:t>
      </w:r>
    </w:p>
    <w:p w:rsidR="00B32DE6" w:rsidRPr="00B32DE6" w:rsidRDefault="00B32DE6" w:rsidP="005F78E3">
      <w:pPr>
        <w:spacing w:after="0" w:line="240" w:lineRule="auto"/>
        <w:jc w:val="both"/>
        <w:rPr>
          <w:noProof/>
          <w:sz w:val="20"/>
          <w:szCs w:val="20"/>
          <w:lang w:val="sr-Cyrl-CS"/>
        </w:rPr>
      </w:pPr>
    </w:p>
    <w:p w:rsidR="00B32DE6" w:rsidRPr="00B32DE6" w:rsidRDefault="00B32DE6" w:rsidP="005F78E3">
      <w:pPr>
        <w:pStyle w:val="ListParagraph"/>
        <w:numPr>
          <w:ilvl w:val="0"/>
          <w:numId w:val="34"/>
        </w:numPr>
        <w:spacing w:after="0" w:line="240" w:lineRule="auto"/>
        <w:jc w:val="both"/>
        <w:rPr>
          <w:noProof/>
          <w:sz w:val="20"/>
          <w:szCs w:val="20"/>
          <w:lang w:val="sr-Cyrl-CS"/>
        </w:rPr>
      </w:pPr>
      <w:r w:rsidRPr="00B32DE6">
        <w:rPr>
          <w:noProof/>
          <w:sz w:val="20"/>
          <w:szCs w:val="20"/>
          <w:lang w:val="sr-Cyrl-CS"/>
        </w:rPr>
        <w:t>Дана 15.06.2015. године Друштво је купило  4.060 комада записа Републике Србије, номиналне вредности 1.000 ЕУР-а по комаду, и стопом приноса 1,61% на годишњем нивоу. Тржишна цена на дан куповине била је 983,88 ЕУР-а по комаду. Обвезнице доспевају 24.06.2016. године. Укупна камата до дана доспећа износи 65.447,20 ЕУР-а. Сагласно рачуноводственој политици Друштва ове ХОВ су разврстане на ХОВ намењене трговању, вреднују се по фер вредности, а осцилације фер вредности евидентирају се преко Биланса успеха. Фер (прљава) вредност ових акција на дан 31.12.2015. године износи 4.040.471,06 ЕУР-а или 491.427 хиљада динара</w:t>
      </w:r>
    </w:p>
    <w:p w:rsidR="00B32DE6" w:rsidRPr="00B32DE6" w:rsidRDefault="00B32DE6" w:rsidP="005F78E3">
      <w:pPr>
        <w:spacing w:after="0" w:line="240" w:lineRule="auto"/>
        <w:jc w:val="both"/>
        <w:rPr>
          <w:noProof/>
          <w:sz w:val="20"/>
          <w:szCs w:val="20"/>
          <w:lang w:val="sr-Cyrl-CS"/>
        </w:rPr>
      </w:pPr>
    </w:p>
    <w:p w:rsidR="00B32DE6" w:rsidRPr="00B32DE6" w:rsidRDefault="00B32DE6" w:rsidP="005F78E3">
      <w:pPr>
        <w:pStyle w:val="ListParagraph"/>
        <w:numPr>
          <w:ilvl w:val="0"/>
          <w:numId w:val="34"/>
        </w:numPr>
        <w:spacing w:after="0" w:line="240" w:lineRule="auto"/>
        <w:jc w:val="both"/>
        <w:rPr>
          <w:noProof/>
          <w:sz w:val="20"/>
          <w:szCs w:val="20"/>
          <w:lang w:val="sr-Cyrl-CS"/>
        </w:rPr>
      </w:pPr>
      <w:r w:rsidRPr="00B32DE6">
        <w:rPr>
          <w:noProof/>
          <w:sz w:val="20"/>
          <w:szCs w:val="20"/>
          <w:lang w:val="sr-Cyrl-CS"/>
        </w:rPr>
        <w:t>Дана 29.10.2015. године Друштво је купило  1.900 комада записа Републике Србије, номиналне вредности 1.000 ЕУР-а по комаду, и стопом приноса 4,000% на годишњем нивоу. Тржишна цена на дан куповине била је 955,48 ЕУР-а по комаду. Обвезнице доспевају 29.10.2020. године. Укупна камата до дана доспећа износи 65.447,20 ЕУР-а. Сагласно рачуноводственој политици Друштва ове ХОВ су разврстане на ХОВ намењене трговању, вреднују се по фер вредности, а осцилације фер вредности евидентирају се преко Биланса успеха. Фер (прљава) вредност ових акција на дан 31.12.2015. године износи 1.738.837,62 ЕУР-а или 211.488 хиљада динара</w:t>
      </w:r>
    </w:p>
    <w:p w:rsidR="00B32DE6" w:rsidRPr="00B32DE6" w:rsidRDefault="00B32DE6" w:rsidP="005F78E3">
      <w:pPr>
        <w:spacing w:after="0" w:line="240" w:lineRule="auto"/>
        <w:jc w:val="both"/>
        <w:rPr>
          <w:noProof/>
          <w:sz w:val="20"/>
          <w:szCs w:val="20"/>
          <w:lang w:val="sr-Cyrl-CS"/>
        </w:rPr>
      </w:pPr>
    </w:p>
    <w:p w:rsidR="00B32DE6" w:rsidRPr="00B32DE6" w:rsidRDefault="00B32DE6" w:rsidP="005F78E3">
      <w:pPr>
        <w:pStyle w:val="ListParagraph"/>
        <w:numPr>
          <w:ilvl w:val="0"/>
          <w:numId w:val="34"/>
        </w:numPr>
        <w:spacing w:after="0" w:line="240" w:lineRule="auto"/>
        <w:jc w:val="both"/>
        <w:rPr>
          <w:rFonts w:eastAsiaTheme="minorEastAsia"/>
          <w:b/>
          <w:i/>
          <w:noProof/>
          <w:color w:val="365F91" w:themeColor="accent1" w:themeShade="BF"/>
          <w:sz w:val="20"/>
          <w:lang w:val="sr-Cyrl-CS" w:eastAsia="ja-JP"/>
        </w:rPr>
      </w:pPr>
      <w:r w:rsidRPr="00B32DE6">
        <w:rPr>
          <w:noProof/>
          <w:sz w:val="20"/>
          <w:szCs w:val="20"/>
          <w:lang w:val="sr-Cyrl-CS"/>
        </w:rPr>
        <w:t>На дан 31.12.2015. године обвезнице РС које се вреднују кроз биланс успеха износе 18.334.398,12 ЕУР-а или 1.013.680 хиљада динара.</w:t>
      </w:r>
    </w:p>
    <w:p w:rsidR="0076189C" w:rsidRPr="003E587D" w:rsidRDefault="0076189C" w:rsidP="003E587D">
      <w:pPr>
        <w:spacing w:after="0"/>
        <w:jc w:val="center"/>
        <w:rPr>
          <w:rFonts w:eastAsiaTheme="minorEastAsia"/>
          <w:b/>
          <w:i/>
          <w:noProof/>
          <w:color w:val="365F91" w:themeColor="accent1" w:themeShade="BF"/>
          <w:sz w:val="20"/>
          <w:lang w:val="sr-Cyrl-CS" w:eastAsia="ja-JP"/>
        </w:rPr>
      </w:pPr>
      <w:r w:rsidRPr="003E587D">
        <w:rPr>
          <w:rFonts w:eastAsiaTheme="minorEastAsia"/>
          <w:b/>
          <w:i/>
          <w:noProof/>
          <w:color w:val="365F91" w:themeColor="accent1" w:themeShade="BF"/>
          <w:sz w:val="20"/>
          <w:lang w:val="sr-Cyrl-CS" w:eastAsia="ja-JP"/>
        </w:rPr>
        <w:t>Краткорочни депозити</w:t>
      </w:r>
    </w:p>
    <w:p w:rsidR="0076189C" w:rsidRPr="00480E31" w:rsidRDefault="0076189C" w:rsidP="008D4D3A">
      <w:pPr>
        <w:spacing w:after="0"/>
        <w:ind w:firstLine="567"/>
        <w:jc w:val="right"/>
        <w:rPr>
          <w:noProof/>
          <w:color w:val="000000" w:themeColor="text1"/>
          <w:sz w:val="18"/>
          <w:szCs w:val="18"/>
          <w:lang w:val="sr-Cyrl-CS"/>
        </w:rPr>
      </w:pPr>
      <w:r w:rsidRPr="00480E31">
        <w:rPr>
          <w:noProof/>
          <w:color w:val="000000" w:themeColor="text1"/>
          <w:sz w:val="18"/>
          <w:szCs w:val="18"/>
          <w:lang w:val="sr-Cyrl-CS"/>
        </w:rPr>
        <w:t>у 000 РСД</w:t>
      </w:r>
    </w:p>
    <w:p w:rsidR="0076189C" w:rsidRPr="005E3E2D" w:rsidRDefault="0076189C" w:rsidP="0076189C">
      <w:pPr>
        <w:spacing w:after="0"/>
        <w:ind w:firstLine="567"/>
        <w:jc w:val="right"/>
        <w:rPr>
          <w:noProof/>
          <w:color w:val="000000" w:themeColor="text1"/>
          <w:sz w:val="6"/>
          <w:szCs w:val="6"/>
          <w:lang w:val="sr-Cyrl-CS"/>
        </w:rPr>
      </w:pPr>
    </w:p>
    <w:tbl>
      <w:tblPr>
        <w:tblW w:w="9356" w:type="dxa"/>
        <w:tblCellSpacing w:w="20" w:type="dxa"/>
        <w:tblInd w:w="163" w:type="dxa"/>
        <w:tblLayout w:type="fixed"/>
        <w:tblLook w:val="0000" w:firstRow="0" w:lastRow="0" w:firstColumn="0" w:lastColumn="0" w:noHBand="0" w:noVBand="0"/>
      </w:tblPr>
      <w:tblGrid>
        <w:gridCol w:w="7265"/>
        <w:gridCol w:w="2091"/>
      </w:tblGrid>
      <w:tr w:rsidR="005E3E2D" w:rsidRPr="005E3E2D" w:rsidTr="00C32150">
        <w:trPr>
          <w:tblCellSpacing w:w="20" w:type="dxa"/>
        </w:trPr>
        <w:tc>
          <w:tcPr>
            <w:tcW w:w="7205" w:type="dxa"/>
            <w:tcBorders>
              <w:top w:val="single" w:sz="4" w:space="0" w:color="auto"/>
              <w:bottom w:val="single" w:sz="4" w:space="0" w:color="auto"/>
            </w:tcBorders>
            <w:shd w:val="clear" w:color="auto" w:fill="auto"/>
            <w:noWrap/>
          </w:tcPr>
          <w:p w:rsidR="0076189C" w:rsidRPr="008D4D3A" w:rsidRDefault="0076189C" w:rsidP="0076189C">
            <w:pPr>
              <w:pStyle w:val="NoSpacing"/>
              <w:jc w:val="both"/>
              <w:rPr>
                <w:rFonts w:ascii="Verdana" w:eastAsia="Arial Unicode MS" w:hAnsi="Verdana" w:cs="Tahoma"/>
                <w:b/>
                <w:bCs/>
                <w:noProof/>
                <w:color w:val="000000" w:themeColor="text1"/>
                <w:sz w:val="18"/>
                <w:szCs w:val="18"/>
                <w:lang w:val="sr-Cyrl-CS"/>
              </w:rPr>
            </w:pPr>
            <w:r w:rsidRPr="008D4D3A">
              <w:rPr>
                <w:rFonts w:ascii="Verdana" w:eastAsia="Arial Unicode MS" w:hAnsi="Verdana" w:cs="Tahoma"/>
                <w:b/>
                <w:bCs/>
                <w:noProof/>
                <w:color w:val="000000" w:themeColor="text1"/>
                <w:sz w:val="18"/>
                <w:szCs w:val="18"/>
                <w:lang w:val="sr-Cyrl-CS"/>
              </w:rPr>
              <w:t>Краткорочни депозити код банака</w:t>
            </w:r>
          </w:p>
        </w:tc>
        <w:tc>
          <w:tcPr>
            <w:tcW w:w="2031" w:type="dxa"/>
            <w:tcBorders>
              <w:top w:val="single" w:sz="4" w:space="0" w:color="auto"/>
              <w:bottom w:val="single" w:sz="4" w:space="0" w:color="auto"/>
            </w:tcBorders>
            <w:shd w:val="clear" w:color="auto" w:fill="auto"/>
          </w:tcPr>
          <w:p w:rsidR="0076189C" w:rsidRPr="008D4D3A" w:rsidRDefault="0076189C" w:rsidP="0076189C">
            <w:pPr>
              <w:pStyle w:val="NoSpacing"/>
              <w:jc w:val="center"/>
              <w:rPr>
                <w:rFonts w:ascii="Verdana" w:hAnsi="Verdana" w:cs="Tahoma"/>
                <w:b/>
                <w:bCs/>
                <w:noProof/>
                <w:color w:val="000000" w:themeColor="text1"/>
                <w:sz w:val="18"/>
                <w:szCs w:val="18"/>
                <w:lang w:val="sr-Cyrl-CS"/>
              </w:rPr>
            </w:pPr>
            <w:r w:rsidRPr="008D4D3A">
              <w:rPr>
                <w:rFonts w:ascii="Verdana" w:hAnsi="Verdana" w:cs="Tahoma"/>
                <w:b/>
                <w:bCs/>
                <w:noProof/>
                <w:color w:val="000000" w:themeColor="text1"/>
                <w:sz w:val="18"/>
                <w:szCs w:val="18"/>
                <w:lang w:val="sr-Cyrl-CS"/>
              </w:rPr>
              <w:t>Износ</w:t>
            </w:r>
          </w:p>
        </w:tc>
      </w:tr>
      <w:tr w:rsidR="005E3E2D" w:rsidRPr="005E3E2D" w:rsidTr="00C32150">
        <w:trPr>
          <w:tblCellSpacing w:w="20" w:type="dxa"/>
        </w:trPr>
        <w:tc>
          <w:tcPr>
            <w:tcW w:w="7205" w:type="dxa"/>
            <w:shd w:val="clear" w:color="auto" w:fill="DBE5F1" w:themeFill="accent1" w:themeFillTint="33"/>
            <w:noWrap/>
          </w:tcPr>
          <w:p w:rsidR="0076189C" w:rsidRPr="008D4D3A" w:rsidRDefault="005E3E2D" w:rsidP="0076189C">
            <w:pPr>
              <w:pStyle w:val="NoSpacing"/>
              <w:jc w:val="both"/>
              <w:rPr>
                <w:rFonts w:ascii="Verdana" w:hAnsi="Verdana" w:cs="Tahoma"/>
                <w:noProof/>
                <w:color w:val="000000" w:themeColor="text1"/>
                <w:sz w:val="18"/>
                <w:szCs w:val="18"/>
                <w:lang w:val="sr-Cyrl-CS"/>
              </w:rPr>
            </w:pPr>
            <w:r w:rsidRPr="008D4D3A">
              <w:rPr>
                <w:rFonts w:ascii="Verdana" w:eastAsia="Arial Unicode MS" w:hAnsi="Verdana" w:cs="Tahoma"/>
                <w:noProof/>
                <w:color w:val="000000" w:themeColor="text1"/>
                <w:sz w:val="18"/>
                <w:szCs w:val="18"/>
                <w:lang w:val="sr-Cyrl-CS"/>
              </w:rPr>
              <w:t>ОТП банка, Београд</w:t>
            </w:r>
          </w:p>
        </w:tc>
        <w:tc>
          <w:tcPr>
            <w:tcW w:w="2031" w:type="dxa"/>
            <w:shd w:val="clear" w:color="auto" w:fill="DBE5F1" w:themeFill="accent1" w:themeFillTint="33"/>
          </w:tcPr>
          <w:p w:rsidR="0076189C" w:rsidRPr="008D4D3A" w:rsidRDefault="005E3E2D" w:rsidP="0076189C">
            <w:pPr>
              <w:pStyle w:val="NoSpacing"/>
              <w:jc w:val="right"/>
              <w:rPr>
                <w:rFonts w:ascii="Verdana" w:eastAsia="Arial Unicode MS" w:hAnsi="Verdana" w:cs="Tahoma"/>
                <w:noProof/>
                <w:color w:val="000000" w:themeColor="text1"/>
                <w:sz w:val="18"/>
                <w:szCs w:val="18"/>
                <w:lang w:val="sr-Cyrl-CS"/>
              </w:rPr>
            </w:pPr>
            <w:r w:rsidRPr="008D4D3A">
              <w:rPr>
                <w:rFonts w:ascii="Verdana" w:eastAsia="Arial Unicode MS" w:hAnsi="Verdana" w:cs="Tahoma"/>
                <w:noProof/>
                <w:color w:val="000000" w:themeColor="text1"/>
                <w:sz w:val="18"/>
                <w:szCs w:val="18"/>
                <w:lang w:val="sr-Cyrl-CS"/>
              </w:rPr>
              <w:t>130.062</w:t>
            </w:r>
          </w:p>
        </w:tc>
      </w:tr>
      <w:tr w:rsidR="005E3E2D" w:rsidRPr="005E3E2D" w:rsidTr="00C32150">
        <w:trPr>
          <w:tblCellSpacing w:w="20" w:type="dxa"/>
        </w:trPr>
        <w:tc>
          <w:tcPr>
            <w:tcW w:w="7205" w:type="dxa"/>
            <w:shd w:val="clear" w:color="auto" w:fill="auto"/>
            <w:noWrap/>
          </w:tcPr>
          <w:p w:rsidR="0076189C" w:rsidRPr="008D4D3A" w:rsidRDefault="005E3E2D" w:rsidP="00B32DE6">
            <w:pPr>
              <w:pStyle w:val="NoSpacing"/>
              <w:jc w:val="both"/>
              <w:rPr>
                <w:rFonts w:ascii="Verdana" w:eastAsia="Arial Unicode MS" w:hAnsi="Verdana" w:cs="Tahoma"/>
                <w:noProof/>
                <w:color w:val="000000" w:themeColor="text1"/>
                <w:sz w:val="18"/>
                <w:szCs w:val="18"/>
                <w:lang w:val="sr-Cyrl-CS"/>
              </w:rPr>
            </w:pPr>
            <w:r w:rsidRPr="008D4D3A">
              <w:rPr>
                <w:rFonts w:ascii="Verdana" w:eastAsia="Arial Unicode MS" w:hAnsi="Verdana" w:cs="Tahoma"/>
                <w:noProof/>
                <w:color w:val="000000" w:themeColor="text1"/>
                <w:sz w:val="18"/>
                <w:szCs w:val="18"/>
                <w:lang w:val="sr-Cyrl-CS"/>
              </w:rPr>
              <w:t>Про</w:t>
            </w:r>
            <w:r w:rsidR="00B32DE6">
              <w:rPr>
                <w:rFonts w:ascii="Verdana" w:eastAsia="Arial Unicode MS" w:hAnsi="Verdana" w:cs="Tahoma"/>
                <w:noProof/>
                <w:color w:val="000000" w:themeColor="text1"/>
                <w:sz w:val="18"/>
                <w:szCs w:val="18"/>
                <w:lang w:val="sr-Cyrl-CS"/>
              </w:rPr>
              <w:t>К</w:t>
            </w:r>
            <w:r w:rsidRPr="008D4D3A">
              <w:rPr>
                <w:rFonts w:ascii="Verdana" w:eastAsia="Arial Unicode MS" w:hAnsi="Verdana" w:cs="Tahoma"/>
                <w:noProof/>
                <w:color w:val="000000" w:themeColor="text1"/>
                <w:sz w:val="18"/>
                <w:szCs w:val="18"/>
                <w:lang w:val="sr-Cyrl-CS"/>
              </w:rPr>
              <w:t>редит Банка, Београд</w:t>
            </w:r>
          </w:p>
        </w:tc>
        <w:tc>
          <w:tcPr>
            <w:tcW w:w="2031" w:type="dxa"/>
            <w:shd w:val="clear" w:color="auto" w:fill="auto"/>
          </w:tcPr>
          <w:p w:rsidR="0076189C" w:rsidRPr="008D4D3A" w:rsidRDefault="005E3E2D" w:rsidP="0076189C">
            <w:pPr>
              <w:pStyle w:val="NoSpacing"/>
              <w:jc w:val="right"/>
              <w:rPr>
                <w:rFonts w:ascii="Verdana" w:eastAsia="Arial Unicode MS" w:hAnsi="Verdana" w:cs="Tahoma"/>
                <w:noProof/>
                <w:color w:val="000000" w:themeColor="text1"/>
                <w:sz w:val="18"/>
                <w:szCs w:val="18"/>
                <w:lang w:val="sr-Cyrl-CS"/>
              </w:rPr>
            </w:pPr>
            <w:r w:rsidRPr="008D4D3A">
              <w:rPr>
                <w:rFonts w:ascii="Verdana" w:eastAsia="Arial Unicode MS" w:hAnsi="Verdana" w:cs="Tahoma"/>
                <w:noProof/>
                <w:color w:val="000000" w:themeColor="text1"/>
                <w:sz w:val="18"/>
                <w:szCs w:val="18"/>
                <w:lang w:val="sr-Cyrl-CS"/>
              </w:rPr>
              <w:t>133.393</w:t>
            </w:r>
          </w:p>
        </w:tc>
      </w:tr>
      <w:tr w:rsidR="005E3E2D" w:rsidRPr="005E3E2D" w:rsidTr="00C32150">
        <w:trPr>
          <w:tblCellSpacing w:w="20" w:type="dxa"/>
        </w:trPr>
        <w:tc>
          <w:tcPr>
            <w:tcW w:w="7205" w:type="dxa"/>
            <w:shd w:val="clear" w:color="auto" w:fill="DBE5F1" w:themeFill="accent1" w:themeFillTint="33"/>
            <w:noWrap/>
          </w:tcPr>
          <w:p w:rsidR="0076189C" w:rsidRPr="008D4D3A" w:rsidRDefault="0076189C" w:rsidP="0076189C">
            <w:pPr>
              <w:pStyle w:val="NoSpacing"/>
              <w:jc w:val="both"/>
              <w:rPr>
                <w:rFonts w:ascii="Verdana" w:eastAsia="Arial Unicode MS" w:hAnsi="Verdana" w:cs="Tahoma"/>
                <w:noProof/>
                <w:color w:val="000000" w:themeColor="text1"/>
                <w:sz w:val="18"/>
                <w:szCs w:val="18"/>
                <w:lang w:val="sr-Cyrl-CS"/>
              </w:rPr>
            </w:pPr>
            <w:r w:rsidRPr="008D4D3A">
              <w:rPr>
                <w:rFonts w:ascii="Verdana" w:eastAsia="Arial Unicode MS" w:hAnsi="Verdana" w:cs="Tahoma"/>
                <w:noProof/>
                <w:color w:val="000000" w:themeColor="text1"/>
                <w:sz w:val="18"/>
                <w:szCs w:val="18"/>
                <w:lang w:val="sr-Cyrl-CS"/>
              </w:rPr>
              <w:t>Универзал банка</w:t>
            </w:r>
            <w:r w:rsidR="005E3E2D" w:rsidRPr="008D4D3A">
              <w:rPr>
                <w:rFonts w:ascii="Verdana" w:eastAsia="Arial Unicode MS" w:hAnsi="Verdana" w:cs="Tahoma"/>
                <w:noProof/>
                <w:color w:val="000000" w:themeColor="text1"/>
                <w:sz w:val="18"/>
                <w:szCs w:val="18"/>
                <w:lang w:val="sr-Cyrl-CS"/>
              </w:rPr>
              <w:t>, Београд</w:t>
            </w:r>
          </w:p>
        </w:tc>
        <w:tc>
          <w:tcPr>
            <w:tcW w:w="2031" w:type="dxa"/>
            <w:shd w:val="clear" w:color="auto" w:fill="DBE5F1" w:themeFill="accent1" w:themeFillTint="33"/>
          </w:tcPr>
          <w:p w:rsidR="0076189C" w:rsidRPr="008D4D3A" w:rsidRDefault="005E3E2D" w:rsidP="0076189C">
            <w:pPr>
              <w:pStyle w:val="NoSpacing"/>
              <w:jc w:val="right"/>
              <w:rPr>
                <w:rFonts w:ascii="Verdana" w:eastAsia="Arial Unicode MS" w:hAnsi="Verdana" w:cs="Tahoma"/>
                <w:noProof/>
                <w:color w:val="000000" w:themeColor="text1"/>
                <w:sz w:val="18"/>
                <w:szCs w:val="18"/>
                <w:lang w:val="sr-Cyrl-CS"/>
              </w:rPr>
            </w:pPr>
            <w:r w:rsidRPr="008D4D3A">
              <w:rPr>
                <w:rFonts w:ascii="Verdana" w:eastAsia="Arial Unicode MS" w:hAnsi="Verdana" w:cs="Tahoma"/>
                <w:noProof/>
                <w:color w:val="000000" w:themeColor="text1"/>
                <w:sz w:val="18"/>
                <w:szCs w:val="18"/>
                <w:lang w:val="sr-Cyrl-CS"/>
              </w:rPr>
              <w:t>121.626</w:t>
            </w:r>
          </w:p>
        </w:tc>
      </w:tr>
      <w:tr w:rsidR="005E3E2D" w:rsidRPr="005E3E2D" w:rsidTr="00C32150">
        <w:trPr>
          <w:tblCellSpacing w:w="20" w:type="dxa"/>
        </w:trPr>
        <w:tc>
          <w:tcPr>
            <w:tcW w:w="7205" w:type="dxa"/>
            <w:shd w:val="clear" w:color="auto" w:fill="auto"/>
            <w:noWrap/>
          </w:tcPr>
          <w:p w:rsidR="0076189C" w:rsidRPr="008D4D3A" w:rsidRDefault="005E3E2D" w:rsidP="0076189C">
            <w:pPr>
              <w:pStyle w:val="NoSpacing"/>
              <w:jc w:val="both"/>
              <w:rPr>
                <w:rFonts w:ascii="Verdana" w:eastAsia="Arial Unicode MS" w:hAnsi="Verdana" w:cs="Tahoma"/>
                <w:b/>
                <w:noProof/>
                <w:color w:val="000000" w:themeColor="text1"/>
                <w:sz w:val="18"/>
                <w:szCs w:val="18"/>
                <w:lang w:val="sr-Cyrl-CS"/>
              </w:rPr>
            </w:pPr>
            <w:r w:rsidRPr="008D4D3A">
              <w:rPr>
                <w:rFonts w:ascii="Verdana" w:eastAsia="Arial Unicode MS" w:hAnsi="Verdana" w:cs="Tahoma"/>
                <w:noProof/>
                <w:color w:val="000000" w:themeColor="text1"/>
                <w:sz w:val="18"/>
                <w:szCs w:val="18"/>
                <w:lang w:val="sr-Cyrl-CS"/>
              </w:rPr>
              <w:t xml:space="preserve">Универзал банка, Београд </w:t>
            </w:r>
            <w:r w:rsidR="0076189C" w:rsidRPr="008D4D3A">
              <w:rPr>
                <w:rFonts w:ascii="Verdana" w:eastAsia="Arial Unicode MS" w:hAnsi="Verdana" w:cs="Tahoma"/>
                <w:noProof/>
                <w:color w:val="000000" w:themeColor="text1"/>
                <w:sz w:val="18"/>
                <w:szCs w:val="18"/>
                <w:lang w:val="sr-Cyrl-CS"/>
              </w:rPr>
              <w:t>(исправка вредност)</w:t>
            </w:r>
          </w:p>
        </w:tc>
        <w:tc>
          <w:tcPr>
            <w:tcW w:w="2031" w:type="dxa"/>
            <w:shd w:val="clear" w:color="auto" w:fill="auto"/>
          </w:tcPr>
          <w:p w:rsidR="0076189C" w:rsidRPr="008D4D3A" w:rsidRDefault="0076189C" w:rsidP="005E3E2D">
            <w:pPr>
              <w:pStyle w:val="NoSpacing"/>
              <w:jc w:val="right"/>
              <w:rPr>
                <w:rFonts w:ascii="Verdana" w:eastAsia="Arial Unicode MS" w:hAnsi="Verdana" w:cs="Tahoma"/>
                <w:noProof/>
                <w:color w:val="000000" w:themeColor="text1"/>
                <w:sz w:val="18"/>
                <w:szCs w:val="18"/>
                <w:lang w:val="sr-Cyrl-CS"/>
              </w:rPr>
            </w:pPr>
            <w:r w:rsidRPr="008D4D3A">
              <w:rPr>
                <w:rFonts w:ascii="Verdana" w:eastAsia="Arial Unicode MS" w:hAnsi="Verdana" w:cs="Tahoma"/>
                <w:noProof/>
                <w:color w:val="000000" w:themeColor="text1"/>
                <w:sz w:val="18"/>
                <w:szCs w:val="18"/>
                <w:lang w:val="sr-Cyrl-CS"/>
              </w:rPr>
              <w:t>(</w:t>
            </w:r>
            <w:r w:rsidR="005E3E2D" w:rsidRPr="008D4D3A">
              <w:rPr>
                <w:rFonts w:ascii="Verdana" w:eastAsia="Arial Unicode MS" w:hAnsi="Verdana" w:cs="Tahoma"/>
                <w:noProof/>
                <w:color w:val="000000" w:themeColor="text1"/>
                <w:sz w:val="18"/>
                <w:szCs w:val="18"/>
                <w:lang w:val="sr-Cyrl-CS"/>
              </w:rPr>
              <w:t>121.626</w:t>
            </w:r>
            <w:r w:rsidRPr="008D4D3A">
              <w:rPr>
                <w:rFonts w:ascii="Verdana" w:eastAsia="Arial Unicode MS" w:hAnsi="Verdana" w:cs="Tahoma"/>
                <w:noProof/>
                <w:color w:val="000000" w:themeColor="text1"/>
                <w:sz w:val="18"/>
                <w:szCs w:val="18"/>
                <w:lang w:val="sr-Cyrl-CS"/>
              </w:rPr>
              <w:t>)</w:t>
            </w:r>
          </w:p>
        </w:tc>
      </w:tr>
      <w:tr w:rsidR="005E3E2D" w:rsidRPr="005E3E2D" w:rsidTr="00C32150">
        <w:trPr>
          <w:tblCellSpacing w:w="20" w:type="dxa"/>
        </w:trPr>
        <w:tc>
          <w:tcPr>
            <w:tcW w:w="7205" w:type="dxa"/>
            <w:tcBorders>
              <w:top w:val="single" w:sz="4" w:space="0" w:color="auto"/>
              <w:bottom w:val="single" w:sz="4" w:space="0" w:color="auto"/>
            </w:tcBorders>
            <w:shd w:val="clear" w:color="auto" w:fill="auto"/>
            <w:noWrap/>
          </w:tcPr>
          <w:p w:rsidR="0076189C" w:rsidRPr="008D4D3A" w:rsidRDefault="005E3E2D" w:rsidP="00C32150">
            <w:pPr>
              <w:pStyle w:val="NoSpacing"/>
              <w:rPr>
                <w:rFonts w:ascii="Verdana" w:eastAsia="Arial Unicode MS" w:hAnsi="Verdana" w:cs="Tahoma"/>
                <w:b/>
                <w:noProof/>
                <w:color w:val="000000" w:themeColor="text1"/>
                <w:sz w:val="18"/>
                <w:szCs w:val="18"/>
                <w:lang w:val="sr-Cyrl-CS"/>
              </w:rPr>
            </w:pPr>
            <w:r w:rsidRPr="008D4D3A">
              <w:rPr>
                <w:rFonts w:ascii="Verdana" w:eastAsia="Arial Unicode MS" w:hAnsi="Verdana" w:cs="Tahoma"/>
                <w:b/>
                <w:noProof/>
                <w:color w:val="000000" w:themeColor="text1"/>
                <w:sz w:val="18"/>
                <w:szCs w:val="18"/>
                <w:lang w:val="sr-Cyrl-CS"/>
              </w:rPr>
              <w:t>СВЕГА</w:t>
            </w:r>
          </w:p>
        </w:tc>
        <w:tc>
          <w:tcPr>
            <w:tcW w:w="2031" w:type="dxa"/>
            <w:tcBorders>
              <w:top w:val="single" w:sz="4" w:space="0" w:color="auto"/>
              <w:bottom w:val="single" w:sz="4" w:space="0" w:color="auto"/>
            </w:tcBorders>
            <w:shd w:val="clear" w:color="auto" w:fill="auto"/>
          </w:tcPr>
          <w:p w:rsidR="0076189C" w:rsidRPr="008D4D3A" w:rsidRDefault="005E3E2D" w:rsidP="0076189C">
            <w:pPr>
              <w:pStyle w:val="NoSpacing"/>
              <w:jc w:val="right"/>
              <w:rPr>
                <w:rFonts w:ascii="Verdana" w:eastAsia="Arial Unicode MS" w:hAnsi="Verdana" w:cs="Tahoma"/>
                <w:b/>
                <w:noProof/>
                <w:color w:val="000000" w:themeColor="text1"/>
                <w:sz w:val="18"/>
                <w:szCs w:val="18"/>
                <w:lang w:val="sr-Cyrl-CS"/>
              </w:rPr>
            </w:pPr>
            <w:r w:rsidRPr="008D4D3A">
              <w:rPr>
                <w:rFonts w:ascii="Verdana" w:eastAsia="Arial Unicode MS" w:hAnsi="Verdana" w:cs="Tahoma"/>
                <w:b/>
                <w:noProof/>
                <w:color w:val="000000" w:themeColor="text1"/>
                <w:sz w:val="18"/>
                <w:szCs w:val="18"/>
                <w:lang w:val="sr-Cyrl-CS"/>
              </w:rPr>
              <w:t>263.455</w:t>
            </w:r>
          </w:p>
        </w:tc>
      </w:tr>
    </w:tbl>
    <w:p w:rsidR="0076189C" w:rsidRPr="00EB4F47" w:rsidRDefault="0076189C" w:rsidP="00911099">
      <w:pPr>
        <w:spacing w:before="120" w:after="120"/>
        <w:ind w:firstLine="567"/>
        <w:rPr>
          <w:noProof/>
          <w:sz w:val="20"/>
          <w:szCs w:val="20"/>
          <w:lang w:val="sr-Cyrl-CS"/>
        </w:rPr>
      </w:pPr>
      <w:r w:rsidRPr="00EB4F47">
        <w:rPr>
          <w:noProof/>
          <w:sz w:val="20"/>
          <w:szCs w:val="20"/>
          <w:lang w:val="sr-Cyrl-CS"/>
        </w:rPr>
        <w:t>На дан 31.12.201</w:t>
      </w:r>
      <w:r w:rsidR="00EB4F47" w:rsidRPr="00EB4F47">
        <w:rPr>
          <w:noProof/>
          <w:sz w:val="20"/>
          <w:szCs w:val="20"/>
          <w:lang w:val="sr-Cyrl-CS"/>
        </w:rPr>
        <w:t>5</w:t>
      </w:r>
      <w:r w:rsidRPr="00EB4F47">
        <w:rPr>
          <w:noProof/>
          <w:sz w:val="20"/>
          <w:szCs w:val="20"/>
          <w:lang w:val="sr-Cyrl-CS"/>
        </w:rPr>
        <w:t>. године Друштво има орочене  депозите:</w:t>
      </w:r>
    </w:p>
    <w:p w:rsidR="00EB4F47" w:rsidRPr="00EB4F47" w:rsidRDefault="00EB4F47" w:rsidP="00EB4F47">
      <w:pPr>
        <w:spacing w:before="120" w:after="120"/>
        <w:ind w:firstLine="567"/>
        <w:jc w:val="both"/>
        <w:rPr>
          <w:noProof/>
          <w:sz w:val="20"/>
          <w:szCs w:val="20"/>
          <w:lang w:val="sr-Cyrl-CS"/>
        </w:rPr>
      </w:pPr>
      <w:r w:rsidRPr="00EB4F47">
        <w:rPr>
          <w:noProof/>
          <w:sz w:val="20"/>
          <w:szCs w:val="20"/>
          <w:lang w:val="sr-Cyrl-CS"/>
        </w:rPr>
        <w:t>•</w:t>
      </w:r>
      <w:r w:rsidRPr="00EB4F47">
        <w:rPr>
          <w:noProof/>
          <w:sz w:val="20"/>
          <w:szCs w:val="20"/>
          <w:lang w:val="sr-Cyrl-CS"/>
        </w:rPr>
        <w:tab/>
        <w:t xml:space="preserve">Код ОТП банке 1.066.092,53 ЕУР-а. Средства су орочена на период од 3 месеца са каматном стопом од 1,2% и обезбеђена меницама са меничним овлашћењима. </w:t>
      </w:r>
    </w:p>
    <w:p w:rsidR="00EB4F47" w:rsidRPr="00EB4F47" w:rsidRDefault="00EB4F47" w:rsidP="00EB4F47">
      <w:pPr>
        <w:spacing w:before="120" w:after="120"/>
        <w:ind w:firstLine="567"/>
        <w:jc w:val="both"/>
        <w:rPr>
          <w:noProof/>
          <w:sz w:val="20"/>
          <w:szCs w:val="20"/>
          <w:lang w:val="sr-Cyrl-CS"/>
        </w:rPr>
      </w:pPr>
      <w:r w:rsidRPr="00EB4F47">
        <w:rPr>
          <w:noProof/>
          <w:sz w:val="20"/>
          <w:szCs w:val="20"/>
          <w:lang w:val="sr-Cyrl-CS"/>
        </w:rPr>
        <w:t>•</w:t>
      </w:r>
      <w:r w:rsidRPr="00EB4F47">
        <w:rPr>
          <w:noProof/>
          <w:sz w:val="20"/>
          <w:szCs w:val="20"/>
          <w:lang w:val="sr-Cyrl-CS"/>
        </w:rPr>
        <w:tab/>
        <w:t>Код ProCredit банке 1.092.337 ЕУР-а. Средства су орочена на период од 3 месеца са каматном стопом од 1,6% и и обезбеђена меницама са меничним овлашћењима.</w:t>
      </w:r>
    </w:p>
    <w:p w:rsidR="0076189C" w:rsidRPr="00BF3CDE" w:rsidRDefault="00EB4F47" w:rsidP="00EB4F47">
      <w:pPr>
        <w:spacing w:before="120" w:after="120"/>
        <w:ind w:firstLine="567"/>
        <w:jc w:val="both"/>
        <w:rPr>
          <w:noProof/>
          <w:sz w:val="20"/>
          <w:szCs w:val="20"/>
          <w:lang w:val="sr-Cyrl-CS"/>
        </w:rPr>
      </w:pPr>
      <w:r w:rsidRPr="00EB4F47">
        <w:rPr>
          <w:noProof/>
          <w:sz w:val="20"/>
          <w:szCs w:val="20"/>
          <w:lang w:val="sr-Cyrl-CS"/>
        </w:rPr>
        <w:tab/>
        <w:t>Код UniCredit банке 1.000.007,97 ЕУР-а. Средства су орочена на период од 3 месеца са каматном стопом од 1,1% и обезбеђена су меницама са меничним овлашћењима.</w:t>
      </w:r>
      <w:r w:rsidR="0076189C" w:rsidRPr="00BF3CDE">
        <w:rPr>
          <w:noProof/>
          <w:sz w:val="20"/>
          <w:szCs w:val="20"/>
          <w:lang w:val="sr-Cyrl-CS"/>
        </w:rPr>
        <w:t xml:space="preserve"> </w:t>
      </w:r>
    </w:p>
    <w:p w:rsidR="0076189C" w:rsidRDefault="000F27DF" w:rsidP="00911099">
      <w:pPr>
        <w:spacing w:before="240" w:after="240"/>
        <w:jc w:val="center"/>
        <w:rPr>
          <w:rFonts w:eastAsiaTheme="minorEastAsia"/>
          <w:b/>
          <w:i/>
          <w:noProof/>
          <w:color w:val="365F91" w:themeColor="accent1" w:themeShade="BF"/>
          <w:sz w:val="20"/>
          <w:lang w:val="sr-Cyrl-CS" w:eastAsia="ja-JP"/>
        </w:rPr>
      </w:pPr>
      <w:r>
        <w:rPr>
          <w:rFonts w:eastAsiaTheme="minorEastAsia"/>
          <w:b/>
          <w:i/>
          <w:noProof/>
          <w:color w:val="365F91" w:themeColor="accent1" w:themeShade="BF"/>
          <w:sz w:val="20"/>
          <w:lang w:val="sr-Cyrl-CS" w:eastAsia="ja-JP"/>
        </w:rPr>
        <w:t>Готовина и готовински екви</w:t>
      </w:r>
      <w:r w:rsidR="003E587D">
        <w:rPr>
          <w:rFonts w:eastAsiaTheme="minorEastAsia"/>
          <w:b/>
          <w:i/>
          <w:noProof/>
          <w:color w:val="365F91" w:themeColor="accent1" w:themeShade="BF"/>
          <w:sz w:val="20"/>
          <w:lang w:val="sr-Cyrl-CS" w:eastAsia="ja-JP"/>
        </w:rPr>
        <w:t>в</w:t>
      </w:r>
      <w:r>
        <w:rPr>
          <w:rFonts w:eastAsiaTheme="minorEastAsia"/>
          <w:b/>
          <w:i/>
          <w:noProof/>
          <w:color w:val="365F91" w:themeColor="accent1" w:themeShade="BF"/>
          <w:sz w:val="20"/>
          <w:lang w:val="sr-Cyrl-CS" w:eastAsia="ja-JP"/>
        </w:rPr>
        <w:t>аленти</w:t>
      </w:r>
    </w:p>
    <w:tbl>
      <w:tblPr>
        <w:tblW w:w="9090" w:type="dxa"/>
        <w:tblInd w:w="108" w:type="dxa"/>
        <w:tblLook w:val="04A0" w:firstRow="1" w:lastRow="0" w:firstColumn="1" w:lastColumn="0" w:noHBand="0" w:noVBand="1"/>
      </w:tblPr>
      <w:tblGrid>
        <w:gridCol w:w="4756"/>
        <w:gridCol w:w="1386"/>
        <w:gridCol w:w="1386"/>
        <w:gridCol w:w="1562"/>
      </w:tblGrid>
      <w:tr w:rsidR="00751674" w:rsidRPr="0069701C" w:rsidTr="00751674">
        <w:trPr>
          <w:trHeight w:val="294"/>
        </w:trPr>
        <w:tc>
          <w:tcPr>
            <w:tcW w:w="4756" w:type="dxa"/>
            <w:tcBorders>
              <w:top w:val="single" w:sz="8" w:space="0" w:color="4F81BD"/>
              <w:left w:val="nil"/>
              <w:bottom w:val="single" w:sz="8" w:space="0" w:color="4F81BD"/>
              <w:right w:val="nil"/>
            </w:tcBorders>
            <w:shd w:val="clear" w:color="auto" w:fill="auto"/>
            <w:noWrap/>
            <w:vAlign w:val="center"/>
            <w:hideMark/>
          </w:tcPr>
          <w:p w:rsidR="00751674" w:rsidRPr="0069701C" w:rsidRDefault="00751674" w:rsidP="00751674">
            <w:pPr>
              <w:spacing w:after="0" w:line="240" w:lineRule="auto"/>
              <w:rPr>
                <w:rFonts w:ascii="Verdana" w:eastAsia="Times New Roman" w:hAnsi="Verdana" w:cs="Times New Roman"/>
                <w:b/>
                <w:bCs/>
                <w:color w:val="000000"/>
                <w:sz w:val="16"/>
                <w:szCs w:val="16"/>
                <w:lang w:val="sr-Latn-RS" w:eastAsia="sr-Latn-RS"/>
              </w:rPr>
            </w:pPr>
            <w:r w:rsidRPr="0069701C">
              <w:rPr>
                <w:rFonts w:ascii="Verdana" w:eastAsia="Times New Roman" w:hAnsi="Verdana" w:cs="Times New Roman"/>
                <w:b/>
                <w:bCs/>
                <w:color w:val="000000"/>
                <w:sz w:val="16"/>
                <w:szCs w:val="16"/>
                <w:lang w:val="sr-Cyrl-CS" w:eastAsia="sr-Latn-RS"/>
              </w:rPr>
              <w:t>Позиција</w:t>
            </w:r>
          </w:p>
        </w:tc>
        <w:tc>
          <w:tcPr>
            <w:tcW w:w="1386" w:type="dxa"/>
            <w:tcBorders>
              <w:top w:val="single" w:sz="8" w:space="0" w:color="4F81BD"/>
              <w:left w:val="nil"/>
              <w:bottom w:val="single" w:sz="8" w:space="0" w:color="4F81BD"/>
              <w:right w:val="nil"/>
            </w:tcBorders>
            <w:shd w:val="clear" w:color="auto" w:fill="auto"/>
            <w:noWrap/>
            <w:vAlign w:val="center"/>
            <w:hideMark/>
          </w:tcPr>
          <w:p w:rsidR="00751674" w:rsidRPr="0069701C" w:rsidRDefault="00751674" w:rsidP="00751674">
            <w:pPr>
              <w:spacing w:after="0" w:line="240" w:lineRule="auto"/>
              <w:jc w:val="center"/>
              <w:rPr>
                <w:rFonts w:ascii="Verdana" w:eastAsia="Times New Roman" w:hAnsi="Verdana" w:cs="Times New Roman"/>
                <w:b/>
                <w:bCs/>
                <w:color w:val="000000"/>
                <w:sz w:val="16"/>
                <w:szCs w:val="16"/>
                <w:lang w:val="sr-Latn-RS" w:eastAsia="sr-Latn-RS"/>
              </w:rPr>
            </w:pPr>
            <w:r w:rsidRPr="0069701C">
              <w:rPr>
                <w:rFonts w:ascii="Verdana" w:eastAsia="Times New Roman" w:hAnsi="Verdana" w:cs="Times New Roman"/>
                <w:b/>
                <w:bCs/>
                <w:color w:val="000000"/>
                <w:sz w:val="16"/>
                <w:szCs w:val="16"/>
                <w:lang w:val="sr-Cyrl-CS" w:eastAsia="sr-Latn-RS"/>
              </w:rPr>
              <w:t>31.12.2015.</w:t>
            </w:r>
          </w:p>
        </w:tc>
        <w:tc>
          <w:tcPr>
            <w:tcW w:w="1386" w:type="dxa"/>
            <w:tcBorders>
              <w:top w:val="single" w:sz="8" w:space="0" w:color="4F81BD"/>
              <w:left w:val="nil"/>
              <w:bottom w:val="single" w:sz="8" w:space="0" w:color="4F81BD"/>
              <w:right w:val="nil"/>
            </w:tcBorders>
            <w:shd w:val="clear" w:color="auto" w:fill="auto"/>
            <w:noWrap/>
            <w:vAlign w:val="center"/>
            <w:hideMark/>
          </w:tcPr>
          <w:p w:rsidR="00751674" w:rsidRPr="0069701C" w:rsidRDefault="00751674" w:rsidP="00751674">
            <w:pPr>
              <w:spacing w:after="0" w:line="240" w:lineRule="auto"/>
              <w:jc w:val="center"/>
              <w:rPr>
                <w:rFonts w:ascii="Verdana" w:eastAsia="Times New Roman" w:hAnsi="Verdana" w:cs="Times New Roman"/>
                <w:b/>
                <w:bCs/>
                <w:color w:val="000000"/>
                <w:sz w:val="16"/>
                <w:szCs w:val="16"/>
                <w:lang w:val="sr-Latn-RS" w:eastAsia="sr-Latn-RS"/>
              </w:rPr>
            </w:pPr>
            <w:r w:rsidRPr="0069701C">
              <w:rPr>
                <w:rFonts w:ascii="Verdana" w:eastAsia="Times New Roman" w:hAnsi="Verdana" w:cs="Times New Roman"/>
                <w:b/>
                <w:bCs/>
                <w:color w:val="000000"/>
                <w:sz w:val="16"/>
                <w:szCs w:val="16"/>
                <w:lang w:val="sr-Cyrl-CS" w:eastAsia="sr-Latn-RS"/>
              </w:rPr>
              <w:t>31.12.2014.</w:t>
            </w:r>
          </w:p>
        </w:tc>
        <w:tc>
          <w:tcPr>
            <w:tcW w:w="1562" w:type="dxa"/>
            <w:tcBorders>
              <w:top w:val="single" w:sz="8" w:space="0" w:color="4F81BD"/>
              <w:left w:val="nil"/>
              <w:bottom w:val="single" w:sz="8" w:space="0" w:color="4F81BD"/>
              <w:right w:val="nil"/>
            </w:tcBorders>
            <w:shd w:val="clear" w:color="auto" w:fill="auto"/>
            <w:noWrap/>
            <w:vAlign w:val="center"/>
            <w:hideMark/>
          </w:tcPr>
          <w:p w:rsidR="00751674" w:rsidRPr="0069701C" w:rsidRDefault="00751674" w:rsidP="00751674">
            <w:pPr>
              <w:spacing w:after="0" w:line="240" w:lineRule="auto"/>
              <w:jc w:val="center"/>
              <w:rPr>
                <w:rFonts w:ascii="Verdana" w:eastAsia="Times New Roman" w:hAnsi="Verdana" w:cs="Times New Roman"/>
                <w:b/>
                <w:bCs/>
                <w:color w:val="000000"/>
                <w:sz w:val="16"/>
                <w:szCs w:val="16"/>
                <w:lang w:val="sr-Latn-RS" w:eastAsia="sr-Latn-RS"/>
              </w:rPr>
            </w:pPr>
            <w:r w:rsidRPr="0069701C">
              <w:rPr>
                <w:rFonts w:ascii="Verdana" w:eastAsia="Times New Roman" w:hAnsi="Verdana" w:cs="Times New Roman"/>
                <w:b/>
                <w:bCs/>
                <w:color w:val="000000"/>
                <w:sz w:val="16"/>
                <w:szCs w:val="16"/>
                <w:lang w:val="sr-Cyrl-CS" w:eastAsia="sr-Latn-RS"/>
              </w:rPr>
              <w:t>индекс</w:t>
            </w:r>
          </w:p>
        </w:tc>
      </w:tr>
      <w:tr w:rsidR="00751674" w:rsidRPr="00751674" w:rsidTr="00751674">
        <w:trPr>
          <w:trHeight w:val="280"/>
        </w:trPr>
        <w:tc>
          <w:tcPr>
            <w:tcW w:w="4756" w:type="dxa"/>
            <w:tcBorders>
              <w:top w:val="nil"/>
              <w:left w:val="nil"/>
              <w:bottom w:val="nil"/>
              <w:right w:val="nil"/>
            </w:tcBorders>
            <w:shd w:val="clear" w:color="000000" w:fill="D3DFEE"/>
            <w:vAlign w:val="center"/>
            <w:hideMark/>
          </w:tcPr>
          <w:p w:rsidR="00751674" w:rsidRPr="0069701C" w:rsidRDefault="00751674" w:rsidP="00751674">
            <w:pPr>
              <w:spacing w:after="0" w:line="240" w:lineRule="auto"/>
              <w:rPr>
                <w:rFonts w:ascii="Verdana" w:eastAsia="Times New Roman" w:hAnsi="Verdana" w:cs="Times New Roman"/>
                <w:bCs/>
                <w:color w:val="000000"/>
                <w:sz w:val="18"/>
                <w:szCs w:val="18"/>
                <w:lang w:val="sr-Latn-RS" w:eastAsia="sr-Latn-RS"/>
              </w:rPr>
            </w:pPr>
            <w:r w:rsidRPr="0069701C">
              <w:rPr>
                <w:rFonts w:ascii="Verdana" w:eastAsia="Times New Roman" w:hAnsi="Verdana" w:cs="Times New Roman"/>
                <w:bCs/>
                <w:color w:val="000000"/>
                <w:sz w:val="18"/>
                <w:szCs w:val="18"/>
                <w:lang w:val="sr-Cyrl-CS" w:eastAsia="sr-Latn-RS"/>
              </w:rPr>
              <w:t>Девизни текући рачуни</w:t>
            </w:r>
          </w:p>
        </w:tc>
        <w:tc>
          <w:tcPr>
            <w:tcW w:w="1386" w:type="dxa"/>
            <w:tcBorders>
              <w:top w:val="nil"/>
              <w:left w:val="nil"/>
              <w:bottom w:val="nil"/>
              <w:right w:val="nil"/>
            </w:tcBorders>
            <w:shd w:val="clear" w:color="000000" w:fill="D3DFEE"/>
            <w:noWrap/>
            <w:vAlign w:val="center"/>
            <w:hideMark/>
          </w:tcPr>
          <w:p w:rsidR="00751674" w:rsidRPr="0069701C" w:rsidRDefault="00751674" w:rsidP="00751674">
            <w:pPr>
              <w:spacing w:after="0" w:line="240" w:lineRule="auto"/>
              <w:jc w:val="right"/>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 xml:space="preserve">     362.454      </w:t>
            </w:r>
          </w:p>
        </w:tc>
        <w:tc>
          <w:tcPr>
            <w:tcW w:w="1386" w:type="dxa"/>
            <w:tcBorders>
              <w:top w:val="nil"/>
              <w:left w:val="nil"/>
              <w:bottom w:val="nil"/>
              <w:right w:val="nil"/>
            </w:tcBorders>
            <w:shd w:val="clear" w:color="000000" w:fill="D3DFEE"/>
            <w:noWrap/>
            <w:vAlign w:val="center"/>
            <w:hideMark/>
          </w:tcPr>
          <w:p w:rsidR="00751674" w:rsidRPr="0069701C" w:rsidRDefault="00751674" w:rsidP="00751674">
            <w:pPr>
              <w:spacing w:after="0" w:line="240" w:lineRule="auto"/>
              <w:jc w:val="right"/>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 xml:space="preserve">     703.906      </w:t>
            </w:r>
          </w:p>
        </w:tc>
        <w:tc>
          <w:tcPr>
            <w:tcW w:w="1562" w:type="dxa"/>
            <w:tcBorders>
              <w:top w:val="nil"/>
              <w:left w:val="nil"/>
              <w:bottom w:val="nil"/>
              <w:right w:val="nil"/>
            </w:tcBorders>
            <w:shd w:val="clear" w:color="000000" w:fill="D3DFEE"/>
            <w:noWrap/>
            <w:vAlign w:val="center"/>
            <w:hideMark/>
          </w:tcPr>
          <w:p w:rsidR="00751674" w:rsidRPr="0069701C" w:rsidRDefault="00751674" w:rsidP="00751674">
            <w:pPr>
              <w:spacing w:after="0" w:line="240" w:lineRule="auto"/>
              <w:jc w:val="center"/>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51%</w:t>
            </w:r>
          </w:p>
        </w:tc>
      </w:tr>
      <w:tr w:rsidR="00751674" w:rsidRPr="00751674" w:rsidTr="00751674">
        <w:trPr>
          <w:trHeight w:val="280"/>
        </w:trPr>
        <w:tc>
          <w:tcPr>
            <w:tcW w:w="4756" w:type="dxa"/>
            <w:tcBorders>
              <w:top w:val="nil"/>
              <w:left w:val="nil"/>
              <w:bottom w:val="nil"/>
              <w:right w:val="nil"/>
            </w:tcBorders>
            <w:shd w:val="clear" w:color="auto" w:fill="auto"/>
            <w:vAlign w:val="center"/>
            <w:hideMark/>
          </w:tcPr>
          <w:p w:rsidR="00751674" w:rsidRPr="0069701C" w:rsidRDefault="00751674" w:rsidP="00751674">
            <w:pPr>
              <w:spacing w:after="0" w:line="240" w:lineRule="auto"/>
              <w:rPr>
                <w:rFonts w:ascii="Verdana" w:eastAsia="Times New Roman" w:hAnsi="Verdana" w:cs="Times New Roman"/>
                <w:bCs/>
                <w:color w:val="000000"/>
                <w:sz w:val="18"/>
                <w:szCs w:val="18"/>
                <w:lang w:val="sr-Latn-RS" w:eastAsia="sr-Latn-RS"/>
              </w:rPr>
            </w:pPr>
            <w:r w:rsidRPr="0069701C">
              <w:rPr>
                <w:rFonts w:ascii="Verdana" w:eastAsia="Times New Roman" w:hAnsi="Verdana" w:cs="Times New Roman"/>
                <w:bCs/>
                <w:color w:val="000000"/>
                <w:sz w:val="18"/>
                <w:szCs w:val="18"/>
                <w:lang w:val="sr-Cyrl-CS" w:eastAsia="sr-Latn-RS"/>
              </w:rPr>
              <w:t>Динарски текући рачуни</w:t>
            </w:r>
          </w:p>
        </w:tc>
        <w:tc>
          <w:tcPr>
            <w:tcW w:w="1386"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right"/>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 xml:space="preserve">       20.087      </w:t>
            </w:r>
          </w:p>
        </w:tc>
        <w:tc>
          <w:tcPr>
            <w:tcW w:w="1386"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right"/>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 xml:space="preserve">       70.194      </w:t>
            </w:r>
          </w:p>
        </w:tc>
        <w:tc>
          <w:tcPr>
            <w:tcW w:w="1562"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29%</w:t>
            </w:r>
          </w:p>
        </w:tc>
      </w:tr>
      <w:tr w:rsidR="00751674" w:rsidRPr="00751674" w:rsidTr="00751674">
        <w:trPr>
          <w:trHeight w:val="280"/>
        </w:trPr>
        <w:tc>
          <w:tcPr>
            <w:tcW w:w="4756" w:type="dxa"/>
            <w:tcBorders>
              <w:top w:val="nil"/>
              <w:left w:val="nil"/>
              <w:bottom w:val="nil"/>
              <w:right w:val="nil"/>
            </w:tcBorders>
            <w:shd w:val="clear" w:color="000000" w:fill="D3DFEE"/>
            <w:vAlign w:val="center"/>
            <w:hideMark/>
          </w:tcPr>
          <w:p w:rsidR="00751674" w:rsidRPr="0069701C" w:rsidRDefault="00751674" w:rsidP="00751674">
            <w:pPr>
              <w:spacing w:after="0" w:line="240" w:lineRule="auto"/>
              <w:rPr>
                <w:rFonts w:ascii="Verdana" w:eastAsia="Times New Roman" w:hAnsi="Verdana" w:cs="Times New Roman"/>
                <w:bCs/>
                <w:color w:val="000000"/>
                <w:sz w:val="18"/>
                <w:szCs w:val="18"/>
                <w:lang w:val="sr-Latn-RS" w:eastAsia="sr-Latn-RS"/>
              </w:rPr>
            </w:pPr>
            <w:r w:rsidRPr="0069701C">
              <w:rPr>
                <w:rFonts w:ascii="Verdana" w:eastAsia="Times New Roman" w:hAnsi="Verdana" w:cs="Times New Roman"/>
                <w:bCs/>
                <w:color w:val="000000"/>
                <w:sz w:val="18"/>
                <w:szCs w:val="18"/>
                <w:lang w:val="sr-Cyrl-CS" w:eastAsia="sr-Latn-RS"/>
              </w:rPr>
              <w:t>Остала новчана средства</w:t>
            </w:r>
          </w:p>
        </w:tc>
        <w:tc>
          <w:tcPr>
            <w:tcW w:w="1386" w:type="dxa"/>
            <w:tcBorders>
              <w:top w:val="nil"/>
              <w:left w:val="nil"/>
              <w:bottom w:val="nil"/>
              <w:right w:val="nil"/>
            </w:tcBorders>
            <w:shd w:val="clear" w:color="000000" w:fill="D3DFEE"/>
            <w:noWrap/>
            <w:vAlign w:val="center"/>
            <w:hideMark/>
          </w:tcPr>
          <w:p w:rsidR="00751674" w:rsidRPr="0069701C" w:rsidRDefault="00751674" w:rsidP="00751674">
            <w:pPr>
              <w:spacing w:after="0" w:line="240" w:lineRule="auto"/>
              <w:jc w:val="right"/>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 xml:space="preserve">             101      </w:t>
            </w:r>
          </w:p>
        </w:tc>
        <w:tc>
          <w:tcPr>
            <w:tcW w:w="1386" w:type="dxa"/>
            <w:tcBorders>
              <w:top w:val="nil"/>
              <w:left w:val="nil"/>
              <w:bottom w:val="nil"/>
              <w:right w:val="nil"/>
            </w:tcBorders>
            <w:shd w:val="clear" w:color="000000" w:fill="DCE6F1"/>
            <w:noWrap/>
            <w:vAlign w:val="center"/>
            <w:hideMark/>
          </w:tcPr>
          <w:p w:rsidR="00751674" w:rsidRPr="0069701C" w:rsidRDefault="00751674" w:rsidP="00751674">
            <w:pPr>
              <w:spacing w:after="0" w:line="240" w:lineRule="auto"/>
              <w:jc w:val="right"/>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 xml:space="preserve">               33      </w:t>
            </w:r>
          </w:p>
        </w:tc>
        <w:tc>
          <w:tcPr>
            <w:tcW w:w="1562" w:type="dxa"/>
            <w:tcBorders>
              <w:top w:val="nil"/>
              <w:left w:val="nil"/>
              <w:bottom w:val="nil"/>
              <w:right w:val="nil"/>
            </w:tcBorders>
            <w:shd w:val="clear" w:color="000000" w:fill="DCE6F1"/>
            <w:noWrap/>
            <w:vAlign w:val="center"/>
            <w:hideMark/>
          </w:tcPr>
          <w:p w:rsidR="00751674" w:rsidRPr="0069701C" w:rsidRDefault="00751674" w:rsidP="00751674">
            <w:pPr>
              <w:spacing w:after="0" w:line="240" w:lineRule="auto"/>
              <w:jc w:val="center"/>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Latn-RS" w:eastAsia="sr-Latn-RS"/>
              </w:rPr>
              <w:t>306%</w:t>
            </w:r>
          </w:p>
        </w:tc>
      </w:tr>
      <w:tr w:rsidR="00751674" w:rsidRPr="00751674" w:rsidTr="00751674">
        <w:trPr>
          <w:trHeight w:val="294"/>
        </w:trPr>
        <w:tc>
          <w:tcPr>
            <w:tcW w:w="4756"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rPr>
                <w:rFonts w:ascii="Verdana" w:eastAsia="Times New Roman" w:hAnsi="Verdana" w:cs="Times New Roman"/>
                <w:bCs/>
                <w:color w:val="000000"/>
                <w:sz w:val="18"/>
                <w:szCs w:val="18"/>
                <w:lang w:val="sr-Latn-RS" w:eastAsia="sr-Latn-RS"/>
              </w:rPr>
            </w:pPr>
            <w:r w:rsidRPr="0069701C">
              <w:rPr>
                <w:rFonts w:ascii="Verdana" w:eastAsia="Times New Roman" w:hAnsi="Verdana" w:cs="Times New Roman"/>
                <w:bCs/>
                <w:color w:val="000000"/>
                <w:sz w:val="18"/>
                <w:szCs w:val="18"/>
                <w:lang w:val="sr-Cyrl-CS" w:eastAsia="sr-Latn-RS"/>
              </w:rPr>
              <w:t>Новчана средства чије је коришћење ограничено</w:t>
            </w:r>
          </w:p>
        </w:tc>
        <w:tc>
          <w:tcPr>
            <w:tcW w:w="1386"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right"/>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 xml:space="preserve">                -        </w:t>
            </w:r>
          </w:p>
        </w:tc>
        <w:tc>
          <w:tcPr>
            <w:tcW w:w="1386"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right"/>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 xml:space="preserve">       68.747      </w:t>
            </w:r>
          </w:p>
        </w:tc>
        <w:tc>
          <w:tcPr>
            <w:tcW w:w="1562"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Verdana" w:eastAsia="Times New Roman" w:hAnsi="Verdana" w:cs="Times New Roman"/>
                <w:color w:val="000000"/>
                <w:sz w:val="18"/>
                <w:szCs w:val="18"/>
                <w:lang w:val="sr-Latn-RS" w:eastAsia="sr-Latn-RS"/>
              </w:rPr>
            </w:pPr>
            <w:r w:rsidRPr="0069701C">
              <w:rPr>
                <w:rFonts w:ascii="Verdana" w:eastAsia="Times New Roman" w:hAnsi="Verdana" w:cs="Times New Roman"/>
                <w:color w:val="000000"/>
                <w:sz w:val="18"/>
                <w:szCs w:val="18"/>
                <w:lang w:val="sr-Cyrl-CS" w:eastAsia="sr-Latn-RS"/>
              </w:rPr>
              <w:t>0%</w:t>
            </w:r>
          </w:p>
        </w:tc>
      </w:tr>
      <w:tr w:rsidR="00751674" w:rsidRPr="00751674" w:rsidTr="00751674">
        <w:trPr>
          <w:trHeight w:val="294"/>
        </w:trPr>
        <w:tc>
          <w:tcPr>
            <w:tcW w:w="4756" w:type="dxa"/>
            <w:tcBorders>
              <w:top w:val="single" w:sz="8" w:space="0" w:color="4F81BD"/>
              <w:left w:val="nil"/>
              <w:bottom w:val="single" w:sz="8" w:space="0" w:color="4F81BD"/>
              <w:right w:val="nil"/>
            </w:tcBorders>
            <w:shd w:val="clear" w:color="auto" w:fill="auto"/>
            <w:vAlign w:val="center"/>
            <w:hideMark/>
          </w:tcPr>
          <w:p w:rsidR="00751674" w:rsidRPr="0069701C" w:rsidRDefault="00C32150" w:rsidP="00751674">
            <w:pPr>
              <w:spacing w:after="0" w:line="240" w:lineRule="auto"/>
              <w:rPr>
                <w:rFonts w:ascii="Verdana" w:eastAsia="Times New Roman" w:hAnsi="Verdana" w:cs="Times New Roman"/>
                <w:b/>
                <w:bCs/>
                <w:color w:val="000000"/>
                <w:sz w:val="16"/>
                <w:szCs w:val="16"/>
                <w:lang w:val="sr-Latn-RS" w:eastAsia="sr-Latn-RS"/>
              </w:rPr>
            </w:pPr>
            <w:r w:rsidRPr="0069701C">
              <w:rPr>
                <w:rFonts w:ascii="Verdana" w:eastAsia="Arial Unicode MS" w:hAnsi="Verdana" w:cs="Tahoma"/>
                <w:b/>
                <w:noProof/>
                <w:color w:val="000000" w:themeColor="text1"/>
                <w:sz w:val="16"/>
                <w:szCs w:val="16"/>
                <w:lang w:val="sr-Cyrl-CS"/>
              </w:rPr>
              <w:t>СВЕГА</w:t>
            </w:r>
          </w:p>
        </w:tc>
        <w:tc>
          <w:tcPr>
            <w:tcW w:w="1386" w:type="dxa"/>
            <w:tcBorders>
              <w:top w:val="single" w:sz="8" w:space="0" w:color="4F81BD"/>
              <w:left w:val="nil"/>
              <w:bottom w:val="single" w:sz="8" w:space="0" w:color="4F81BD"/>
              <w:right w:val="nil"/>
            </w:tcBorders>
            <w:shd w:val="clear" w:color="auto" w:fill="auto"/>
            <w:noWrap/>
            <w:vAlign w:val="center"/>
            <w:hideMark/>
          </w:tcPr>
          <w:p w:rsidR="00751674" w:rsidRPr="0069701C" w:rsidRDefault="00751674" w:rsidP="00751674">
            <w:pPr>
              <w:spacing w:after="0" w:line="240" w:lineRule="auto"/>
              <w:jc w:val="right"/>
              <w:rPr>
                <w:rFonts w:ascii="Verdana" w:eastAsia="Times New Roman" w:hAnsi="Verdana" w:cs="Times New Roman"/>
                <w:b/>
                <w:bCs/>
                <w:color w:val="000000"/>
                <w:sz w:val="16"/>
                <w:szCs w:val="16"/>
                <w:lang w:val="sr-Latn-RS" w:eastAsia="sr-Latn-RS"/>
              </w:rPr>
            </w:pPr>
            <w:r w:rsidRPr="0069701C">
              <w:rPr>
                <w:rFonts w:ascii="Verdana" w:eastAsia="Times New Roman" w:hAnsi="Verdana" w:cs="Times New Roman"/>
                <w:b/>
                <w:bCs/>
                <w:color w:val="000000"/>
                <w:sz w:val="16"/>
                <w:szCs w:val="16"/>
                <w:lang w:val="sr-Cyrl-CS" w:eastAsia="sr-Latn-RS"/>
              </w:rPr>
              <w:t xml:space="preserve">     382.642      </w:t>
            </w:r>
          </w:p>
        </w:tc>
        <w:tc>
          <w:tcPr>
            <w:tcW w:w="1386" w:type="dxa"/>
            <w:tcBorders>
              <w:top w:val="single" w:sz="8" w:space="0" w:color="4F81BD"/>
              <w:left w:val="nil"/>
              <w:bottom w:val="single" w:sz="8" w:space="0" w:color="4F81BD"/>
              <w:right w:val="nil"/>
            </w:tcBorders>
            <w:shd w:val="clear" w:color="auto" w:fill="auto"/>
            <w:noWrap/>
            <w:vAlign w:val="center"/>
            <w:hideMark/>
          </w:tcPr>
          <w:p w:rsidR="00751674" w:rsidRPr="0069701C" w:rsidRDefault="00751674" w:rsidP="00751674">
            <w:pPr>
              <w:spacing w:after="0" w:line="240" w:lineRule="auto"/>
              <w:jc w:val="right"/>
              <w:rPr>
                <w:rFonts w:ascii="Verdana" w:eastAsia="Times New Roman" w:hAnsi="Verdana" w:cs="Times New Roman"/>
                <w:b/>
                <w:bCs/>
                <w:color w:val="000000"/>
                <w:sz w:val="16"/>
                <w:szCs w:val="16"/>
                <w:lang w:val="sr-Latn-RS" w:eastAsia="sr-Latn-RS"/>
              </w:rPr>
            </w:pPr>
            <w:r w:rsidRPr="0069701C">
              <w:rPr>
                <w:rFonts w:ascii="Verdana" w:eastAsia="Times New Roman" w:hAnsi="Verdana" w:cs="Times New Roman"/>
                <w:b/>
                <w:bCs/>
                <w:color w:val="000000"/>
                <w:sz w:val="16"/>
                <w:szCs w:val="16"/>
                <w:lang w:val="sr-Cyrl-CS" w:eastAsia="sr-Latn-RS"/>
              </w:rPr>
              <w:t xml:space="preserve">     842.880      </w:t>
            </w:r>
          </w:p>
        </w:tc>
        <w:tc>
          <w:tcPr>
            <w:tcW w:w="1562" w:type="dxa"/>
            <w:tcBorders>
              <w:top w:val="single" w:sz="8" w:space="0" w:color="4F81BD"/>
              <w:left w:val="nil"/>
              <w:bottom w:val="single" w:sz="8" w:space="0" w:color="4F81BD"/>
              <w:right w:val="nil"/>
            </w:tcBorders>
            <w:shd w:val="clear" w:color="auto" w:fill="auto"/>
            <w:noWrap/>
            <w:vAlign w:val="center"/>
            <w:hideMark/>
          </w:tcPr>
          <w:p w:rsidR="00751674" w:rsidRPr="0069701C" w:rsidRDefault="00751674" w:rsidP="00751674">
            <w:pPr>
              <w:spacing w:after="0" w:line="240" w:lineRule="auto"/>
              <w:jc w:val="center"/>
              <w:rPr>
                <w:rFonts w:ascii="Verdana" w:eastAsia="Times New Roman" w:hAnsi="Verdana" w:cs="Times New Roman"/>
                <w:b/>
                <w:bCs/>
                <w:color w:val="000000"/>
                <w:sz w:val="16"/>
                <w:szCs w:val="16"/>
                <w:lang w:val="sr-Latn-RS" w:eastAsia="sr-Latn-RS"/>
              </w:rPr>
            </w:pPr>
            <w:r w:rsidRPr="0069701C">
              <w:rPr>
                <w:rFonts w:ascii="Verdana" w:eastAsia="Times New Roman" w:hAnsi="Verdana" w:cs="Times New Roman"/>
                <w:b/>
                <w:bCs/>
                <w:color w:val="000000"/>
                <w:sz w:val="16"/>
                <w:szCs w:val="16"/>
                <w:lang w:val="sr-Cyrl-CS" w:eastAsia="sr-Latn-RS"/>
              </w:rPr>
              <w:t>45%</w:t>
            </w:r>
          </w:p>
        </w:tc>
      </w:tr>
    </w:tbl>
    <w:p w:rsidR="00EB4F47" w:rsidRDefault="00751674" w:rsidP="00EB4F47">
      <w:pPr>
        <w:spacing w:before="120" w:after="120"/>
        <w:jc w:val="both"/>
        <w:rPr>
          <w:noProof/>
          <w:sz w:val="20"/>
          <w:szCs w:val="20"/>
          <w:lang w:val="sr-Cyrl-CS"/>
        </w:rPr>
      </w:pPr>
      <w:r>
        <w:rPr>
          <w:rFonts w:eastAsiaTheme="minorEastAsia"/>
          <w:b/>
          <w:i/>
          <w:noProof/>
          <w:color w:val="365F91" w:themeColor="accent1" w:themeShade="BF"/>
          <w:sz w:val="20"/>
          <w:lang w:val="sr-Cyrl-CS" w:eastAsia="ja-JP"/>
        </w:rPr>
        <w:t xml:space="preserve">       </w:t>
      </w:r>
      <w:r w:rsidR="0076189C" w:rsidRPr="00EB4F47">
        <w:rPr>
          <w:noProof/>
          <w:sz w:val="20"/>
          <w:szCs w:val="20"/>
          <w:lang w:val="sr-Cyrl-CS"/>
        </w:rPr>
        <w:t>У 201</w:t>
      </w:r>
      <w:r w:rsidR="00EB4F47" w:rsidRPr="00EB4F47">
        <w:rPr>
          <w:noProof/>
          <w:sz w:val="20"/>
          <w:szCs w:val="20"/>
          <w:lang w:val="sr-Cyrl-CS"/>
        </w:rPr>
        <w:t>5</w:t>
      </w:r>
      <w:r w:rsidR="0076189C" w:rsidRPr="00EB4F47">
        <w:rPr>
          <w:noProof/>
          <w:sz w:val="20"/>
          <w:szCs w:val="20"/>
          <w:lang w:val="sr-Cyrl-CS"/>
        </w:rPr>
        <w:t xml:space="preserve">. години је забележен пад депозита по виђењу за </w:t>
      </w:r>
      <w:r w:rsidR="00EB4F47" w:rsidRPr="00EB4F47">
        <w:rPr>
          <w:noProof/>
          <w:sz w:val="20"/>
          <w:szCs w:val="20"/>
          <w:lang w:val="sr-Cyrl-CS"/>
        </w:rPr>
        <w:t>55</w:t>
      </w:r>
      <w:r w:rsidR="0076189C" w:rsidRPr="00EB4F47">
        <w:rPr>
          <w:noProof/>
          <w:sz w:val="20"/>
          <w:szCs w:val="20"/>
          <w:lang w:val="sr-Cyrl-CS"/>
        </w:rPr>
        <w:t xml:space="preserve">%, највећим делом због </w:t>
      </w:r>
      <w:r w:rsidR="00EB4F47" w:rsidRPr="00EB4F47">
        <w:rPr>
          <w:noProof/>
          <w:sz w:val="20"/>
          <w:szCs w:val="20"/>
          <w:lang w:val="sr-Cyrl-CS"/>
        </w:rPr>
        <w:t>инвестирање</w:t>
      </w:r>
      <w:r w:rsidR="00EB4F47">
        <w:rPr>
          <w:noProof/>
          <w:sz w:val="20"/>
          <w:szCs w:val="20"/>
          <w:lang w:val="sr-Cyrl-CS"/>
        </w:rPr>
        <w:t xml:space="preserve"> у државне хартије од вредности и депозите због већих приноса.</w:t>
      </w:r>
    </w:p>
    <w:p w:rsidR="00EB4F47" w:rsidRDefault="00EB4F47" w:rsidP="00EB4F47">
      <w:pPr>
        <w:spacing w:before="120" w:after="120"/>
        <w:jc w:val="both"/>
        <w:rPr>
          <w:noProof/>
          <w:sz w:val="20"/>
          <w:szCs w:val="20"/>
          <w:lang w:val="sr-Cyrl-CS"/>
        </w:rPr>
      </w:pPr>
    </w:p>
    <w:p w:rsidR="0076189C" w:rsidRPr="005F78E3" w:rsidRDefault="0076189C" w:rsidP="003E587D">
      <w:pPr>
        <w:spacing w:before="120" w:after="120"/>
        <w:jc w:val="center"/>
        <w:rPr>
          <w:rFonts w:eastAsiaTheme="minorEastAsia"/>
          <w:b/>
          <w:i/>
          <w:noProof/>
          <w:color w:val="365F91" w:themeColor="accent1" w:themeShade="BF"/>
          <w:sz w:val="20"/>
          <w:lang w:val="sr-Cyrl-CS" w:eastAsia="ja-JP"/>
        </w:rPr>
      </w:pPr>
      <w:r w:rsidRPr="005F78E3">
        <w:rPr>
          <w:rFonts w:eastAsiaTheme="minorEastAsia"/>
          <w:b/>
          <w:i/>
          <w:noProof/>
          <w:color w:val="365F91" w:themeColor="accent1" w:themeShade="BF"/>
          <w:sz w:val="20"/>
          <w:lang w:val="sr-Cyrl-CS" w:eastAsia="ja-JP"/>
        </w:rPr>
        <w:t>Остварени приходи од инвестирања</w:t>
      </w:r>
    </w:p>
    <w:p w:rsidR="0076189C" w:rsidRPr="00F44D86" w:rsidRDefault="0076189C" w:rsidP="0076189C">
      <w:pPr>
        <w:jc w:val="right"/>
        <w:rPr>
          <w:noProof/>
          <w:sz w:val="18"/>
          <w:szCs w:val="18"/>
          <w:lang w:val="sr-Cyrl-CS" w:eastAsia="ar-SA"/>
        </w:rPr>
      </w:pPr>
      <w:r w:rsidRPr="00F44D86">
        <w:rPr>
          <w:noProof/>
          <w:sz w:val="18"/>
          <w:szCs w:val="18"/>
          <w:lang w:val="sr-Cyrl-CS" w:eastAsia="ar-SA"/>
        </w:rPr>
        <w:t>у 000</w:t>
      </w:r>
      <w:r w:rsidR="00911099" w:rsidRPr="00F44D86">
        <w:rPr>
          <w:noProof/>
          <w:sz w:val="18"/>
          <w:szCs w:val="18"/>
          <w:lang w:val="sr-Cyrl-CS" w:eastAsia="ar-SA"/>
        </w:rPr>
        <w:t xml:space="preserve"> </w:t>
      </w:r>
      <w:r w:rsidRPr="00F44D86">
        <w:rPr>
          <w:noProof/>
          <w:sz w:val="18"/>
          <w:szCs w:val="18"/>
          <w:lang w:val="sr-Cyrl-CS" w:eastAsia="ar-SA"/>
        </w:rPr>
        <w:t>РСД</w:t>
      </w:r>
    </w:p>
    <w:tbl>
      <w:tblPr>
        <w:tblW w:w="9280" w:type="dxa"/>
        <w:tblInd w:w="108" w:type="dxa"/>
        <w:tblLook w:val="04A0" w:firstRow="1" w:lastRow="0" w:firstColumn="1" w:lastColumn="0" w:noHBand="0" w:noVBand="1"/>
      </w:tblPr>
      <w:tblGrid>
        <w:gridCol w:w="2496"/>
        <w:gridCol w:w="1408"/>
        <w:gridCol w:w="1396"/>
        <w:gridCol w:w="1531"/>
        <w:gridCol w:w="1361"/>
        <w:gridCol w:w="1088"/>
      </w:tblGrid>
      <w:tr w:rsidR="00751674" w:rsidRPr="00751674" w:rsidTr="00C32150">
        <w:trPr>
          <w:trHeight w:val="424"/>
        </w:trPr>
        <w:tc>
          <w:tcPr>
            <w:tcW w:w="2496"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color w:val="000000"/>
                <w:sz w:val="20"/>
                <w:szCs w:val="20"/>
                <w:lang w:val="sr-Latn-RS" w:eastAsia="sr-Latn-RS"/>
              </w:rPr>
            </w:pPr>
            <w:r w:rsidRPr="00C32150">
              <w:rPr>
                <w:rFonts w:ascii="Calibri" w:eastAsia="Times New Roman" w:hAnsi="Calibri" w:cs="Times New Roman"/>
                <w:color w:val="000000"/>
                <w:sz w:val="20"/>
                <w:szCs w:val="20"/>
                <w:lang w:val="sr-Cyrl-CS" w:eastAsia="sr-Latn-RS"/>
              </w:rPr>
              <w:t>Позиција</w:t>
            </w:r>
          </w:p>
        </w:tc>
        <w:tc>
          <w:tcPr>
            <w:tcW w:w="1408"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color w:val="000000"/>
                <w:sz w:val="20"/>
                <w:szCs w:val="20"/>
                <w:lang w:val="sr-Latn-RS" w:eastAsia="sr-Latn-RS"/>
              </w:rPr>
            </w:pPr>
            <w:r w:rsidRPr="00C32150">
              <w:rPr>
                <w:rFonts w:ascii="Calibri" w:eastAsia="Times New Roman" w:hAnsi="Calibri" w:cs="Times New Roman"/>
                <w:color w:val="000000"/>
                <w:sz w:val="20"/>
                <w:szCs w:val="20"/>
                <w:lang w:val="sr-Cyrl-CS" w:eastAsia="sr-Latn-RS"/>
              </w:rPr>
              <w:t>31.12.2015.</w:t>
            </w:r>
          </w:p>
        </w:tc>
        <w:tc>
          <w:tcPr>
            <w:tcW w:w="1396"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color w:val="000000"/>
                <w:sz w:val="20"/>
                <w:szCs w:val="20"/>
                <w:lang w:val="sr-Latn-RS" w:eastAsia="sr-Latn-RS"/>
              </w:rPr>
            </w:pPr>
            <w:r w:rsidRPr="00C32150">
              <w:rPr>
                <w:rFonts w:ascii="Calibri" w:eastAsia="Times New Roman" w:hAnsi="Calibri" w:cs="Times New Roman"/>
                <w:color w:val="000000"/>
                <w:sz w:val="20"/>
                <w:szCs w:val="20"/>
                <w:lang w:val="sr-Cyrl-CS" w:eastAsia="sr-Latn-RS"/>
              </w:rPr>
              <w:t>структура у %</w:t>
            </w:r>
          </w:p>
        </w:tc>
        <w:tc>
          <w:tcPr>
            <w:tcW w:w="1531"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color w:val="000000"/>
                <w:sz w:val="20"/>
                <w:szCs w:val="20"/>
                <w:lang w:val="sr-Latn-RS" w:eastAsia="sr-Latn-RS"/>
              </w:rPr>
            </w:pPr>
            <w:r w:rsidRPr="00C32150">
              <w:rPr>
                <w:rFonts w:ascii="Calibri" w:eastAsia="Times New Roman" w:hAnsi="Calibri" w:cs="Times New Roman"/>
                <w:color w:val="000000"/>
                <w:sz w:val="20"/>
                <w:szCs w:val="20"/>
                <w:lang w:val="sr-Cyrl-CS" w:eastAsia="sr-Latn-RS"/>
              </w:rPr>
              <w:t>31.12.2014.</w:t>
            </w:r>
          </w:p>
        </w:tc>
        <w:tc>
          <w:tcPr>
            <w:tcW w:w="1361"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color w:val="000000"/>
                <w:sz w:val="20"/>
                <w:szCs w:val="20"/>
                <w:lang w:val="sr-Latn-RS" w:eastAsia="sr-Latn-RS"/>
              </w:rPr>
            </w:pPr>
            <w:r w:rsidRPr="00C32150">
              <w:rPr>
                <w:rFonts w:ascii="Calibri" w:eastAsia="Times New Roman" w:hAnsi="Calibri" w:cs="Times New Roman"/>
                <w:color w:val="000000"/>
                <w:sz w:val="20"/>
                <w:szCs w:val="20"/>
                <w:lang w:val="sr-Cyrl-CS" w:eastAsia="sr-Latn-RS"/>
              </w:rPr>
              <w:t>структура у %</w:t>
            </w:r>
          </w:p>
        </w:tc>
        <w:tc>
          <w:tcPr>
            <w:tcW w:w="1088"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color w:val="000000"/>
                <w:sz w:val="20"/>
                <w:szCs w:val="20"/>
                <w:lang w:val="sr-Latn-RS" w:eastAsia="sr-Latn-RS"/>
              </w:rPr>
            </w:pPr>
            <w:r w:rsidRPr="00C32150">
              <w:rPr>
                <w:rFonts w:ascii="Calibri" w:eastAsia="Times New Roman" w:hAnsi="Calibri" w:cs="Times New Roman"/>
                <w:color w:val="000000"/>
                <w:sz w:val="20"/>
                <w:szCs w:val="20"/>
                <w:lang w:val="sr-Cyrl-CS" w:eastAsia="sr-Latn-RS"/>
              </w:rPr>
              <w:t>Индекс</w:t>
            </w:r>
          </w:p>
        </w:tc>
      </w:tr>
      <w:tr w:rsidR="00751674" w:rsidRPr="00751674" w:rsidTr="00751674">
        <w:trPr>
          <w:trHeight w:val="315"/>
        </w:trPr>
        <w:tc>
          <w:tcPr>
            <w:tcW w:w="2496" w:type="dxa"/>
            <w:tcBorders>
              <w:top w:val="nil"/>
              <w:left w:val="nil"/>
              <w:bottom w:val="nil"/>
              <w:right w:val="nil"/>
            </w:tcBorders>
            <w:shd w:val="clear" w:color="auto" w:fill="auto"/>
            <w:vAlign w:val="center"/>
            <w:hideMark/>
          </w:tcPr>
          <w:p w:rsidR="00751674" w:rsidRPr="0069701C" w:rsidRDefault="00751674" w:rsidP="00751674">
            <w:pPr>
              <w:spacing w:after="0" w:line="240" w:lineRule="auto"/>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Камата</w:t>
            </w:r>
          </w:p>
        </w:tc>
        <w:tc>
          <w:tcPr>
            <w:tcW w:w="1408" w:type="dxa"/>
            <w:tcBorders>
              <w:top w:val="nil"/>
              <w:left w:val="nil"/>
              <w:bottom w:val="nil"/>
              <w:right w:val="nil"/>
            </w:tcBorders>
            <w:shd w:val="clear" w:color="auto" w:fill="auto"/>
            <w:noWrap/>
            <w:vAlign w:val="bottom"/>
            <w:hideMark/>
          </w:tcPr>
          <w:p w:rsidR="00751674" w:rsidRPr="0069701C" w:rsidRDefault="00751674" w:rsidP="00751674">
            <w:pPr>
              <w:spacing w:after="0" w:line="240" w:lineRule="auto"/>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 xml:space="preserve">           43.227      </w:t>
            </w:r>
          </w:p>
        </w:tc>
        <w:tc>
          <w:tcPr>
            <w:tcW w:w="1396"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47%</w:t>
            </w:r>
          </w:p>
        </w:tc>
        <w:tc>
          <w:tcPr>
            <w:tcW w:w="1531"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 xml:space="preserve">              49.996      </w:t>
            </w:r>
          </w:p>
        </w:tc>
        <w:tc>
          <w:tcPr>
            <w:tcW w:w="1361"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32%</w:t>
            </w:r>
          </w:p>
        </w:tc>
        <w:tc>
          <w:tcPr>
            <w:tcW w:w="1088"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86%</w:t>
            </w:r>
          </w:p>
        </w:tc>
      </w:tr>
      <w:tr w:rsidR="00751674" w:rsidRPr="00751674" w:rsidTr="00751674">
        <w:trPr>
          <w:trHeight w:val="315"/>
        </w:trPr>
        <w:tc>
          <w:tcPr>
            <w:tcW w:w="2496"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Позитивне курсне разлике</w:t>
            </w:r>
          </w:p>
        </w:tc>
        <w:tc>
          <w:tcPr>
            <w:tcW w:w="1408" w:type="dxa"/>
            <w:tcBorders>
              <w:top w:val="nil"/>
              <w:left w:val="nil"/>
              <w:bottom w:val="nil"/>
              <w:right w:val="nil"/>
            </w:tcBorders>
            <w:shd w:val="clear" w:color="auto" w:fill="auto"/>
            <w:noWrap/>
            <w:vAlign w:val="bottom"/>
            <w:hideMark/>
          </w:tcPr>
          <w:p w:rsidR="00751674" w:rsidRPr="0069701C" w:rsidRDefault="00751674" w:rsidP="00751674">
            <w:pPr>
              <w:spacing w:after="0" w:line="240" w:lineRule="auto"/>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 xml:space="preserve">           49.382      </w:t>
            </w:r>
          </w:p>
        </w:tc>
        <w:tc>
          <w:tcPr>
            <w:tcW w:w="1396"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53%</w:t>
            </w:r>
          </w:p>
        </w:tc>
        <w:tc>
          <w:tcPr>
            <w:tcW w:w="1531"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 xml:space="preserve">           105.706      </w:t>
            </w:r>
          </w:p>
        </w:tc>
        <w:tc>
          <w:tcPr>
            <w:tcW w:w="1361"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68%</w:t>
            </w:r>
          </w:p>
        </w:tc>
        <w:tc>
          <w:tcPr>
            <w:tcW w:w="1088" w:type="dxa"/>
            <w:tcBorders>
              <w:top w:val="nil"/>
              <w:left w:val="nil"/>
              <w:bottom w:val="nil"/>
              <w:right w:val="nil"/>
            </w:tcBorders>
            <w:shd w:val="clear" w:color="auto" w:fill="auto"/>
            <w:noWrap/>
            <w:vAlign w:val="center"/>
            <w:hideMark/>
          </w:tcPr>
          <w:p w:rsidR="00751674" w:rsidRPr="0069701C" w:rsidRDefault="00751674" w:rsidP="00751674">
            <w:pPr>
              <w:spacing w:after="0" w:line="240" w:lineRule="auto"/>
              <w:jc w:val="center"/>
              <w:rPr>
                <w:rFonts w:ascii="Calibri" w:eastAsia="Times New Roman" w:hAnsi="Calibri" w:cs="Times New Roman"/>
                <w:color w:val="000000"/>
                <w:sz w:val="18"/>
                <w:szCs w:val="18"/>
                <w:lang w:val="sr-Latn-RS" w:eastAsia="sr-Latn-RS"/>
              </w:rPr>
            </w:pPr>
            <w:r w:rsidRPr="0069701C">
              <w:rPr>
                <w:rFonts w:ascii="Calibri" w:eastAsia="Times New Roman" w:hAnsi="Calibri" w:cs="Times New Roman"/>
                <w:color w:val="000000"/>
                <w:sz w:val="18"/>
                <w:szCs w:val="18"/>
                <w:lang w:val="sr-Cyrl-CS" w:eastAsia="sr-Latn-RS"/>
              </w:rPr>
              <w:t>47%</w:t>
            </w:r>
          </w:p>
        </w:tc>
      </w:tr>
      <w:tr w:rsidR="00751674" w:rsidRPr="00751674" w:rsidTr="00751674">
        <w:trPr>
          <w:trHeight w:val="315"/>
        </w:trPr>
        <w:tc>
          <w:tcPr>
            <w:tcW w:w="2496"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rPr>
                <w:rFonts w:ascii="Calibri" w:eastAsia="Times New Roman" w:hAnsi="Calibri" w:cs="Times New Roman"/>
                <w:b/>
                <w:bCs/>
                <w:color w:val="000000"/>
                <w:sz w:val="20"/>
                <w:szCs w:val="20"/>
                <w:lang w:val="sr-Latn-RS" w:eastAsia="sr-Latn-RS"/>
              </w:rPr>
            </w:pPr>
            <w:r w:rsidRPr="00C32150">
              <w:rPr>
                <w:rFonts w:ascii="Calibri" w:eastAsia="Times New Roman" w:hAnsi="Calibri" w:cs="Times New Roman"/>
                <w:b/>
                <w:bCs/>
                <w:color w:val="000000"/>
                <w:sz w:val="20"/>
                <w:szCs w:val="20"/>
                <w:lang w:val="sr-Cyrl-CS" w:eastAsia="sr-Latn-RS"/>
              </w:rPr>
              <w:t>Укупно</w:t>
            </w:r>
          </w:p>
        </w:tc>
        <w:tc>
          <w:tcPr>
            <w:tcW w:w="1408" w:type="dxa"/>
            <w:tcBorders>
              <w:top w:val="single" w:sz="8" w:space="0" w:color="4F81BD"/>
              <w:left w:val="nil"/>
              <w:bottom w:val="single" w:sz="8" w:space="0" w:color="4F81BD"/>
              <w:right w:val="nil"/>
            </w:tcBorders>
            <w:shd w:val="clear" w:color="auto" w:fill="auto"/>
            <w:noWrap/>
            <w:vAlign w:val="bottom"/>
            <w:hideMark/>
          </w:tcPr>
          <w:p w:rsidR="00751674" w:rsidRPr="00C32150" w:rsidRDefault="00751674" w:rsidP="00751674">
            <w:pPr>
              <w:spacing w:after="0" w:line="240" w:lineRule="auto"/>
              <w:rPr>
                <w:rFonts w:ascii="Calibri" w:eastAsia="Times New Roman" w:hAnsi="Calibri" w:cs="Times New Roman"/>
                <w:b/>
                <w:bCs/>
                <w:color w:val="000000"/>
                <w:sz w:val="20"/>
                <w:szCs w:val="20"/>
                <w:lang w:val="sr-Latn-RS" w:eastAsia="sr-Latn-RS"/>
              </w:rPr>
            </w:pPr>
            <w:r w:rsidRPr="00C32150">
              <w:rPr>
                <w:rFonts w:ascii="Calibri" w:eastAsia="Times New Roman" w:hAnsi="Calibri" w:cs="Times New Roman"/>
                <w:b/>
                <w:bCs/>
                <w:color w:val="000000"/>
                <w:sz w:val="20"/>
                <w:szCs w:val="20"/>
                <w:lang w:val="sr-Cyrl-CS" w:eastAsia="sr-Latn-RS"/>
              </w:rPr>
              <w:t xml:space="preserve">           92.609      </w:t>
            </w:r>
          </w:p>
        </w:tc>
        <w:tc>
          <w:tcPr>
            <w:tcW w:w="1396"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b/>
                <w:bCs/>
                <w:color w:val="000000"/>
                <w:sz w:val="20"/>
                <w:szCs w:val="20"/>
                <w:lang w:val="sr-Latn-RS" w:eastAsia="sr-Latn-RS"/>
              </w:rPr>
            </w:pPr>
            <w:r w:rsidRPr="00C32150">
              <w:rPr>
                <w:rFonts w:ascii="Calibri" w:eastAsia="Times New Roman" w:hAnsi="Calibri" w:cs="Times New Roman"/>
                <w:b/>
                <w:bCs/>
                <w:color w:val="000000"/>
                <w:sz w:val="20"/>
                <w:szCs w:val="20"/>
                <w:lang w:val="sr-Cyrl-CS" w:eastAsia="sr-Latn-RS"/>
              </w:rPr>
              <w:t>100%</w:t>
            </w:r>
          </w:p>
        </w:tc>
        <w:tc>
          <w:tcPr>
            <w:tcW w:w="1531" w:type="dxa"/>
            <w:tcBorders>
              <w:top w:val="single" w:sz="8" w:space="0" w:color="4F81BD"/>
              <w:left w:val="nil"/>
              <w:bottom w:val="single" w:sz="8" w:space="0" w:color="4F81BD"/>
              <w:right w:val="nil"/>
            </w:tcBorders>
            <w:shd w:val="clear" w:color="auto" w:fill="auto"/>
            <w:noWrap/>
            <w:vAlign w:val="center"/>
            <w:hideMark/>
          </w:tcPr>
          <w:p w:rsidR="00751674" w:rsidRPr="00C32150" w:rsidRDefault="00751674" w:rsidP="00751674">
            <w:pPr>
              <w:spacing w:after="0" w:line="240" w:lineRule="auto"/>
              <w:jc w:val="center"/>
              <w:rPr>
                <w:rFonts w:ascii="Calibri" w:eastAsia="Times New Roman" w:hAnsi="Calibri" w:cs="Times New Roman"/>
                <w:b/>
                <w:bCs/>
                <w:color w:val="000000"/>
                <w:sz w:val="20"/>
                <w:szCs w:val="20"/>
                <w:lang w:val="sr-Latn-RS" w:eastAsia="sr-Latn-RS"/>
              </w:rPr>
            </w:pPr>
            <w:r w:rsidRPr="00C32150">
              <w:rPr>
                <w:rFonts w:ascii="Calibri" w:eastAsia="Times New Roman" w:hAnsi="Calibri" w:cs="Times New Roman"/>
                <w:b/>
                <w:bCs/>
                <w:color w:val="000000"/>
                <w:sz w:val="20"/>
                <w:szCs w:val="20"/>
                <w:lang w:val="sr-Cyrl-CS" w:eastAsia="sr-Latn-RS"/>
              </w:rPr>
              <w:t xml:space="preserve">           155.702      </w:t>
            </w:r>
          </w:p>
        </w:tc>
        <w:tc>
          <w:tcPr>
            <w:tcW w:w="1361"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b/>
                <w:bCs/>
                <w:color w:val="000000"/>
                <w:sz w:val="20"/>
                <w:szCs w:val="20"/>
                <w:lang w:val="sr-Latn-RS" w:eastAsia="sr-Latn-RS"/>
              </w:rPr>
            </w:pPr>
            <w:r w:rsidRPr="00C32150">
              <w:rPr>
                <w:rFonts w:ascii="Calibri" w:eastAsia="Times New Roman" w:hAnsi="Calibri" w:cs="Times New Roman"/>
                <w:b/>
                <w:bCs/>
                <w:color w:val="000000"/>
                <w:sz w:val="20"/>
                <w:szCs w:val="20"/>
                <w:lang w:val="sr-Cyrl-CS" w:eastAsia="sr-Latn-RS"/>
              </w:rPr>
              <w:t>100.00%</w:t>
            </w:r>
          </w:p>
        </w:tc>
        <w:tc>
          <w:tcPr>
            <w:tcW w:w="1088" w:type="dxa"/>
            <w:tcBorders>
              <w:top w:val="single" w:sz="8" w:space="0" w:color="4F81BD"/>
              <w:left w:val="nil"/>
              <w:bottom w:val="single" w:sz="8" w:space="0" w:color="4F81BD"/>
              <w:right w:val="nil"/>
            </w:tcBorders>
            <w:shd w:val="clear" w:color="auto" w:fill="auto"/>
            <w:vAlign w:val="center"/>
            <w:hideMark/>
          </w:tcPr>
          <w:p w:rsidR="00751674" w:rsidRPr="00C32150" w:rsidRDefault="00751674" w:rsidP="00751674">
            <w:pPr>
              <w:spacing w:after="0" w:line="240" w:lineRule="auto"/>
              <w:jc w:val="center"/>
              <w:rPr>
                <w:rFonts w:ascii="Calibri" w:eastAsia="Times New Roman" w:hAnsi="Calibri" w:cs="Times New Roman"/>
                <w:b/>
                <w:bCs/>
                <w:color w:val="000000"/>
                <w:sz w:val="20"/>
                <w:szCs w:val="20"/>
                <w:lang w:val="sr-Latn-RS" w:eastAsia="sr-Latn-RS"/>
              </w:rPr>
            </w:pPr>
            <w:r w:rsidRPr="00C32150">
              <w:rPr>
                <w:rFonts w:ascii="Calibri" w:eastAsia="Times New Roman" w:hAnsi="Calibri" w:cs="Times New Roman"/>
                <w:b/>
                <w:bCs/>
                <w:color w:val="000000"/>
                <w:sz w:val="20"/>
                <w:szCs w:val="20"/>
                <w:lang w:val="sr-Cyrl-CS" w:eastAsia="sr-Latn-RS"/>
              </w:rPr>
              <w:t>59%</w:t>
            </w:r>
          </w:p>
        </w:tc>
      </w:tr>
    </w:tbl>
    <w:p w:rsidR="00751674" w:rsidRPr="00BF3CDE" w:rsidRDefault="00751674" w:rsidP="0076189C">
      <w:pPr>
        <w:jc w:val="right"/>
        <w:rPr>
          <w:noProof/>
          <w:lang w:val="sr-Cyrl-CS" w:eastAsia="ar-SA"/>
        </w:rPr>
      </w:pPr>
    </w:p>
    <w:p w:rsidR="0076189C" w:rsidRDefault="0076189C" w:rsidP="00911099">
      <w:pPr>
        <w:spacing w:before="200"/>
        <w:jc w:val="both"/>
        <w:rPr>
          <w:noProof/>
          <w:sz w:val="20"/>
          <w:szCs w:val="20"/>
          <w:lang w:val="sr-Cyrl-CS"/>
        </w:rPr>
      </w:pPr>
      <w:r w:rsidRPr="00BF3CDE">
        <w:rPr>
          <w:noProof/>
          <w:sz w:val="20"/>
          <w:szCs w:val="20"/>
          <w:lang w:val="sr-Cyrl-CS"/>
        </w:rPr>
        <w:tab/>
      </w:r>
      <w:r w:rsidRPr="00EC2BCA">
        <w:rPr>
          <w:noProof/>
          <w:sz w:val="20"/>
          <w:szCs w:val="20"/>
          <w:lang w:val="sr-Cyrl-CS"/>
        </w:rPr>
        <w:t>Остварени приходи од инвестирања су у односу на 201</w:t>
      </w:r>
      <w:r w:rsidR="00EB4F47" w:rsidRPr="00EC2BCA">
        <w:rPr>
          <w:noProof/>
          <w:sz w:val="20"/>
          <w:szCs w:val="20"/>
          <w:lang w:val="sr-Cyrl-CS"/>
        </w:rPr>
        <w:t>4</w:t>
      </w:r>
      <w:r w:rsidRPr="00EC2BCA">
        <w:rPr>
          <w:noProof/>
          <w:sz w:val="20"/>
          <w:szCs w:val="20"/>
          <w:lang w:val="sr-Cyrl-CS"/>
        </w:rPr>
        <w:t xml:space="preserve">. годину </w:t>
      </w:r>
      <w:r w:rsidR="00EB4F47" w:rsidRPr="00EC2BCA">
        <w:rPr>
          <w:noProof/>
          <w:sz w:val="20"/>
          <w:szCs w:val="20"/>
          <w:lang w:val="sr-Cyrl-CS"/>
        </w:rPr>
        <w:t>мањи</w:t>
      </w:r>
      <w:r w:rsidRPr="00EC2BCA">
        <w:rPr>
          <w:noProof/>
          <w:sz w:val="20"/>
          <w:szCs w:val="20"/>
          <w:lang w:val="sr-Cyrl-CS"/>
        </w:rPr>
        <w:t xml:space="preserve"> за </w:t>
      </w:r>
      <w:r w:rsidR="00EB4F47" w:rsidRPr="00EC2BCA">
        <w:rPr>
          <w:noProof/>
          <w:sz w:val="20"/>
          <w:szCs w:val="20"/>
          <w:lang w:val="sr-Cyrl-CS"/>
        </w:rPr>
        <w:t>41</w:t>
      </w:r>
      <w:r w:rsidRPr="00EC2BCA">
        <w:rPr>
          <w:noProof/>
          <w:sz w:val="20"/>
          <w:szCs w:val="20"/>
          <w:lang w:val="sr-Cyrl-CS"/>
        </w:rPr>
        <w:t xml:space="preserve">%, међутим ако посматрамо структуру она је значајно повољнија јер је учешће прихода од камата </w:t>
      </w:r>
      <w:r w:rsidR="00EB4F47" w:rsidRPr="00EC2BCA">
        <w:rPr>
          <w:noProof/>
          <w:sz w:val="20"/>
          <w:szCs w:val="20"/>
          <w:lang w:val="sr-Cyrl-CS"/>
        </w:rPr>
        <w:t>веће</w:t>
      </w:r>
      <w:r w:rsidRPr="00EC2BCA">
        <w:rPr>
          <w:noProof/>
          <w:sz w:val="20"/>
          <w:szCs w:val="20"/>
          <w:lang w:val="sr-Cyrl-CS"/>
        </w:rPr>
        <w:t xml:space="preserve"> за скоро </w:t>
      </w:r>
      <w:r w:rsidR="003E587D">
        <w:rPr>
          <w:noProof/>
          <w:sz w:val="20"/>
          <w:szCs w:val="20"/>
          <w:lang w:val="sr-Cyrl-CS"/>
        </w:rPr>
        <w:t>15</w:t>
      </w:r>
      <w:r w:rsidRPr="00EC2BCA">
        <w:rPr>
          <w:noProof/>
          <w:sz w:val="20"/>
          <w:szCs w:val="20"/>
          <w:lang w:val="sr-Cyrl-CS"/>
        </w:rPr>
        <w:t>%</w:t>
      </w:r>
      <w:r w:rsidR="00911099" w:rsidRPr="00EC2BCA">
        <w:rPr>
          <w:noProof/>
          <w:sz w:val="20"/>
          <w:szCs w:val="20"/>
          <w:lang w:val="sr-Cyrl-CS"/>
        </w:rPr>
        <w:t>.</w:t>
      </w:r>
      <w:r w:rsidR="00EC2BCA" w:rsidRPr="00EC2BCA">
        <w:rPr>
          <w:noProof/>
          <w:sz w:val="20"/>
          <w:szCs w:val="20"/>
          <w:lang w:val="sr-Cyrl-CS"/>
        </w:rPr>
        <w:t xml:space="preserve"> </w:t>
      </w:r>
    </w:p>
    <w:p w:rsidR="00CE7015" w:rsidRDefault="00CE7015" w:rsidP="00911099">
      <w:pPr>
        <w:spacing w:before="200"/>
        <w:jc w:val="both"/>
        <w:rPr>
          <w:noProof/>
          <w:sz w:val="20"/>
          <w:szCs w:val="20"/>
          <w:lang w:val="sr-Cyrl-CS"/>
        </w:rPr>
      </w:pPr>
    </w:p>
    <w:p w:rsidR="00CE7015" w:rsidRDefault="00CE7015" w:rsidP="00911099">
      <w:pPr>
        <w:spacing w:before="200"/>
        <w:jc w:val="both"/>
        <w:rPr>
          <w:noProof/>
          <w:sz w:val="20"/>
          <w:szCs w:val="20"/>
          <w:lang w:val="sr-Cyrl-CS"/>
        </w:rPr>
      </w:pPr>
    </w:p>
    <w:p w:rsidR="00CE7015" w:rsidRPr="00BF3CDE" w:rsidRDefault="00CE7015" w:rsidP="00911099">
      <w:pPr>
        <w:spacing w:before="200"/>
        <w:jc w:val="both"/>
        <w:rPr>
          <w:noProof/>
          <w:sz w:val="20"/>
          <w:szCs w:val="20"/>
          <w:lang w:val="sr-Cyrl-CS"/>
        </w:rPr>
      </w:pPr>
    </w:p>
    <w:p w:rsidR="0076189C" w:rsidRPr="00BF3CDE" w:rsidRDefault="0076189C" w:rsidP="00F44D86">
      <w:pPr>
        <w:spacing w:before="120" w:after="120"/>
        <w:jc w:val="center"/>
        <w:rPr>
          <w:b/>
          <w:i/>
          <w:noProof/>
          <w:color w:val="365F91" w:themeColor="accent1" w:themeShade="BF"/>
          <w:sz w:val="20"/>
          <w:lang w:val="sr-Cyrl-CS"/>
        </w:rPr>
      </w:pPr>
      <w:r w:rsidRPr="00BF3CDE">
        <w:rPr>
          <w:b/>
          <w:i/>
          <w:noProof/>
          <w:color w:val="365F91" w:themeColor="accent1" w:themeShade="BF"/>
          <w:sz w:val="20"/>
          <w:lang w:val="sr-Cyrl-CS"/>
        </w:rPr>
        <w:t>Приходи од камате</w:t>
      </w:r>
    </w:p>
    <w:p w:rsidR="0076189C" w:rsidRPr="00F44D86" w:rsidRDefault="0076189C" w:rsidP="008148F4">
      <w:pPr>
        <w:spacing w:after="60"/>
        <w:jc w:val="right"/>
        <w:rPr>
          <w:noProof/>
          <w:sz w:val="18"/>
          <w:szCs w:val="18"/>
          <w:lang w:val="sr-Cyrl-CS" w:eastAsia="ar-SA"/>
        </w:rPr>
      </w:pPr>
      <w:r w:rsidRPr="00F44D86">
        <w:rPr>
          <w:noProof/>
          <w:sz w:val="18"/>
          <w:szCs w:val="18"/>
          <w:lang w:val="sr-Cyrl-CS" w:eastAsia="ar-SA"/>
        </w:rPr>
        <w:t>У 000</w:t>
      </w:r>
      <w:r w:rsidR="00911099" w:rsidRPr="00F44D86">
        <w:rPr>
          <w:noProof/>
          <w:sz w:val="18"/>
          <w:szCs w:val="18"/>
          <w:lang w:val="sr-Cyrl-CS" w:eastAsia="ar-SA"/>
        </w:rPr>
        <w:t xml:space="preserve"> </w:t>
      </w:r>
      <w:r w:rsidRPr="00F44D86">
        <w:rPr>
          <w:noProof/>
          <w:sz w:val="18"/>
          <w:szCs w:val="18"/>
          <w:lang w:val="sr-Cyrl-CS" w:eastAsia="ar-SA"/>
        </w:rPr>
        <w:t>РСД</w:t>
      </w:r>
    </w:p>
    <w:tbl>
      <w:tblPr>
        <w:tblW w:w="9277" w:type="dxa"/>
        <w:tblInd w:w="108" w:type="dxa"/>
        <w:tblLook w:val="04A0" w:firstRow="1" w:lastRow="0" w:firstColumn="1" w:lastColumn="0" w:noHBand="0" w:noVBand="1"/>
      </w:tblPr>
      <w:tblGrid>
        <w:gridCol w:w="3467"/>
        <w:gridCol w:w="1261"/>
        <w:gridCol w:w="1137"/>
        <w:gridCol w:w="1139"/>
        <w:gridCol w:w="1137"/>
        <w:gridCol w:w="1136"/>
      </w:tblGrid>
      <w:tr w:rsidR="00751674" w:rsidRPr="00751674" w:rsidTr="00F44D86">
        <w:trPr>
          <w:trHeight w:val="315"/>
        </w:trPr>
        <w:tc>
          <w:tcPr>
            <w:tcW w:w="3467" w:type="dxa"/>
            <w:tcBorders>
              <w:top w:val="single" w:sz="8" w:space="0" w:color="4F81BD"/>
              <w:left w:val="nil"/>
              <w:bottom w:val="single" w:sz="8" w:space="0" w:color="4F81BD"/>
              <w:right w:val="nil"/>
            </w:tcBorders>
            <w:shd w:val="clear" w:color="auto" w:fill="auto"/>
            <w:noWrap/>
            <w:vAlign w:val="center"/>
            <w:hideMark/>
          </w:tcPr>
          <w:p w:rsidR="00751674" w:rsidRPr="00F44D86" w:rsidRDefault="00751674" w:rsidP="00751674">
            <w:pPr>
              <w:spacing w:after="0" w:line="240" w:lineRule="auto"/>
              <w:jc w:val="center"/>
              <w:rPr>
                <w:rFonts w:ascii="Calibri" w:eastAsia="Times New Roman" w:hAnsi="Calibri" w:cs="Times New Roman"/>
                <w:bCs/>
                <w:color w:val="000000"/>
                <w:sz w:val="20"/>
                <w:szCs w:val="20"/>
                <w:lang w:val="sr-Latn-RS" w:eastAsia="sr-Latn-RS"/>
              </w:rPr>
            </w:pPr>
            <w:r w:rsidRPr="00F44D86">
              <w:rPr>
                <w:rFonts w:ascii="Calibri" w:eastAsia="Times New Roman" w:hAnsi="Calibri" w:cs="Times New Roman"/>
                <w:bCs/>
                <w:color w:val="000000"/>
                <w:sz w:val="20"/>
                <w:szCs w:val="20"/>
                <w:lang w:val="sr-Cyrl-CS" w:eastAsia="sr-Latn-RS"/>
              </w:rPr>
              <w:t>Позиција</w:t>
            </w:r>
          </w:p>
        </w:tc>
        <w:tc>
          <w:tcPr>
            <w:tcW w:w="1261" w:type="dxa"/>
            <w:tcBorders>
              <w:top w:val="single" w:sz="8" w:space="0" w:color="4F81BD"/>
              <w:left w:val="nil"/>
              <w:bottom w:val="single" w:sz="8" w:space="0" w:color="4F81BD"/>
              <w:right w:val="nil"/>
            </w:tcBorders>
            <w:shd w:val="clear" w:color="auto" w:fill="auto"/>
            <w:vAlign w:val="center"/>
            <w:hideMark/>
          </w:tcPr>
          <w:p w:rsidR="00751674" w:rsidRPr="00F44D86" w:rsidRDefault="00751674" w:rsidP="00751674">
            <w:pPr>
              <w:spacing w:after="0" w:line="240" w:lineRule="auto"/>
              <w:jc w:val="center"/>
              <w:rPr>
                <w:rFonts w:ascii="Calibri" w:eastAsia="Times New Roman" w:hAnsi="Calibri" w:cs="Times New Roman"/>
                <w:bCs/>
                <w:color w:val="000000"/>
                <w:sz w:val="20"/>
                <w:szCs w:val="20"/>
                <w:lang w:val="sr-Latn-RS" w:eastAsia="sr-Latn-RS"/>
              </w:rPr>
            </w:pPr>
            <w:r w:rsidRPr="00F44D86">
              <w:rPr>
                <w:rFonts w:ascii="Calibri" w:eastAsia="Times New Roman" w:hAnsi="Calibri" w:cs="Times New Roman"/>
                <w:bCs/>
                <w:color w:val="000000"/>
                <w:sz w:val="20"/>
                <w:szCs w:val="20"/>
                <w:lang w:val="sr-Cyrl-CS" w:eastAsia="sr-Latn-RS"/>
              </w:rPr>
              <w:t>31.12.2015.</w:t>
            </w:r>
          </w:p>
        </w:tc>
        <w:tc>
          <w:tcPr>
            <w:tcW w:w="1137" w:type="dxa"/>
            <w:tcBorders>
              <w:top w:val="single" w:sz="8" w:space="0" w:color="4F81BD"/>
              <w:left w:val="nil"/>
              <w:bottom w:val="single" w:sz="8" w:space="0" w:color="4F81BD"/>
              <w:right w:val="nil"/>
            </w:tcBorders>
            <w:shd w:val="clear" w:color="auto" w:fill="auto"/>
            <w:vAlign w:val="center"/>
            <w:hideMark/>
          </w:tcPr>
          <w:p w:rsidR="00751674" w:rsidRPr="00F44D86" w:rsidRDefault="00751674" w:rsidP="00751674">
            <w:pPr>
              <w:spacing w:after="0" w:line="240" w:lineRule="auto"/>
              <w:jc w:val="center"/>
              <w:rPr>
                <w:rFonts w:ascii="Calibri" w:eastAsia="Times New Roman" w:hAnsi="Calibri" w:cs="Times New Roman"/>
                <w:bCs/>
                <w:color w:val="000000"/>
                <w:sz w:val="20"/>
                <w:szCs w:val="20"/>
                <w:lang w:val="sr-Latn-RS" w:eastAsia="sr-Latn-RS"/>
              </w:rPr>
            </w:pPr>
            <w:r w:rsidRPr="00F44D86">
              <w:rPr>
                <w:rFonts w:ascii="Calibri" w:eastAsia="Times New Roman" w:hAnsi="Calibri" w:cs="Times New Roman"/>
                <w:bCs/>
                <w:color w:val="000000"/>
                <w:sz w:val="20"/>
                <w:szCs w:val="20"/>
                <w:lang w:val="sr-Cyrl-CS" w:eastAsia="sr-Latn-RS"/>
              </w:rPr>
              <w:t>структура у %</w:t>
            </w:r>
          </w:p>
        </w:tc>
        <w:tc>
          <w:tcPr>
            <w:tcW w:w="1139" w:type="dxa"/>
            <w:tcBorders>
              <w:top w:val="single" w:sz="8" w:space="0" w:color="4F81BD"/>
              <w:left w:val="nil"/>
              <w:bottom w:val="single" w:sz="8" w:space="0" w:color="4F81BD"/>
              <w:right w:val="nil"/>
            </w:tcBorders>
            <w:shd w:val="clear" w:color="auto" w:fill="auto"/>
            <w:vAlign w:val="center"/>
            <w:hideMark/>
          </w:tcPr>
          <w:p w:rsidR="00751674" w:rsidRPr="00F44D86" w:rsidRDefault="00751674" w:rsidP="00751674">
            <w:pPr>
              <w:spacing w:after="0" w:line="240" w:lineRule="auto"/>
              <w:jc w:val="center"/>
              <w:rPr>
                <w:rFonts w:ascii="Calibri" w:eastAsia="Times New Roman" w:hAnsi="Calibri" w:cs="Times New Roman"/>
                <w:bCs/>
                <w:color w:val="000000"/>
                <w:sz w:val="20"/>
                <w:szCs w:val="20"/>
                <w:lang w:val="sr-Latn-RS" w:eastAsia="sr-Latn-RS"/>
              </w:rPr>
            </w:pPr>
            <w:r w:rsidRPr="00F44D86">
              <w:rPr>
                <w:rFonts w:ascii="Calibri" w:eastAsia="Times New Roman" w:hAnsi="Calibri" w:cs="Times New Roman"/>
                <w:bCs/>
                <w:color w:val="000000"/>
                <w:sz w:val="20"/>
                <w:szCs w:val="20"/>
                <w:lang w:val="sr-Cyrl-CS" w:eastAsia="sr-Latn-RS"/>
              </w:rPr>
              <w:t>31.12. 2014.</w:t>
            </w:r>
          </w:p>
        </w:tc>
        <w:tc>
          <w:tcPr>
            <w:tcW w:w="1137" w:type="dxa"/>
            <w:tcBorders>
              <w:top w:val="single" w:sz="8" w:space="0" w:color="4F81BD"/>
              <w:left w:val="nil"/>
              <w:bottom w:val="single" w:sz="8" w:space="0" w:color="4F81BD"/>
              <w:right w:val="nil"/>
            </w:tcBorders>
            <w:shd w:val="clear" w:color="auto" w:fill="auto"/>
            <w:vAlign w:val="center"/>
            <w:hideMark/>
          </w:tcPr>
          <w:p w:rsidR="00751674" w:rsidRPr="00F44D86" w:rsidRDefault="00751674" w:rsidP="00751674">
            <w:pPr>
              <w:spacing w:after="0" w:line="240" w:lineRule="auto"/>
              <w:jc w:val="center"/>
              <w:rPr>
                <w:rFonts w:ascii="Calibri" w:eastAsia="Times New Roman" w:hAnsi="Calibri" w:cs="Times New Roman"/>
                <w:bCs/>
                <w:color w:val="000000"/>
                <w:sz w:val="20"/>
                <w:szCs w:val="20"/>
                <w:lang w:val="sr-Latn-RS" w:eastAsia="sr-Latn-RS"/>
              </w:rPr>
            </w:pPr>
            <w:r w:rsidRPr="00F44D86">
              <w:rPr>
                <w:rFonts w:ascii="Calibri" w:eastAsia="Times New Roman" w:hAnsi="Calibri" w:cs="Times New Roman"/>
                <w:bCs/>
                <w:color w:val="000000"/>
                <w:sz w:val="20"/>
                <w:szCs w:val="20"/>
                <w:lang w:val="sr-Cyrl-CS" w:eastAsia="sr-Latn-RS"/>
              </w:rPr>
              <w:t>структура у %</w:t>
            </w:r>
          </w:p>
        </w:tc>
        <w:tc>
          <w:tcPr>
            <w:tcW w:w="1136" w:type="dxa"/>
            <w:tcBorders>
              <w:top w:val="single" w:sz="8" w:space="0" w:color="4F81BD"/>
              <w:left w:val="nil"/>
              <w:bottom w:val="single" w:sz="8" w:space="0" w:color="4F81BD"/>
              <w:right w:val="nil"/>
            </w:tcBorders>
            <w:shd w:val="clear" w:color="auto" w:fill="auto"/>
            <w:vAlign w:val="center"/>
            <w:hideMark/>
          </w:tcPr>
          <w:p w:rsidR="00751674" w:rsidRPr="00F44D86" w:rsidRDefault="00751674" w:rsidP="00751674">
            <w:pPr>
              <w:spacing w:after="0" w:line="240" w:lineRule="auto"/>
              <w:jc w:val="center"/>
              <w:rPr>
                <w:rFonts w:ascii="Calibri" w:eastAsia="Times New Roman" w:hAnsi="Calibri" w:cs="Times New Roman"/>
                <w:bCs/>
                <w:color w:val="000000"/>
                <w:sz w:val="20"/>
                <w:szCs w:val="20"/>
                <w:lang w:val="sr-Latn-RS" w:eastAsia="sr-Latn-RS"/>
              </w:rPr>
            </w:pPr>
            <w:r w:rsidRPr="00F44D86">
              <w:rPr>
                <w:rFonts w:ascii="Calibri" w:eastAsia="Times New Roman" w:hAnsi="Calibri" w:cs="Times New Roman"/>
                <w:bCs/>
                <w:color w:val="000000"/>
                <w:sz w:val="20"/>
                <w:szCs w:val="20"/>
                <w:lang w:val="sr-Cyrl-CS" w:eastAsia="sr-Latn-RS"/>
              </w:rPr>
              <w:t>Индекс</w:t>
            </w:r>
          </w:p>
        </w:tc>
      </w:tr>
      <w:tr w:rsidR="00751674" w:rsidRPr="00751674" w:rsidTr="00F44D86">
        <w:trPr>
          <w:trHeight w:val="243"/>
        </w:trPr>
        <w:tc>
          <w:tcPr>
            <w:tcW w:w="346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Камата на динарске деп. по виђењу</w:t>
            </w:r>
          </w:p>
        </w:tc>
        <w:tc>
          <w:tcPr>
            <w:tcW w:w="1261"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1.463      </w:t>
            </w:r>
          </w:p>
        </w:tc>
        <w:tc>
          <w:tcPr>
            <w:tcW w:w="113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3,38%</w:t>
            </w:r>
          </w:p>
        </w:tc>
        <w:tc>
          <w:tcPr>
            <w:tcW w:w="1139"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3.263      </w:t>
            </w:r>
          </w:p>
        </w:tc>
        <w:tc>
          <w:tcPr>
            <w:tcW w:w="113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6.53%</w:t>
            </w:r>
          </w:p>
        </w:tc>
        <w:tc>
          <w:tcPr>
            <w:tcW w:w="1136"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44,84%</w:t>
            </w:r>
          </w:p>
        </w:tc>
      </w:tr>
      <w:tr w:rsidR="00751674" w:rsidRPr="00751674" w:rsidTr="00F44D86">
        <w:trPr>
          <w:trHeight w:val="243"/>
        </w:trPr>
        <w:tc>
          <w:tcPr>
            <w:tcW w:w="346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Камата на девизне деп. по виђењу</w:t>
            </w:r>
          </w:p>
        </w:tc>
        <w:tc>
          <w:tcPr>
            <w:tcW w:w="1261"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3.831      </w:t>
            </w:r>
          </w:p>
        </w:tc>
        <w:tc>
          <w:tcPr>
            <w:tcW w:w="113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8,86%</w:t>
            </w:r>
          </w:p>
        </w:tc>
        <w:tc>
          <w:tcPr>
            <w:tcW w:w="1139"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11.552      </w:t>
            </w:r>
          </w:p>
        </w:tc>
        <w:tc>
          <w:tcPr>
            <w:tcW w:w="113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23.11%</w:t>
            </w:r>
          </w:p>
        </w:tc>
        <w:tc>
          <w:tcPr>
            <w:tcW w:w="1136"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33,16%</w:t>
            </w:r>
          </w:p>
        </w:tc>
      </w:tr>
      <w:tr w:rsidR="00751674" w:rsidRPr="00751674" w:rsidTr="00F44D86">
        <w:trPr>
          <w:trHeight w:val="243"/>
        </w:trPr>
        <w:tc>
          <w:tcPr>
            <w:tcW w:w="346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Камата на орочене динарске депозите</w:t>
            </w:r>
          </w:p>
        </w:tc>
        <w:tc>
          <w:tcPr>
            <w:tcW w:w="1261"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5.166      </w:t>
            </w:r>
          </w:p>
        </w:tc>
        <w:tc>
          <w:tcPr>
            <w:tcW w:w="113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11,95%</w:t>
            </w:r>
          </w:p>
        </w:tc>
        <w:tc>
          <w:tcPr>
            <w:tcW w:w="1139"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2.524      </w:t>
            </w:r>
          </w:p>
        </w:tc>
        <w:tc>
          <w:tcPr>
            <w:tcW w:w="113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5.05%</w:t>
            </w:r>
          </w:p>
        </w:tc>
        <w:tc>
          <w:tcPr>
            <w:tcW w:w="1136"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204,68%</w:t>
            </w:r>
          </w:p>
        </w:tc>
      </w:tr>
      <w:tr w:rsidR="00751674" w:rsidRPr="00751674" w:rsidTr="00F44D86">
        <w:trPr>
          <w:trHeight w:val="243"/>
        </w:trPr>
        <w:tc>
          <w:tcPr>
            <w:tcW w:w="346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Камата на орочене девизне депозите</w:t>
            </w:r>
          </w:p>
        </w:tc>
        <w:tc>
          <w:tcPr>
            <w:tcW w:w="1261"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1      </w:t>
            </w:r>
          </w:p>
        </w:tc>
        <w:tc>
          <w:tcPr>
            <w:tcW w:w="113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0,00%</w:t>
            </w:r>
          </w:p>
        </w:tc>
        <w:tc>
          <w:tcPr>
            <w:tcW w:w="1139"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11.062      </w:t>
            </w:r>
          </w:p>
        </w:tc>
        <w:tc>
          <w:tcPr>
            <w:tcW w:w="113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22.13%</w:t>
            </w:r>
          </w:p>
        </w:tc>
        <w:tc>
          <w:tcPr>
            <w:tcW w:w="1136"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0,01%</w:t>
            </w:r>
          </w:p>
        </w:tc>
      </w:tr>
      <w:tr w:rsidR="00751674" w:rsidRPr="00751674" w:rsidTr="00F44D86">
        <w:trPr>
          <w:trHeight w:val="243"/>
        </w:trPr>
        <w:tc>
          <w:tcPr>
            <w:tcW w:w="346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Камата на државне записе</w:t>
            </w:r>
          </w:p>
        </w:tc>
        <w:tc>
          <w:tcPr>
            <w:tcW w:w="1261"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13.083      </w:t>
            </w:r>
          </w:p>
        </w:tc>
        <w:tc>
          <w:tcPr>
            <w:tcW w:w="113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30,27%</w:t>
            </w:r>
          </w:p>
        </w:tc>
        <w:tc>
          <w:tcPr>
            <w:tcW w:w="1139"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9.928      </w:t>
            </w:r>
          </w:p>
        </w:tc>
        <w:tc>
          <w:tcPr>
            <w:tcW w:w="1137"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19.86%</w:t>
            </w:r>
          </w:p>
        </w:tc>
        <w:tc>
          <w:tcPr>
            <w:tcW w:w="1136" w:type="dxa"/>
            <w:tcBorders>
              <w:top w:val="nil"/>
              <w:left w:val="nil"/>
              <w:bottom w:val="nil"/>
              <w:right w:val="nil"/>
            </w:tcBorders>
            <w:shd w:val="clear" w:color="000000" w:fill="D3DFEE"/>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131,78%</w:t>
            </w:r>
          </w:p>
        </w:tc>
      </w:tr>
      <w:tr w:rsidR="00751674" w:rsidRPr="00751674" w:rsidTr="00F44D86">
        <w:trPr>
          <w:trHeight w:val="255"/>
        </w:trPr>
        <w:tc>
          <w:tcPr>
            <w:tcW w:w="346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Камата на обвезнице</w:t>
            </w:r>
          </w:p>
        </w:tc>
        <w:tc>
          <w:tcPr>
            <w:tcW w:w="1261"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19.683      </w:t>
            </w:r>
          </w:p>
        </w:tc>
        <w:tc>
          <w:tcPr>
            <w:tcW w:w="113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45,53%</w:t>
            </w:r>
          </w:p>
        </w:tc>
        <w:tc>
          <w:tcPr>
            <w:tcW w:w="1139"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11.667      </w:t>
            </w:r>
          </w:p>
        </w:tc>
        <w:tc>
          <w:tcPr>
            <w:tcW w:w="1137"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23.34%</w:t>
            </w:r>
          </w:p>
        </w:tc>
        <w:tc>
          <w:tcPr>
            <w:tcW w:w="1136" w:type="dxa"/>
            <w:tcBorders>
              <w:top w:val="nil"/>
              <w:left w:val="nil"/>
              <w:bottom w:val="nil"/>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168,71%</w:t>
            </w:r>
          </w:p>
        </w:tc>
      </w:tr>
      <w:tr w:rsidR="00751674" w:rsidRPr="00F44D86" w:rsidTr="00F44D86">
        <w:trPr>
          <w:trHeight w:val="255"/>
        </w:trPr>
        <w:tc>
          <w:tcPr>
            <w:tcW w:w="3467" w:type="dxa"/>
            <w:tcBorders>
              <w:top w:val="single" w:sz="8" w:space="0" w:color="4F81BD"/>
              <w:left w:val="nil"/>
              <w:bottom w:val="single" w:sz="8" w:space="0" w:color="4F81BD"/>
              <w:right w:val="nil"/>
            </w:tcBorders>
            <w:shd w:val="clear" w:color="auto" w:fill="auto"/>
            <w:noWrap/>
            <w:vAlign w:val="center"/>
            <w:hideMark/>
          </w:tcPr>
          <w:p w:rsidR="00751674" w:rsidRPr="00F44D86" w:rsidRDefault="00751674" w:rsidP="00F44D86">
            <w:pPr>
              <w:spacing w:after="0" w:line="240" w:lineRule="auto"/>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Укупно</w:t>
            </w:r>
          </w:p>
        </w:tc>
        <w:tc>
          <w:tcPr>
            <w:tcW w:w="1261" w:type="dxa"/>
            <w:tcBorders>
              <w:top w:val="single" w:sz="8" w:space="0" w:color="4F81BD"/>
              <w:left w:val="nil"/>
              <w:bottom w:val="single" w:sz="8" w:space="0" w:color="4F81BD"/>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 xml:space="preserve">          43.227      </w:t>
            </w:r>
          </w:p>
        </w:tc>
        <w:tc>
          <w:tcPr>
            <w:tcW w:w="1137" w:type="dxa"/>
            <w:tcBorders>
              <w:top w:val="single" w:sz="8" w:space="0" w:color="4F81BD"/>
              <w:left w:val="nil"/>
              <w:bottom w:val="single" w:sz="8" w:space="0" w:color="4F81BD"/>
              <w:right w:val="nil"/>
            </w:tcBorders>
            <w:shd w:val="clear" w:color="auto" w:fill="auto"/>
            <w:noWrap/>
            <w:vAlign w:val="center"/>
            <w:hideMark/>
          </w:tcPr>
          <w:p w:rsidR="00751674" w:rsidRPr="00F44D86" w:rsidRDefault="00751674" w:rsidP="00751674">
            <w:pPr>
              <w:spacing w:after="0" w:line="240" w:lineRule="auto"/>
              <w:jc w:val="center"/>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100.00%</w:t>
            </w:r>
          </w:p>
        </w:tc>
        <w:tc>
          <w:tcPr>
            <w:tcW w:w="1139" w:type="dxa"/>
            <w:tcBorders>
              <w:top w:val="single" w:sz="8" w:space="0" w:color="4F81BD"/>
              <w:left w:val="nil"/>
              <w:bottom w:val="single" w:sz="8" w:space="0" w:color="4F81BD"/>
              <w:right w:val="nil"/>
            </w:tcBorders>
            <w:shd w:val="clear" w:color="auto" w:fill="auto"/>
            <w:noWrap/>
            <w:vAlign w:val="center"/>
            <w:hideMark/>
          </w:tcPr>
          <w:p w:rsidR="00751674" w:rsidRPr="00F44D86" w:rsidRDefault="00F44D86" w:rsidP="00751674">
            <w:pPr>
              <w:spacing w:after="0" w:line="240" w:lineRule="auto"/>
              <w:jc w:val="right"/>
              <w:rPr>
                <w:rFonts w:ascii="Calibri" w:eastAsia="Times New Roman" w:hAnsi="Calibri" w:cs="Times New Roman"/>
                <w:b/>
                <w:bCs/>
                <w:color w:val="000000"/>
                <w:sz w:val="20"/>
                <w:szCs w:val="20"/>
                <w:lang w:val="sr-Latn-RS" w:eastAsia="sr-Latn-RS"/>
              </w:rPr>
            </w:pPr>
            <w:r>
              <w:rPr>
                <w:rFonts w:ascii="Calibri" w:eastAsia="Times New Roman" w:hAnsi="Calibri" w:cs="Times New Roman"/>
                <w:b/>
                <w:bCs/>
                <w:color w:val="000000"/>
                <w:sz w:val="20"/>
                <w:szCs w:val="20"/>
                <w:lang w:val="sr-Cyrl-CS" w:eastAsia="sr-Latn-RS"/>
              </w:rPr>
              <w:t xml:space="preserve">        </w:t>
            </w:r>
            <w:r w:rsidR="00751674" w:rsidRPr="00F44D86">
              <w:rPr>
                <w:rFonts w:ascii="Calibri" w:eastAsia="Times New Roman" w:hAnsi="Calibri" w:cs="Times New Roman"/>
                <w:b/>
                <w:bCs/>
                <w:color w:val="000000"/>
                <w:sz w:val="20"/>
                <w:szCs w:val="20"/>
                <w:lang w:val="sr-Cyrl-CS" w:eastAsia="sr-Latn-RS"/>
              </w:rPr>
              <w:t xml:space="preserve">49.996      </w:t>
            </w:r>
          </w:p>
        </w:tc>
        <w:tc>
          <w:tcPr>
            <w:tcW w:w="1137" w:type="dxa"/>
            <w:tcBorders>
              <w:top w:val="single" w:sz="8" w:space="0" w:color="4F81BD"/>
              <w:left w:val="nil"/>
              <w:bottom w:val="single" w:sz="8" w:space="0" w:color="4F81BD"/>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100.00%</w:t>
            </w:r>
          </w:p>
        </w:tc>
        <w:tc>
          <w:tcPr>
            <w:tcW w:w="1136" w:type="dxa"/>
            <w:tcBorders>
              <w:top w:val="single" w:sz="8" w:space="0" w:color="4F81BD"/>
              <w:left w:val="nil"/>
              <w:bottom w:val="single" w:sz="8" w:space="0" w:color="4F81BD"/>
              <w:right w:val="nil"/>
            </w:tcBorders>
            <w:shd w:val="clear" w:color="auto" w:fill="auto"/>
            <w:noWrap/>
            <w:vAlign w:val="center"/>
            <w:hideMark/>
          </w:tcPr>
          <w:p w:rsidR="00751674" w:rsidRPr="00F44D86" w:rsidRDefault="00751674" w:rsidP="00751674">
            <w:pPr>
              <w:spacing w:after="0" w:line="240" w:lineRule="auto"/>
              <w:jc w:val="right"/>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86,46%</w:t>
            </w:r>
          </w:p>
        </w:tc>
      </w:tr>
    </w:tbl>
    <w:p w:rsidR="00751674" w:rsidRPr="00BF3CDE" w:rsidRDefault="00751674" w:rsidP="00BF6376">
      <w:pPr>
        <w:spacing w:after="60"/>
        <w:rPr>
          <w:noProof/>
          <w:lang w:val="sr-Cyrl-CS" w:eastAsia="ar-SA"/>
        </w:rPr>
      </w:pPr>
      <w:r>
        <w:rPr>
          <w:noProof/>
          <w:lang w:val="sr-Cyrl-CS" w:eastAsia="ar-SA"/>
        </w:rPr>
        <w:t xml:space="preserve">  </w:t>
      </w:r>
    </w:p>
    <w:p w:rsidR="0076189C" w:rsidRPr="00BF3CDE" w:rsidRDefault="0076189C" w:rsidP="0076189C">
      <w:pPr>
        <w:jc w:val="both"/>
        <w:rPr>
          <w:noProof/>
          <w:sz w:val="6"/>
          <w:szCs w:val="6"/>
          <w:lang w:val="sr-Cyrl-CS"/>
        </w:rPr>
      </w:pPr>
    </w:p>
    <w:p w:rsidR="0076189C" w:rsidRPr="00EC2BCA" w:rsidRDefault="0076189C" w:rsidP="00D50EE5">
      <w:pPr>
        <w:spacing w:before="240" w:after="240"/>
        <w:ind w:firstLine="709"/>
        <w:jc w:val="both"/>
        <w:rPr>
          <w:noProof/>
          <w:sz w:val="20"/>
          <w:szCs w:val="20"/>
          <w:lang w:val="sr-Cyrl-CS"/>
        </w:rPr>
      </w:pPr>
      <w:r w:rsidRPr="00EC2BCA">
        <w:rPr>
          <w:noProof/>
          <w:sz w:val="20"/>
          <w:szCs w:val="20"/>
          <w:lang w:val="sr-Cyrl-CS"/>
        </w:rPr>
        <w:t xml:space="preserve">Остварени приходи од камате су мањи у односу на претходну годину за </w:t>
      </w:r>
      <w:r w:rsidR="00EC2BCA" w:rsidRPr="00EC2BCA">
        <w:rPr>
          <w:noProof/>
          <w:sz w:val="20"/>
          <w:szCs w:val="20"/>
          <w:lang w:val="sr-Cyrl-CS"/>
        </w:rPr>
        <w:t>14%</w:t>
      </w:r>
      <w:r w:rsidRPr="00EC2BCA">
        <w:rPr>
          <w:noProof/>
          <w:sz w:val="20"/>
          <w:szCs w:val="20"/>
          <w:lang w:val="sr-Cyrl-CS"/>
        </w:rPr>
        <w:t xml:space="preserve"> што је последица наставка негативног тренда пада каматних стопа из претходних година</w:t>
      </w:r>
      <w:r w:rsidR="00EC2BCA" w:rsidRPr="00EC2BCA">
        <w:rPr>
          <w:noProof/>
          <w:sz w:val="20"/>
          <w:szCs w:val="20"/>
          <w:lang w:val="sr-Cyrl-CS"/>
        </w:rPr>
        <w:t>.</w:t>
      </w:r>
    </w:p>
    <w:p w:rsidR="0076189C" w:rsidRPr="00BF3CDE" w:rsidRDefault="00EC2BCA" w:rsidP="00D50EE5">
      <w:pPr>
        <w:spacing w:before="240" w:after="240"/>
        <w:ind w:firstLine="709"/>
        <w:jc w:val="both"/>
        <w:rPr>
          <w:noProof/>
          <w:sz w:val="20"/>
          <w:szCs w:val="20"/>
          <w:lang w:val="sr-Cyrl-CS"/>
        </w:rPr>
      </w:pPr>
      <w:r w:rsidRPr="00EC2BCA">
        <w:rPr>
          <w:noProof/>
          <w:sz w:val="20"/>
          <w:szCs w:val="20"/>
          <w:lang w:val="sr-Cyrl-CS"/>
        </w:rPr>
        <w:t>И поред пада каматних стопа које износе  у просеку 40%, Друштво је негативне ефекте ублажило спровођењем политике улагања у инструменте са највишим приносима у датом периоду водећи рачуна о рочној и валутној усклађености.</w:t>
      </w:r>
    </w:p>
    <w:p w:rsidR="0076189C" w:rsidRPr="00BF3CDE" w:rsidRDefault="0076189C" w:rsidP="00860C32">
      <w:pPr>
        <w:pStyle w:val="Heading1"/>
        <w:numPr>
          <w:ilvl w:val="2"/>
          <w:numId w:val="6"/>
        </w:numPr>
      </w:pPr>
      <w:bookmarkStart w:id="55" w:name="_Toc445975042"/>
      <w:r w:rsidRPr="00BF3CDE">
        <w:t>Остварени расходи од инвестирања</w:t>
      </w:r>
      <w:bookmarkEnd w:id="55"/>
    </w:p>
    <w:p w:rsidR="0076189C" w:rsidRPr="00F44D86" w:rsidRDefault="0076189C" w:rsidP="0076189C">
      <w:pPr>
        <w:jc w:val="right"/>
        <w:rPr>
          <w:noProof/>
          <w:sz w:val="18"/>
          <w:szCs w:val="18"/>
          <w:lang w:val="sr-Cyrl-CS" w:eastAsia="ar-SA"/>
        </w:rPr>
      </w:pPr>
      <w:r w:rsidRPr="00F44D86">
        <w:rPr>
          <w:noProof/>
          <w:sz w:val="18"/>
          <w:szCs w:val="18"/>
          <w:lang w:val="sr-Cyrl-CS" w:eastAsia="ar-SA"/>
        </w:rPr>
        <w:t>у 000 РСД</w:t>
      </w:r>
    </w:p>
    <w:tbl>
      <w:tblPr>
        <w:tblW w:w="9278" w:type="dxa"/>
        <w:tblInd w:w="108" w:type="dxa"/>
        <w:tblLook w:val="04A0" w:firstRow="1" w:lastRow="0" w:firstColumn="1" w:lastColumn="0" w:noHBand="0" w:noVBand="1"/>
      </w:tblPr>
      <w:tblGrid>
        <w:gridCol w:w="3703"/>
        <w:gridCol w:w="1248"/>
        <w:gridCol w:w="1096"/>
        <w:gridCol w:w="1248"/>
        <w:gridCol w:w="1096"/>
        <w:gridCol w:w="887"/>
      </w:tblGrid>
      <w:tr w:rsidR="00F44D86" w:rsidRPr="00F44D86" w:rsidTr="00F44D86">
        <w:trPr>
          <w:trHeight w:val="597"/>
        </w:trPr>
        <w:tc>
          <w:tcPr>
            <w:tcW w:w="3703" w:type="dxa"/>
            <w:tcBorders>
              <w:top w:val="single" w:sz="8" w:space="0" w:color="4F81BD"/>
              <w:left w:val="nil"/>
              <w:bottom w:val="single" w:sz="8" w:space="0" w:color="4F81BD"/>
              <w:right w:val="nil"/>
            </w:tcBorders>
            <w:shd w:val="clear" w:color="auto" w:fill="auto"/>
            <w:vAlign w:val="center"/>
            <w:hideMark/>
          </w:tcPr>
          <w:p w:rsidR="00F44D86" w:rsidRPr="00F44D86" w:rsidRDefault="00F44D86" w:rsidP="00F44D86">
            <w:pPr>
              <w:spacing w:after="0" w:line="240" w:lineRule="auto"/>
              <w:jc w:val="center"/>
              <w:rPr>
                <w:rFonts w:ascii="Calibri" w:eastAsia="Times New Roman" w:hAnsi="Calibri" w:cs="Times New Roman"/>
                <w:color w:val="000000"/>
                <w:sz w:val="20"/>
                <w:szCs w:val="20"/>
                <w:lang w:val="sr-Latn-RS" w:eastAsia="sr-Latn-RS"/>
              </w:rPr>
            </w:pPr>
            <w:r w:rsidRPr="00F44D86">
              <w:rPr>
                <w:rFonts w:ascii="Calibri" w:eastAsia="Times New Roman" w:hAnsi="Calibri" w:cs="Times New Roman"/>
                <w:color w:val="000000"/>
                <w:sz w:val="20"/>
                <w:szCs w:val="20"/>
                <w:lang w:val="sr-Cyrl-CS" w:eastAsia="sr-Latn-RS"/>
              </w:rPr>
              <w:t>Позиција</w:t>
            </w:r>
          </w:p>
        </w:tc>
        <w:tc>
          <w:tcPr>
            <w:tcW w:w="1248" w:type="dxa"/>
            <w:tcBorders>
              <w:top w:val="single" w:sz="8" w:space="0" w:color="4F81BD"/>
              <w:left w:val="nil"/>
              <w:bottom w:val="single" w:sz="8" w:space="0" w:color="4F81BD"/>
              <w:right w:val="nil"/>
            </w:tcBorders>
            <w:shd w:val="clear" w:color="auto" w:fill="auto"/>
            <w:vAlign w:val="center"/>
            <w:hideMark/>
          </w:tcPr>
          <w:p w:rsidR="00F44D86" w:rsidRPr="00F44D86" w:rsidRDefault="00F44D86" w:rsidP="00F44D86">
            <w:pPr>
              <w:spacing w:after="0" w:line="240" w:lineRule="auto"/>
              <w:jc w:val="center"/>
              <w:rPr>
                <w:rFonts w:ascii="Calibri" w:eastAsia="Times New Roman" w:hAnsi="Calibri" w:cs="Times New Roman"/>
                <w:color w:val="000000"/>
                <w:sz w:val="20"/>
                <w:szCs w:val="20"/>
                <w:lang w:val="sr-Latn-RS" w:eastAsia="sr-Latn-RS"/>
              </w:rPr>
            </w:pPr>
            <w:r w:rsidRPr="00F44D86">
              <w:rPr>
                <w:rFonts w:ascii="Calibri" w:eastAsia="Times New Roman" w:hAnsi="Calibri" w:cs="Times New Roman"/>
                <w:color w:val="000000"/>
                <w:sz w:val="20"/>
                <w:szCs w:val="20"/>
                <w:lang w:val="sr-Cyrl-CS" w:eastAsia="sr-Latn-RS"/>
              </w:rPr>
              <w:t>31.12.2015.</w:t>
            </w:r>
          </w:p>
        </w:tc>
        <w:tc>
          <w:tcPr>
            <w:tcW w:w="1096" w:type="dxa"/>
            <w:tcBorders>
              <w:top w:val="single" w:sz="8" w:space="0" w:color="4F81BD"/>
              <w:left w:val="nil"/>
              <w:bottom w:val="single" w:sz="8" w:space="0" w:color="4F81BD"/>
              <w:right w:val="nil"/>
            </w:tcBorders>
            <w:shd w:val="clear" w:color="auto" w:fill="auto"/>
            <w:vAlign w:val="center"/>
            <w:hideMark/>
          </w:tcPr>
          <w:p w:rsidR="00F44D86" w:rsidRPr="00F44D86" w:rsidRDefault="00F44D86" w:rsidP="00F44D86">
            <w:pPr>
              <w:spacing w:after="0" w:line="240" w:lineRule="auto"/>
              <w:jc w:val="center"/>
              <w:rPr>
                <w:rFonts w:ascii="Calibri" w:eastAsia="Times New Roman" w:hAnsi="Calibri" w:cs="Times New Roman"/>
                <w:color w:val="000000"/>
                <w:sz w:val="20"/>
                <w:szCs w:val="20"/>
                <w:lang w:val="sr-Latn-RS" w:eastAsia="sr-Latn-RS"/>
              </w:rPr>
            </w:pPr>
            <w:r w:rsidRPr="00F44D86">
              <w:rPr>
                <w:rFonts w:ascii="Calibri" w:eastAsia="Times New Roman" w:hAnsi="Calibri" w:cs="Times New Roman"/>
                <w:color w:val="000000"/>
                <w:sz w:val="20"/>
                <w:szCs w:val="20"/>
                <w:lang w:val="sr-Cyrl-CS" w:eastAsia="sr-Latn-RS"/>
              </w:rPr>
              <w:t>структура у %</w:t>
            </w:r>
          </w:p>
        </w:tc>
        <w:tc>
          <w:tcPr>
            <w:tcW w:w="1248" w:type="dxa"/>
            <w:tcBorders>
              <w:top w:val="single" w:sz="8" w:space="0" w:color="4F81BD"/>
              <w:left w:val="nil"/>
              <w:bottom w:val="single" w:sz="8" w:space="0" w:color="4F81BD"/>
              <w:right w:val="nil"/>
            </w:tcBorders>
            <w:shd w:val="clear" w:color="auto" w:fill="auto"/>
            <w:vAlign w:val="center"/>
            <w:hideMark/>
          </w:tcPr>
          <w:p w:rsidR="00F44D86" w:rsidRPr="00F44D86" w:rsidRDefault="00F44D86" w:rsidP="00F44D86">
            <w:pPr>
              <w:spacing w:after="0" w:line="240" w:lineRule="auto"/>
              <w:jc w:val="center"/>
              <w:rPr>
                <w:rFonts w:ascii="Calibri" w:eastAsia="Times New Roman" w:hAnsi="Calibri" w:cs="Times New Roman"/>
                <w:color w:val="000000"/>
                <w:sz w:val="20"/>
                <w:szCs w:val="20"/>
                <w:lang w:val="sr-Latn-RS" w:eastAsia="sr-Latn-RS"/>
              </w:rPr>
            </w:pPr>
            <w:r w:rsidRPr="00F44D86">
              <w:rPr>
                <w:rFonts w:ascii="Calibri" w:eastAsia="Times New Roman" w:hAnsi="Calibri" w:cs="Times New Roman"/>
                <w:color w:val="000000"/>
                <w:sz w:val="20"/>
                <w:szCs w:val="20"/>
                <w:lang w:val="sr-Cyrl-CS" w:eastAsia="sr-Latn-RS"/>
              </w:rPr>
              <w:t>31.12.2014.</w:t>
            </w:r>
          </w:p>
        </w:tc>
        <w:tc>
          <w:tcPr>
            <w:tcW w:w="1096" w:type="dxa"/>
            <w:tcBorders>
              <w:top w:val="single" w:sz="8" w:space="0" w:color="4F81BD"/>
              <w:left w:val="nil"/>
              <w:bottom w:val="single" w:sz="8" w:space="0" w:color="4F81BD"/>
              <w:right w:val="nil"/>
            </w:tcBorders>
            <w:shd w:val="clear" w:color="auto" w:fill="auto"/>
            <w:vAlign w:val="center"/>
            <w:hideMark/>
          </w:tcPr>
          <w:p w:rsidR="00F44D86" w:rsidRPr="00F44D86" w:rsidRDefault="00F44D86" w:rsidP="00F44D86">
            <w:pPr>
              <w:spacing w:after="0" w:line="240" w:lineRule="auto"/>
              <w:jc w:val="center"/>
              <w:rPr>
                <w:rFonts w:ascii="Calibri" w:eastAsia="Times New Roman" w:hAnsi="Calibri" w:cs="Times New Roman"/>
                <w:color w:val="000000"/>
                <w:sz w:val="20"/>
                <w:szCs w:val="20"/>
                <w:lang w:val="sr-Latn-RS" w:eastAsia="sr-Latn-RS"/>
              </w:rPr>
            </w:pPr>
            <w:r w:rsidRPr="00F44D86">
              <w:rPr>
                <w:rFonts w:ascii="Calibri" w:eastAsia="Times New Roman" w:hAnsi="Calibri" w:cs="Times New Roman"/>
                <w:color w:val="000000"/>
                <w:sz w:val="20"/>
                <w:szCs w:val="20"/>
                <w:lang w:val="sr-Cyrl-CS" w:eastAsia="sr-Latn-RS"/>
              </w:rPr>
              <w:t>структура у %</w:t>
            </w:r>
          </w:p>
        </w:tc>
        <w:tc>
          <w:tcPr>
            <w:tcW w:w="887" w:type="dxa"/>
            <w:tcBorders>
              <w:top w:val="single" w:sz="8" w:space="0" w:color="4F81BD"/>
              <w:left w:val="nil"/>
              <w:bottom w:val="single" w:sz="8" w:space="0" w:color="4F81BD"/>
              <w:right w:val="nil"/>
            </w:tcBorders>
            <w:shd w:val="clear" w:color="auto" w:fill="auto"/>
            <w:vAlign w:val="center"/>
            <w:hideMark/>
          </w:tcPr>
          <w:p w:rsidR="00F44D86" w:rsidRPr="00F44D86" w:rsidRDefault="00F44D86" w:rsidP="00F44D86">
            <w:pPr>
              <w:spacing w:after="0" w:line="240" w:lineRule="auto"/>
              <w:jc w:val="center"/>
              <w:rPr>
                <w:rFonts w:ascii="Calibri" w:eastAsia="Times New Roman" w:hAnsi="Calibri" w:cs="Times New Roman"/>
                <w:color w:val="000000"/>
                <w:sz w:val="20"/>
                <w:szCs w:val="20"/>
                <w:lang w:val="sr-Latn-RS" w:eastAsia="sr-Latn-RS"/>
              </w:rPr>
            </w:pPr>
            <w:r w:rsidRPr="00F44D86">
              <w:rPr>
                <w:rFonts w:ascii="Calibri" w:eastAsia="Times New Roman" w:hAnsi="Calibri" w:cs="Times New Roman"/>
                <w:color w:val="000000"/>
                <w:sz w:val="20"/>
                <w:szCs w:val="20"/>
                <w:lang w:val="sr-Cyrl-CS" w:eastAsia="sr-Latn-RS"/>
              </w:rPr>
              <w:t>Индекс</w:t>
            </w:r>
          </w:p>
        </w:tc>
      </w:tr>
      <w:tr w:rsidR="00F44D86" w:rsidRPr="00F44D86" w:rsidTr="00F44D86">
        <w:trPr>
          <w:trHeight w:val="313"/>
        </w:trPr>
        <w:tc>
          <w:tcPr>
            <w:tcW w:w="3703"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Расходи по основу усклађивања вредности</w:t>
            </w:r>
          </w:p>
        </w:tc>
        <w:tc>
          <w:tcPr>
            <w:tcW w:w="1248"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47.742      </w:t>
            </w:r>
          </w:p>
        </w:tc>
        <w:tc>
          <w:tcPr>
            <w:tcW w:w="1096"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58%</w:t>
            </w:r>
          </w:p>
        </w:tc>
        <w:tc>
          <w:tcPr>
            <w:tcW w:w="1248"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172.074      </w:t>
            </w:r>
          </w:p>
        </w:tc>
        <w:tc>
          <w:tcPr>
            <w:tcW w:w="1096"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96%</w:t>
            </w:r>
          </w:p>
        </w:tc>
        <w:tc>
          <w:tcPr>
            <w:tcW w:w="887"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Pr>
                <w:rFonts w:ascii="Calibri" w:eastAsia="Times New Roman" w:hAnsi="Calibri" w:cs="Times New Roman"/>
                <w:color w:val="000000"/>
                <w:sz w:val="18"/>
                <w:szCs w:val="18"/>
                <w:lang w:val="sr-Cyrl-CS" w:eastAsia="sr-Latn-RS"/>
              </w:rPr>
              <w:t>27,75</w:t>
            </w:r>
            <w:r w:rsidRPr="00F44D86">
              <w:rPr>
                <w:rFonts w:ascii="Calibri" w:eastAsia="Times New Roman" w:hAnsi="Calibri" w:cs="Times New Roman"/>
                <w:color w:val="000000"/>
                <w:sz w:val="18"/>
                <w:szCs w:val="18"/>
                <w:lang w:val="sr-Cyrl-CS" w:eastAsia="sr-Latn-RS"/>
              </w:rPr>
              <w:t>%</w:t>
            </w:r>
          </w:p>
        </w:tc>
      </w:tr>
      <w:tr w:rsidR="00F44D86" w:rsidRPr="00F44D86" w:rsidTr="00F44D86">
        <w:trPr>
          <w:trHeight w:val="299"/>
        </w:trPr>
        <w:tc>
          <w:tcPr>
            <w:tcW w:w="3703" w:type="dxa"/>
            <w:tcBorders>
              <w:top w:val="nil"/>
              <w:left w:val="nil"/>
              <w:bottom w:val="nil"/>
              <w:right w:val="nil"/>
            </w:tcBorders>
            <w:shd w:val="clear" w:color="auto" w:fill="auto"/>
            <w:noWrap/>
            <w:vAlign w:val="center"/>
            <w:hideMark/>
          </w:tcPr>
          <w:p w:rsidR="00F44D86" w:rsidRPr="00F44D86" w:rsidRDefault="00F44D86" w:rsidP="00F44D86">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Негативне курсне разлике из активности инвестирања</w:t>
            </w:r>
          </w:p>
        </w:tc>
        <w:tc>
          <w:tcPr>
            <w:tcW w:w="1248" w:type="dxa"/>
            <w:tcBorders>
              <w:top w:val="nil"/>
              <w:left w:val="nil"/>
              <w:bottom w:val="nil"/>
              <w:right w:val="nil"/>
            </w:tcBorders>
            <w:shd w:val="clear" w:color="auto" w:fill="auto"/>
            <w:noWrap/>
            <w:vAlign w:val="center"/>
            <w:hideMark/>
          </w:tcPr>
          <w:p w:rsidR="00F44D86" w:rsidRPr="00F44D86" w:rsidRDefault="00F44D86" w:rsidP="00F44D86">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29.978      </w:t>
            </w:r>
          </w:p>
        </w:tc>
        <w:tc>
          <w:tcPr>
            <w:tcW w:w="1096" w:type="dxa"/>
            <w:tcBorders>
              <w:top w:val="nil"/>
              <w:left w:val="nil"/>
              <w:bottom w:val="nil"/>
              <w:right w:val="nil"/>
            </w:tcBorders>
            <w:shd w:val="clear" w:color="auto" w:fill="auto"/>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37%</w:t>
            </w:r>
          </w:p>
        </w:tc>
        <w:tc>
          <w:tcPr>
            <w:tcW w:w="1248" w:type="dxa"/>
            <w:tcBorders>
              <w:top w:val="nil"/>
              <w:left w:val="nil"/>
              <w:bottom w:val="nil"/>
              <w:right w:val="nil"/>
            </w:tcBorders>
            <w:shd w:val="clear" w:color="auto" w:fill="auto"/>
            <w:noWrap/>
            <w:vAlign w:val="center"/>
            <w:hideMark/>
          </w:tcPr>
          <w:p w:rsidR="00F44D86" w:rsidRPr="00F44D86" w:rsidRDefault="00F44D86" w:rsidP="00F44D86">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5.190      </w:t>
            </w:r>
          </w:p>
        </w:tc>
        <w:tc>
          <w:tcPr>
            <w:tcW w:w="1096" w:type="dxa"/>
            <w:tcBorders>
              <w:top w:val="nil"/>
              <w:left w:val="nil"/>
              <w:bottom w:val="nil"/>
              <w:right w:val="nil"/>
            </w:tcBorders>
            <w:shd w:val="clear" w:color="auto" w:fill="auto"/>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3%</w:t>
            </w:r>
          </w:p>
        </w:tc>
        <w:tc>
          <w:tcPr>
            <w:tcW w:w="887" w:type="dxa"/>
            <w:tcBorders>
              <w:top w:val="nil"/>
              <w:left w:val="nil"/>
              <w:bottom w:val="nil"/>
              <w:right w:val="nil"/>
            </w:tcBorders>
            <w:shd w:val="clear" w:color="auto" w:fill="auto"/>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Pr>
                <w:rFonts w:ascii="Calibri" w:eastAsia="Times New Roman" w:hAnsi="Calibri" w:cs="Times New Roman"/>
                <w:color w:val="000000"/>
                <w:sz w:val="18"/>
                <w:szCs w:val="18"/>
                <w:lang w:val="sr-Cyrl-CS" w:eastAsia="sr-Latn-RS"/>
              </w:rPr>
              <w:t>577,61</w:t>
            </w:r>
            <w:r w:rsidRPr="00F44D86">
              <w:rPr>
                <w:rFonts w:ascii="Calibri" w:eastAsia="Times New Roman" w:hAnsi="Calibri" w:cs="Times New Roman"/>
                <w:color w:val="000000"/>
                <w:sz w:val="18"/>
                <w:szCs w:val="18"/>
                <w:lang w:val="sr-Cyrl-CS" w:eastAsia="sr-Latn-RS"/>
              </w:rPr>
              <w:t>%</w:t>
            </w:r>
          </w:p>
        </w:tc>
      </w:tr>
      <w:tr w:rsidR="00F44D86" w:rsidRPr="00F44D86" w:rsidTr="00F44D86">
        <w:trPr>
          <w:trHeight w:val="313"/>
        </w:trPr>
        <w:tc>
          <w:tcPr>
            <w:tcW w:w="3703" w:type="dxa"/>
            <w:tcBorders>
              <w:top w:val="nil"/>
              <w:left w:val="nil"/>
              <w:bottom w:val="nil"/>
              <w:right w:val="nil"/>
            </w:tcBorders>
            <w:shd w:val="clear" w:color="auto" w:fill="C6D9F1" w:themeFill="text2" w:themeFillTint="33"/>
            <w:vAlign w:val="center"/>
            <w:hideMark/>
          </w:tcPr>
          <w:p w:rsidR="00F44D86" w:rsidRPr="00F44D86" w:rsidRDefault="00F44D86" w:rsidP="00F44D86">
            <w:pPr>
              <w:spacing w:after="0" w:line="240" w:lineRule="auto"/>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Остали расходи</w:t>
            </w:r>
          </w:p>
        </w:tc>
        <w:tc>
          <w:tcPr>
            <w:tcW w:w="1248"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4.202      </w:t>
            </w:r>
          </w:p>
        </w:tc>
        <w:tc>
          <w:tcPr>
            <w:tcW w:w="1096"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5%</w:t>
            </w:r>
          </w:p>
        </w:tc>
        <w:tc>
          <w:tcPr>
            <w:tcW w:w="1248"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right"/>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 xml:space="preserve">                2.383      </w:t>
            </w:r>
          </w:p>
        </w:tc>
        <w:tc>
          <w:tcPr>
            <w:tcW w:w="1096"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1%</w:t>
            </w:r>
          </w:p>
        </w:tc>
        <w:tc>
          <w:tcPr>
            <w:tcW w:w="887" w:type="dxa"/>
            <w:tcBorders>
              <w:top w:val="nil"/>
              <w:left w:val="nil"/>
              <w:bottom w:val="nil"/>
              <w:right w:val="nil"/>
            </w:tcBorders>
            <w:shd w:val="clear" w:color="auto" w:fill="C6D9F1" w:themeFill="text2" w:themeFillTint="33"/>
            <w:noWrap/>
            <w:vAlign w:val="center"/>
            <w:hideMark/>
          </w:tcPr>
          <w:p w:rsidR="00F44D86" w:rsidRPr="00F44D86" w:rsidRDefault="00F44D86" w:rsidP="00F44D86">
            <w:pPr>
              <w:spacing w:after="0" w:line="240" w:lineRule="auto"/>
              <w:jc w:val="center"/>
              <w:rPr>
                <w:rFonts w:ascii="Calibri" w:eastAsia="Times New Roman" w:hAnsi="Calibri" w:cs="Times New Roman"/>
                <w:color w:val="000000"/>
                <w:sz w:val="18"/>
                <w:szCs w:val="18"/>
                <w:lang w:val="sr-Latn-RS" w:eastAsia="sr-Latn-RS"/>
              </w:rPr>
            </w:pPr>
            <w:r w:rsidRPr="00F44D86">
              <w:rPr>
                <w:rFonts w:ascii="Calibri" w:eastAsia="Times New Roman" w:hAnsi="Calibri" w:cs="Times New Roman"/>
                <w:color w:val="000000"/>
                <w:sz w:val="18"/>
                <w:szCs w:val="18"/>
                <w:lang w:val="sr-Cyrl-CS" w:eastAsia="sr-Latn-RS"/>
              </w:rPr>
              <w:t>176</w:t>
            </w:r>
            <w:r>
              <w:rPr>
                <w:rFonts w:ascii="Calibri" w:eastAsia="Times New Roman" w:hAnsi="Calibri" w:cs="Times New Roman"/>
                <w:color w:val="000000"/>
                <w:sz w:val="18"/>
                <w:szCs w:val="18"/>
                <w:lang w:val="sr-Cyrl-CS" w:eastAsia="sr-Latn-RS"/>
              </w:rPr>
              <w:t>,33</w:t>
            </w:r>
            <w:r w:rsidRPr="00F44D86">
              <w:rPr>
                <w:rFonts w:ascii="Calibri" w:eastAsia="Times New Roman" w:hAnsi="Calibri" w:cs="Times New Roman"/>
                <w:color w:val="000000"/>
                <w:sz w:val="18"/>
                <w:szCs w:val="18"/>
                <w:lang w:val="sr-Cyrl-CS" w:eastAsia="sr-Latn-RS"/>
              </w:rPr>
              <w:t>%</w:t>
            </w:r>
          </w:p>
        </w:tc>
      </w:tr>
      <w:tr w:rsidR="00F44D86" w:rsidRPr="00F44D86" w:rsidTr="00F44D86">
        <w:trPr>
          <w:trHeight w:val="313"/>
        </w:trPr>
        <w:tc>
          <w:tcPr>
            <w:tcW w:w="3703" w:type="dxa"/>
            <w:tcBorders>
              <w:top w:val="single" w:sz="8" w:space="0" w:color="4F81BD"/>
              <w:left w:val="nil"/>
              <w:bottom w:val="single" w:sz="8" w:space="0" w:color="4F81BD"/>
              <w:right w:val="nil"/>
            </w:tcBorders>
            <w:shd w:val="clear" w:color="auto" w:fill="auto"/>
            <w:vAlign w:val="center"/>
            <w:hideMark/>
          </w:tcPr>
          <w:p w:rsidR="00F44D86" w:rsidRPr="00F44D86" w:rsidRDefault="00F44D86" w:rsidP="00F44D86">
            <w:pPr>
              <w:spacing w:after="0" w:line="240" w:lineRule="auto"/>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Укупно</w:t>
            </w:r>
          </w:p>
        </w:tc>
        <w:tc>
          <w:tcPr>
            <w:tcW w:w="1248" w:type="dxa"/>
            <w:tcBorders>
              <w:top w:val="single" w:sz="8" w:space="0" w:color="4F81BD"/>
              <w:left w:val="nil"/>
              <w:bottom w:val="single" w:sz="8" w:space="0" w:color="4F81BD"/>
              <w:right w:val="nil"/>
            </w:tcBorders>
            <w:shd w:val="clear" w:color="auto" w:fill="auto"/>
            <w:noWrap/>
            <w:vAlign w:val="center"/>
            <w:hideMark/>
          </w:tcPr>
          <w:p w:rsidR="00F44D86" w:rsidRPr="00F44D86" w:rsidRDefault="00F44D86" w:rsidP="00F44D86">
            <w:pPr>
              <w:spacing w:after="0" w:line="240" w:lineRule="auto"/>
              <w:jc w:val="right"/>
              <w:rPr>
                <w:rFonts w:ascii="Calibri" w:eastAsia="Times New Roman" w:hAnsi="Calibri" w:cs="Times New Roman"/>
                <w:b/>
                <w:bCs/>
                <w:color w:val="000000"/>
                <w:sz w:val="20"/>
                <w:szCs w:val="20"/>
                <w:lang w:val="sr-Latn-RS" w:eastAsia="sr-Latn-RS"/>
              </w:rPr>
            </w:pPr>
            <w:r>
              <w:rPr>
                <w:rFonts w:ascii="Calibri" w:eastAsia="Times New Roman" w:hAnsi="Calibri" w:cs="Times New Roman"/>
                <w:b/>
                <w:bCs/>
                <w:color w:val="000000"/>
                <w:sz w:val="20"/>
                <w:szCs w:val="20"/>
                <w:lang w:val="sr-Cyrl-CS" w:eastAsia="sr-Latn-RS"/>
              </w:rPr>
              <w:t xml:space="preserve">         </w:t>
            </w:r>
            <w:r w:rsidRPr="00F44D86">
              <w:rPr>
                <w:rFonts w:ascii="Calibri" w:eastAsia="Times New Roman" w:hAnsi="Calibri" w:cs="Times New Roman"/>
                <w:b/>
                <w:bCs/>
                <w:color w:val="000000"/>
                <w:sz w:val="20"/>
                <w:szCs w:val="20"/>
                <w:lang w:val="sr-Cyrl-CS" w:eastAsia="sr-Latn-RS"/>
              </w:rPr>
              <w:t xml:space="preserve">81.922      </w:t>
            </w:r>
          </w:p>
        </w:tc>
        <w:tc>
          <w:tcPr>
            <w:tcW w:w="1096" w:type="dxa"/>
            <w:tcBorders>
              <w:top w:val="single" w:sz="8" w:space="0" w:color="4F81BD"/>
              <w:left w:val="nil"/>
              <w:bottom w:val="single" w:sz="8" w:space="0" w:color="4F81BD"/>
              <w:right w:val="nil"/>
            </w:tcBorders>
            <w:shd w:val="clear" w:color="auto" w:fill="auto"/>
            <w:noWrap/>
            <w:vAlign w:val="center"/>
            <w:hideMark/>
          </w:tcPr>
          <w:p w:rsidR="00F44D86" w:rsidRPr="00F44D86" w:rsidRDefault="00F44D86" w:rsidP="00F44D86">
            <w:pPr>
              <w:spacing w:after="0" w:line="240" w:lineRule="auto"/>
              <w:jc w:val="center"/>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100%</w:t>
            </w:r>
          </w:p>
        </w:tc>
        <w:tc>
          <w:tcPr>
            <w:tcW w:w="1248" w:type="dxa"/>
            <w:tcBorders>
              <w:top w:val="single" w:sz="8" w:space="0" w:color="4F81BD"/>
              <w:left w:val="nil"/>
              <w:bottom w:val="single" w:sz="8" w:space="0" w:color="4F81BD"/>
              <w:right w:val="nil"/>
            </w:tcBorders>
            <w:shd w:val="clear" w:color="auto" w:fill="auto"/>
            <w:noWrap/>
            <w:vAlign w:val="center"/>
            <w:hideMark/>
          </w:tcPr>
          <w:p w:rsidR="00F44D86" w:rsidRPr="00F44D86" w:rsidRDefault="00F44D86" w:rsidP="00F44D86">
            <w:pPr>
              <w:spacing w:after="0" w:line="240" w:lineRule="auto"/>
              <w:jc w:val="right"/>
              <w:rPr>
                <w:rFonts w:ascii="Calibri" w:eastAsia="Times New Roman" w:hAnsi="Calibri" w:cs="Times New Roman"/>
                <w:b/>
                <w:bCs/>
                <w:color w:val="000000"/>
                <w:sz w:val="20"/>
                <w:szCs w:val="20"/>
                <w:lang w:val="sr-Latn-RS" w:eastAsia="sr-Latn-RS"/>
              </w:rPr>
            </w:pPr>
            <w:r>
              <w:rPr>
                <w:rFonts w:ascii="Calibri" w:eastAsia="Times New Roman" w:hAnsi="Calibri" w:cs="Times New Roman"/>
                <w:b/>
                <w:bCs/>
                <w:color w:val="000000"/>
                <w:sz w:val="20"/>
                <w:szCs w:val="20"/>
                <w:lang w:val="sr-Cyrl-CS" w:eastAsia="sr-Latn-RS"/>
              </w:rPr>
              <w:t xml:space="preserve">        </w:t>
            </w:r>
            <w:r w:rsidRPr="00F44D86">
              <w:rPr>
                <w:rFonts w:ascii="Calibri" w:eastAsia="Times New Roman" w:hAnsi="Calibri" w:cs="Times New Roman"/>
                <w:b/>
                <w:bCs/>
                <w:color w:val="000000"/>
                <w:sz w:val="20"/>
                <w:szCs w:val="20"/>
                <w:lang w:val="sr-Cyrl-CS" w:eastAsia="sr-Latn-RS"/>
              </w:rPr>
              <w:t xml:space="preserve">179.647      </w:t>
            </w:r>
          </w:p>
        </w:tc>
        <w:tc>
          <w:tcPr>
            <w:tcW w:w="1096" w:type="dxa"/>
            <w:tcBorders>
              <w:top w:val="single" w:sz="8" w:space="0" w:color="4F81BD"/>
              <w:left w:val="nil"/>
              <w:bottom w:val="single" w:sz="8" w:space="0" w:color="4F81BD"/>
              <w:right w:val="nil"/>
            </w:tcBorders>
            <w:shd w:val="clear" w:color="auto" w:fill="auto"/>
            <w:noWrap/>
            <w:vAlign w:val="center"/>
            <w:hideMark/>
          </w:tcPr>
          <w:p w:rsidR="00F44D86" w:rsidRPr="00F44D86" w:rsidRDefault="00F44D86" w:rsidP="00F44D86">
            <w:pPr>
              <w:spacing w:after="0" w:line="240" w:lineRule="auto"/>
              <w:jc w:val="center"/>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100%</w:t>
            </w:r>
          </w:p>
        </w:tc>
        <w:tc>
          <w:tcPr>
            <w:tcW w:w="887" w:type="dxa"/>
            <w:tcBorders>
              <w:top w:val="single" w:sz="8" w:space="0" w:color="4F81BD"/>
              <w:left w:val="nil"/>
              <w:bottom w:val="single" w:sz="8" w:space="0" w:color="4F81BD"/>
              <w:right w:val="nil"/>
            </w:tcBorders>
            <w:shd w:val="clear" w:color="auto" w:fill="auto"/>
            <w:noWrap/>
            <w:vAlign w:val="center"/>
            <w:hideMark/>
          </w:tcPr>
          <w:p w:rsidR="00F44D86" w:rsidRPr="00F44D86" w:rsidRDefault="00F44D86" w:rsidP="00F44D86">
            <w:pPr>
              <w:spacing w:after="0" w:line="240" w:lineRule="auto"/>
              <w:jc w:val="center"/>
              <w:rPr>
                <w:rFonts w:ascii="Calibri" w:eastAsia="Times New Roman" w:hAnsi="Calibri" w:cs="Times New Roman"/>
                <w:b/>
                <w:bCs/>
                <w:color w:val="000000"/>
                <w:sz w:val="20"/>
                <w:szCs w:val="20"/>
                <w:lang w:val="sr-Latn-RS" w:eastAsia="sr-Latn-RS"/>
              </w:rPr>
            </w:pPr>
            <w:r w:rsidRPr="00F44D86">
              <w:rPr>
                <w:rFonts w:ascii="Calibri" w:eastAsia="Times New Roman" w:hAnsi="Calibri" w:cs="Times New Roman"/>
                <w:b/>
                <w:bCs/>
                <w:color w:val="000000"/>
                <w:sz w:val="20"/>
                <w:szCs w:val="20"/>
                <w:lang w:val="sr-Cyrl-CS" w:eastAsia="sr-Latn-RS"/>
              </w:rPr>
              <w:t>45,60%</w:t>
            </w:r>
          </w:p>
        </w:tc>
      </w:tr>
    </w:tbl>
    <w:p w:rsidR="0076189C" w:rsidRPr="00BF3CDE" w:rsidRDefault="0076189C" w:rsidP="0076189C">
      <w:pPr>
        <w:rPr>
          <w:noProof/>
          <w:sz w:val="6"/>
          <w:szCs w:val="6"/>
          <w:lang w:val="sr-Cyrl-CS" w:eastAsia="ar-SA"/>
        </w:rPr>
      </w:pPr>
    </w:p>
    <w:p w:rsidR="00011135" w:rsidRDefault="0076189C" w:rsidP="00F44D86">
      <w:pPr>
        <w:ind w:firstLine="708"/>
        <w:jc w:val="both"/>
        <w:rPr>
          <w:noProof/>
          <w:sz w:val="20"/>
          <w:szCs w:val="20"/>
          <w:lang w:val="sr-Cyrl-CS"/>
        </w:rPr>
      </w:pPr>
      <w:r w:rsidRPr="00B657A6">
        <w:rPr>
          <w:noProof/>
          <w:sz w:val="20"/>
          <w:szCs w:val="20"/>
          <w:lang w:val="sr-Cyrl-CS"/>
        </w:rPr>
        <w:t xml:space="preserve">Расходи од инвестирања су </w:t>
      </w:r>
      <w:r w:rsidR="00EC2BCA" w:rsidRPr="00B657A6">
        <w:rPr>
          <w:noProof/>
          <w:sz w:val="20"/>
          <w:szCs w:val="20"/>
          <w:lang w:val="sr-Cyrl-CS"/>
        </w:rPr>
        <w:t>мањи</w:t>
      </w:r>
      <w:r w:rsidRPr="00B657A6">
        <w:rPr>
          <w:noProof/>
          <w:sz w:val="20"/>
          <w:szCs w:val="20"/>
          <w:lang w:val="sr-Cyrl-CS"/>
        </w:rPr>
        <w:t xml:space="preserve"> за </w:t>
      </w:r>
      <w:r w:rsidR="00EC2BCA" w:rsidRPr="00B657A6">
        <w:rPr>
          <w:noProof/>
          <w:sz w:val="20"/>
          <w:szCs w:val="20"/>
          <w:lang w:val="sr-Cyrl-CS"/>
        </w:rPr>
        <w:t>54,40</w:t>
      </w:r>
      <w:r w:rsidRPr="00B657A6">
        <w:rPr>
          <w:noProof/>
          <w:sz w:val="20"/>
          <w:szCs w:val="20"/>
          <w:lang w:val="sr-Cyrl-CS"/>
        </w:rPr>
        <w:t xml:space="preserve">% у односу на претходну годину. У структури највеће учешће имају расходи по основу  обезвређења </w:t>
      </w:r>
      <w:r w:rsidR="00B657A6" w:rsidRPr="00B657A6">
        <w:rPr>
          <w:noProof/>
          <w:sz w:val="20"/>
          <w:szCs w:val="20"/>
          <w:lang w:val="sr-Cyrl-CS"/>
        </w:rPr>
        <w:t xml:space="preserve">а у оквиру њих обезвређивање </w:t>
      </w:r>
      <w:r w:rsidRPr="00B657A6">
        <w:rPr>
          <w:noProof/>
          <w:sz w:val="20"/>
          <w:szCs w:val="20"/>
          <w:lang w:val="sr-Cyrl-CS"/>
        </w:rPr>
        <w:t>акција Дунав банке</w:t>
      </w:r>
      <w:r w:rsidR="00F44D86" w:rsidRPr="00B657A6">
        <w:rPr>
          <w:noProof/>
          <w:sz w:val="20"/>
          <w:szCs w:val="20"/>
          <w:lang w:val="sr-Cyrl-CS"/>
        </w:rPr>
        <w:t>.</w:t>
      </w:r>
    </w:p>
    <w:p w:rsidR="00E11D2C" w:rsidRDefault="00E11D2C" w:rsidP="00F44D86">
      <w:pPr>
        <w:ind w:firstLine="708"/>
        <w:jc w:val="both"/>
        <w:rPr>
          <w:noProof/>
          <w:sz w:val="20"/>
          <w:szCs w:val="20"/>
          <w:lang w:val="sr-Cyrl-CS"/>
        </w:rPr>
      </w:pPr>
    </w:p>
    <w:p w:rsidR="00CE7015" w:rsidRDefault="00CE7015" w:rsidP="00F44D86">
      <w:pPr>
        <w:ind w:firstLine="708"/>
        <w:jc w:val="both"/>
        <w:rPr>
          <w:noProof/>
          <w:sz w:val="20"/>
          <w:szCs w:val="20"/>
          <w:lang w:val="sr-Cyrl-CS"/>
        </w:rPr>
      </w:pPr>
    </w:p>
    <w:p w:rsidR="00CE7015" w:rsidRDefault="00CE7015" w:rsidP="00F44D86">
      <w:pPr>
        <w:ind w:firstLine="708"/>
        <w:jc w:val="both"/>
        <w:rPr>
          <w:noProof/>
          <w:sz w:val="20"/>
          <w:szCs w:val="20"/>
          <w:lang w:val="sr-Cyrl-CS"/>
        </w:rPr>
      </w:pPr>
    </w:p>
    <w:p w:rsidR="00CE7015" w:rsidRDefault="00CE7015" w:rsidP="00F44D86">
      <w:pPr>
        <w:ind w:firstLine="708"/>
        <w:jc w:val="both"/>
        <w:rPr>
          <w:noProof/>
          <w:sz w:val="20"/>
          <w:szCs w:val="20"/>
          <w:lang w:val="sr-Cyrl-CS"/>
        </w:rPr>
      </w:pPr>
    </w:p>
    <w:p w:rsidR="00CE7015" w:rsidRDefault="00CE7015" w:rsidP="00F44D86">
      <w:pPr>
        <w:ind w:firstLine="708"/>
        <w:jc w:val="both"/>
        <w:rPr>
          <w:noProof/>
          <w:sz w:val="20"/>
          <w:szCs w:val="20"/>
          <w:lang w:val="sr-Cyrl-CS"/>
        </w:rPr>
      </w:pPr>
    </w:p>
    <w:p w:rsidR="00CE7015" w:rsidRPr="00F44D86" w:rsidRDefault="00CE7015" w:rsidP="00F44D86">
      <w:pPr>
        <w:ind w:firstLine="708"/>
        <w:jc w:val="both"/>
        <w:rPr>
          <w:noProof/>
          <w:sz w:val="20"/>
          <w:szCs w:val="20"/>
          <w:lang w:val="sr-Cyrl-CS"/>
        </w:rPr>
      </w:pPr>
    </w:p>
    <w:p w:rsidR="00E11D2C" w:rsidRPr="00E11D2C" w:rsidRDefault="00492321" w:rsidP="00860C32">
      <w:pPr>
        <w:pStyle w:val="Heading1"/>
      </w:pPr>
      <w:bookmarkStart w:id="56" w:name="_Toc445554700"/>
      <w:bookmarkStart w:id="57" w:name="_Toc445975043"/>
      <w:r w:rsidRPr="00BF3CDE">
        <w:t>ОСТВАРЕНИ РЕЗУЛТАТИ У ПЕРИОДУ 01.01. - 31.12.201</w:t>
      </w:r>
      <w:r w:rsidR="00E11D2C">
        <w:t>5</w:t>
      </w:r>
      <w:r w:rsidRPr="00BF3CDE">
        <w:t>.</w:t>
      </w:r>
      <w:bookmarkEnd w:id="56"/>
      <w:bookmarkEnd w:id="57"/>
      <w:r w:rsidRPr="00BF3CDE">
        <w:t xml:space="preserve"> </w:t>
      </w:r>
    </w:p>
    <w:p w:rsidR="006C1E1A" w:rsidRDefault="0019190C" w:rsidP="00BD65A1">
      <w:pPr>
        <w:pStyle w:val="NoSpacing"/>
        <w:jc w:val="right"/>
        <w:rPr>
          <w:noProof/>
          <w:sz w:val="20"/>
          <w:lang w:val="sr-Cyrl-CS"/>
        </w:rPr>
      </w:pPr>
      <w:r w:rsidRPr="00BD65A1">
        <w:rPr>
          <w:noProof/>
          <w:sz w:val="20"/>
          <w:lang w:val="sr-Cyrl-CS"/>
        </w:rPr>
        <w:t>у 000 РСД</w:t>
      </w:r>
    </w:p>
    <w:p w:rsidR="00E11D2C" w:rsidRDefault="00E11D2C" w:rsidP="00BD65A1">
      <w:pPr>
        <w:pStyle w:val="NoSpacing"/>
        <w:jc w:val="right"/>
        <w:rPr>
          <w:noProof/>
          <w:sz w:val="20"/>
          <w:lang w:val="sr-Cyrl-CS"/>
        </w:rPr>
      </w:pPr>
    </w:p>
    <w:tbl>
      <w:tblPr>
        <w:tblW w:w="9059" w:type="dxa"/>
        <w:tblInd w:w="93" w:type="dxa"/>
        <w:tblLook w:val="04A0" w:firstRow="1" w:lastRow="0" w:firstColumn="1" w:lastColumn="0" w:noHBand="0" w:noVBand="1"/>
      </w:tblPr>
      <w:tblGrid>
        <w:gridCol w:w="455"/>
        <w:gridCol w:w="2150"/>
        <w:gridCol w:w="1280"/>
        <w:gridCol w:w="1271"/>
        <w:gridCol w:w="1280"/>
        <w:gridCol w:w="1315"/>
        <w:gridCol w:w="1308"/>
      </w:tblGrid>
      <w:tr w:rsidR="00E11D2C" w:rsidRPr="00E11D2C" w:rsidTr="00E11D2C">
        <w:trPr>
          <w:trHeight w:val="322"/>
        </w:trPr>
        <w:tc>
          <w:tcPr>
            <w:tcW w:w="447" w:type="dxa"/>
            <w:tcBorders>
              <w:top w:val="double" w:sz="6" w:space="0" w:color="auto"/>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РБ</w:t>
            </w:r>
          </w:p>
        </w:tc>
        <w:tc>
          <w:tcPr>
            <w:tcW w:w="2150" w:type="dxa"/>
            <w:tcBorders>
              <w:top w:val="double" w:sz="6" w:space="0" w:color="auto"/>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КАТЕГОРИЈА</w:t>
            </w:r>
          </w:p>
        </w:tc>
        <w:tc>
          <w:tcPr>
            <w:tcW w:w="1283" w:type="dxa"/>
            <w:tcBorders>
              <w:top w:val="double" w:sz="6" w:space="0" w:color="auto"/>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Изврш. у 2014</w:t>
            </w:r>
          </w:p>
        </w:tc>
        <w:tc>
          <w:tcPr>
            <w:tcW w:w="1273" w:type="dxa"/>
            <w:tcBorders>
              <w:top w:val="double" w:sz="6" w:space="0" w:color="auto"/>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План за 2015</w:t>
            </w:r>
          </w:p>
        </w:tc>
        <w:tc>
          <w:tcPr>
            <w:tcW w:w="1283" w:type="dxa"/>
            <w:tcBorders>
              <w:top w:val="double" w:sz="6" w:space="0" w:color="auto"/>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Изврш. у 2015</w:t>
            </w:r>
          </w:p>
        </w:tc>
        <w:tc>
          <w:tcPr>
            <w:tcW w:w="1315" w:type="dxa"/>
            <w:tcBorders>
              <w:top w:val="double" w:sz="6" w:space="0" w:color="auto"/>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Индекс (извршења у 2014/ извршења у 2015</w:t>
            </w:r>
          </w:p>
        </w:tc>
        <w:tc>
          <w:tcPr>
            <w:tcW w:w="1308" w:type="dxa"/>
            <w:tcBorders>
              <w:top w:val="double" w:sz="6" w:space="0" w:color="auto"/>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Индекс (извршења у 2015/ план 2015)</w:t>
            </w:r>
          </w:p>
        </w:tc>
      </w:tr>
      <w:tr w:rsidR="00E11D2C" w:rsidRPr="00E11D2C" w:rsidTr="00E11D2C">
        <w:trPr>
          <w:trHeight w:val="122"/>
        </w:trPr>
        <w:tc>
          <w:tcPr>
            <w:tcW w:w="447" w:type="dxa"/>
            <w:tcBorders>
              <w:top w:val="nil"/>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w:t>
            </w:r>
          </w:p>
        </w:tc>
        <w:tc>
          <w:tcPr>
            <w:tcW w:w="2150" w:type="dxa"/>
            <w:tcBorders>
              <w:top w:val="nil"/>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w:t>
            </w:r>
          </w:p>
        </w:tc>
        <w:tc>
          <w:tcPr>
            <w:tcW w:w="1283" w:type="dxa"/>
            <w:tcBorders>
              <w:top w:val="nil"/>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3</w:t>
            </w:r>
          </w:p>
        </w:tc>
        <w:tc>
          <w:tcPr>
            <w:tcW w:w="1273" w:type="dxa"/>
            <w:tcBorders>
              <w:top w:val="nil"/>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w:t>
            </w:r>
          </w:p>
        </w:tc>
        <w:tc>
          <w:tcPr>
            <w:tcW w:w="1283" w:type="dxa"/>
            <w:tcBorders>
              <w:top w:val="nil"/>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w:t>
            </w:r>
          </w:p>
        </w:tc>
        <w:tc>
          <w:tcPr>
            <w:tcW w:w="1315" w:type="dxa"/>
            <w:tcBorders>
              <w:top w:val="nil"/>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7(5/4)</w:t>
            </w:r>
          </w:p>
        </w:tc>
        <w:tc>
          <w:tcPr>
            <w:tcW w:w="1308" w:type="dxa"/>
            <w:tcBorders>
              <w:top w:val="nil"/>
              <w:left w:val="nil"/>
              <w:bottom w:val="double" w:sz="6" w:space="0" w:color="auto"/>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w:t>
            </w:r>
          </w:p>
        </w:tc>
      </w:tr>
      <w:tr w:rsidR="00E11D2C" w:rsidRPr="00E11D2C" w:rsidTr="00E11D2C">
        <w:trPr>
          <w:trHeight w:val="16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Приходи од премије реосигурања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2.324.890</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w:t>
            </w:r>
            <w:r w:rsidR="005856A2">
              <w:rPr>
                <w:rFonts w:ascii="Verdana" w:eastAsia="Times New Roman" w:hAnsi="Verdana" w:cs="Times New Roman"/>
                <w:color w:val="000000"/>
                <w:sz w:val="16"/>
                <w:szCs w:val="16"/>
                <w:lang w:val="sr-Cyrl-RS" w:eastAsia="sr-Latn-RS"/>
              </w:rPr>
              <w:t>.</w:t>
            </w:r>
            <w:r w:rsidRPr="00E11D2C">
              <w:rPr>
                <w:rFonts w:ascii="Verdana" w:eastAsia="Times New Roman" w:hAnsi="Verdana" w:cs="Times New Roman"/>
                <w:color w:val="000000"/>
                <w:sz w:val="16"/>
                <w:szCs w:val="16"/>
                <w:lang w:val="sr-Latn-RS" w:eastAsia="sr-Latn-RS"/>
              </w:rPr>
              <w:t>568</w:t>
            </w:r>
            <w:r w:rsidR="005856A2">
              <w:rPr>
                <w:rFonts w:ascii="Verdana" w:eastAsia="Times New Roman" w:hAnsi="Verdana" w:cs="Times New Roman"/>
                <w:color w:val="000000"/>
                <w:sz w:val="16"/>
                <w:szCs w:val="16"/>
                <w:lang w:val="sr-Cyrl-RS" w:eastAsia="sr-Latn-RS"/>
              </w:rPr>
              <w:t>.</w:t>
            </w:r>
            <w:r w:rsidRPr="00E11D2C">
              <w:rPr>
                <w:rFonts w:ascii="Verdana" w:eastAsia="Times New Roman" w:hAnsi="Verdana" w:cs="Times New Roman"/>
                <w:color w:val="000000"/>
                <w:sz w:val="16"/>
                <w:szCs w:val="16"/>
                <w:lang w:val="sr-Latn-RS" w:eastAsia="sr-Latn-RS"/>
              </w:rPr>
              <w:t>754</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2.661.526</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114,48</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103,61</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Расходи по оснoву премије реосигурања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1.826.966</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w:t>
            </w:r>
            <w:r w:rsidR="005856A2">
              <w:rPr>
                <w:rFonts w:ascii="Verdana" w:eastAsia="Times New Roman" w:hAnsi="Verdana" w:cs="Times New Roman"/>
                <w:color w:val="000000"/>
                <w:sz w:val="16"/>
                <w:szCs w:val="16"/>
                <w:lang w:val="sr-Cyrl-RS" w:eastAsia="sr-Latn-RS"/>
              </w:rPr>
              <w:t>.</w:t>
            </w:r>
            <w:r w:rsidRPr="00E11D2C">
              <w:rPr>
                <w:rFonts w:ascii="Verdana" w:eastAsia="Times New Roman" w:hAnsi="Verdana" w:cs="Times New Roman"/>
                <w:color w:val="000000"/>
                <w:sz w:val="16"/>
                <w:szCs w:val="16"/>
                <w:lang w:val="sr-Latn-RS" w:eastAsia="sr-Latn-RS"/>
              </w:rPr>
              <w:t>889</w:t>
            </w:r>
            <w:r w:rsidR="005856A2">
              <w:rPr>
                <w:rFonts w:ascii="Verdana" w:eastAsia="Times New Roman" w:hAnsi="Verdana" w:cs="Times New Roman"/>
                <w:color w:val="000000"/>
                <w:sz w:val="16"/>
                <w:szCs w:val="16"/>
                <w:lang w:val="sr-Cyrl-RS" w:eastAsia="sr-Latn-RS"/>
              </w:rPr>
              <w:t>.</w:t>
            </w:r>
            <w:r w:rsidRPr="00E11D2C">
              <w:rPr>
                <w:rFonts w:ascii="Verdana" w:eastAsia="Times New Roman" w:hAnsi="Verdana" w:cs="Times New Roman"/>
                <w:color w:val="000000"/>
                <w:sz w:val="16"/>
                <w:szCs w:val="16"/>
                <w:lang w:val="sr-Latn-RS" w:eastAsia="sr-Latn-RS"/>
              </w:rPr>
              <w:t>574</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2.195.468</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120,17</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116,19</w:t>
            </w:r>
          </w:p>
        </w:tc>
      </w:tr>
      <w:tr w:rsidR="00E11D2C" w:rsidRPr="00E11D2C" w:rsidTr="00E11D2C">
        <w:trPr>
          <w:trHeight w:val="11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3</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xml:space="preserve">Повећање преносне премије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130.639</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271</w:t>
            </w:r>
            <w:r w:rsidR="005856A2">
              <w:rPr>
                <w:rFonts w:ascii="Verdana" w:eastAsia="Times New Roman" w:hAnsi="Verdana" w:cs="Times New Roman"/>
                <w:color w:val="000000"/>
                <w:sz w:val="16"/>
                <w:szCs w:val="16"/>
                <w:lang w:val="sr-Cyrl-RS" w:eastAsia="sr-Latn-RS"/>
              </w:rPr>
              <w:t>.</w:t>
            </w:r>
            <w:r w:rsidRPr="00E11D2C">
              <w:rPr>
                <w:rFonts w:ascii="Verdana" w:eastAsia="Times New Roman" w:hAnsi="Verdana" w:cs="Times New Roman"/>
                <w:color w:val="000000"/>
                <w:sz w:val="16"/>
                <w:szCs w:val="16"/>
                <w:lang w:val="sr-Latn-RS" w:eastAsia="sr-Latn-RS"/>
              </w:rPr>
              <w:t>753</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47.556</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36,40</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17,50</w:t>
            </w:r>
          </w:p>
        </w:tc>
      </w:tr>
      <w:tr w:rsidR="00E11D2C" w:rsidRPr="00E11D2C" w:rsidTr="00E11D2C">
        <w:trPr>
          <w:trHeight w:val="239"/>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4</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Приходи од премија реосигурања и ретроцесија (1-2+3)</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367.285</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407.427</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418.502</w:t>
            </w:r>
          </w:p>
        </w:tc>
        <w:tc>
          <w:tcPr>
            <w:tcW w:w="1315"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113,94</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102,72</w:t>
            </w:r>
          </w:p>
        </w:tc>
      </w:tr>
      <w:tr w:rsidR="00E11D2C" w:rsidRPr="00E11D2C" w:rsidTr="00E11D2C">
        <w:trPr>
          <w:trHeight w:val="161"/>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Пословни (функционални расходи)</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404.207</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260.923</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7.595</w:t>
            </w:r>
          </w:p>
        </w:tc>
        <w:tc>
          <w:tcPr>
            <w:tcW w:w="1315"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1,88</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2,91</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Расходи за дугорочна резервисања  (5+6)</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22.025</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0</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2.662</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12,09</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Математичка резерва животних осигурања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782</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0</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2492</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318,67</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1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6</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Резерве за изравњање ризика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21.243</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0</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170</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0,80</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Расходи накнада штета и уговорених износа(7+8-9)</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335.706</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328.764</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345.440</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102,90</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105,07</w:t>
            </w:r>
          </w:p>
        </w:tc>
      </w:tr>
      <w:tr w:rsidR="00E11D2C" w:rsidRPr="00E11D2C" w:rsidTr="00E11D2C">
        <w:trPr>
          <w:trHeight w:val="11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7</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Ликвидиране штете</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770.321</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811.913</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2.662.768</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345,67</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327,96</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Расходи извиђаја и ликвидације</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18.275</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18.764</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21.253</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116,30</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113,26</w:t>
            </w:r>
          </w:p>
        </w:tc>
      </w:tr>
      <w:tr w:rsidR="00E11D2C" w:rsidRPr="00E11D2C" w:rsidTr="00E11D2C">
        <w:trPr>
          <w:trHeight w:val="11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9</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Приходи од учешћа у штетама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452.890</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501.913</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2.338.581</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516,37</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465,93</w:t>
            </w:r>
          </w:p>
        </w:tc>
      </w:tr>
      <w:tr w:rsidR="00E11D2C" w:rsidRPr="00E11D2C" w:rsidTr="005F78E3">
        <w:trPr>
          <w:trHeight w:val="50"/>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Резервисане штете повећање/смањење (10-11)</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56.202</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59.276</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119.145</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211,99</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201,00</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Расходи од повећања резер штета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575.022</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129.169</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1.147.210</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199,51</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888,15</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Приходи од смањења резер штета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518.820</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188.445</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1.266.355</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244,08</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672,00</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повећање резерви за неистекле ризике</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19.303</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11.711</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60,67</w:t>
            </w:r>
          </w:p>
        </w:tc>
      </w:tr>
      <w:tr w:rsidR="00E11D2C" w:rsidRPr="00E11D2C" w:rsidTr="00E11D2C">
        <w:trPr>
          <w:trHeight w:val="11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Приходи по основу регреса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9.726</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15.484</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12.413</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127,63</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80,17</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смањење осталих техничких резерви</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12.384</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220.660</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1781,82</w:t>
            </w:r>
          </w:p>
        </w:tc>
      </w:tr>
      <w:tr w:rsidR="00E11D2C" w:rsidRPr="00E11D2C" w:rsidTr="00E11D2C">
        <w:trPr>
          <w:trHeight w:val="117"/>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Бруто пословни резултат</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-36.922</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146.504</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410.907</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xml:space="preserve">-         1.112,91      </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280,47</w:t>
            </w:r>
          </w:p>
        </w:tc>
      </w:tr>
      <w:tr w:rsidR="00E11D2C" w:rsidRPr="00E11D2C" w:rsidTr="00E11D2C">
        <w:trPr>
          <w:trHeight w:val="239"/>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Приходи од инвестирања средстава осигурања (12+13+14+15)</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155.702</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99.587</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92.609</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59,48</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92,99</w:t>
            </w:r>
          </w:p>
        </w:tc>
      </w:tr>
      <w:tr w:rsidR="00E11D2C" w:rsidRPr="00E11D2C" w:rsidTr="00E11D2C">
        <w:trPr>
          <w:trHeight w:val="11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Приходи од камата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49.996</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xml:space="preserve">             49.587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43.227</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86,46</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87,17</w:t>
            </w:r>
          </w:p>
        </w:tc>
      </w:tr>
      <w:tr w:rsidR="00E11D2C" w:rsidRPr="00E11D2C" w:rsidTr="00E11D2C">
        <w:trPr>
          <w:trHeight w:val="239"/>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13</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Приходи од усклађивања вредности фин. средстава који се вреднују кроз БУ</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1490</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1.860</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124,83</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14</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Позитивне курсне разлике из активности инвестирања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104.216</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xml:space="preserve">             50.000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47.522</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45,60</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95,04</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15</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Остали приходи од инвестиционе активности</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239"/>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Расходи од инвестирања средстава осигурања (16+17+18)</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179.647</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xml:space="preserve">            20.000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81.922</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45,60</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409,61</w:t>
            </w:r>
          </w:p>
        </w:tc>
      </w:tr>
      <w:tr w:rsidR="00E11D2C" w:rsidRPr="00E11D2C" w:rsidTr="00E11D2C">
        <w:trPr>
          <w:trHeight w:val="239"/>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16</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Расходи по основу усклађивања вред фин средс који се вреднују кроз БУ</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172.074</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47.742</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27,75</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17</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Негативне курсне разлике из активности инвестирања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5.190</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xml:space="preserve">             20.000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29.978</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577,61</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149,89</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18</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Остали расходи по основу инвест активности</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2.383</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4.202</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176,33</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Резултат  инвестиционе активности</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-23.945</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xml:space="preserve">            79.587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10.687</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-44,63</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13,43</w:t>
            </w:r>
          </w:p>
        </w:tc>
      </w:tr>
      <w:tr w:rsidR="00E11D2C" w:rsidRPr="00E11D2C" w:rsidTr="00E11D2C">
        <w:trPr>
          <w:trHeight w:val="239"/>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Трошак спровођења реосигурања (19+20+22-23)</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125.674</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xml:space="preserve">          118.199      </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100.625</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80,07</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85,13</w:t>
            </w:r>
          </w:p>
        </w:tc>
      </w:tr>
      <w:tr w:rsidR="00E11D2C" w:rsidRPr="00E11D2C" w:rsidTr="00E11D2C">
        <w:trPr>
          <w:trHeight w:val="11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19</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Трошак прибаве</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320.023</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313.705</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367.728</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114,91</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117,22</w:t>
            </w:r>
          </w:p>
        </w:tc>
      </w:tr>
      <w:tr w:rsidR="00E11D2C" w:rsidRPr="00E11D2C" w:rsidTr="00E11D2C">
        <w:trPr>
          <w:trHeight w:val="117"/>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20</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Трошак управе</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83.894</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80.319</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82.914</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98,83</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103,23</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22</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Остали трошкови спровођења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5.236</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5.206</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3.099</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59,19</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59,53</w:t>
            </w:r>
          </w:p>
        </w:tc>
      </w:tr>
      <w:tr w:rsidR="00E11D2C" w:rsidRPr="00E11D2C" w:rsidTr="00E11D2C">
        <w:trPr>
          <w:trHeight w:val="161"/>
        </w:trPr>
        <w:tc>
          <w:tcPr>
            <w:tcW w:w="447"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23</w:t>
            </w:r>
          </w:p>
        </w:tc>
        <w:tc>
          <w:tcPr>
            <w:tcW w:w="2150"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Приходи од провизије реосигурања</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283.479</w:t>
            </w:r>
          </w:p>
        </w:tc>
        <w:tc>
          <w:tcPr>
            <w:tcW w:w="127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281.031</w:t>
            </w:r>
          </w:p>
        </w:tc>
        <w:tc>
          <w:tcPr>
            <w:tcW w:w="1283"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353.116</w:t>
            </w:r>
          </w:p>
        </w:tc>
        <w:tc>
          <w:tcPr>
            <w:tcW w:w="1315"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124,57</w:t>
            </w:r>
          </w:p>
        </w:tc>
        <w:tc>
          <w:tcPr>
            <w:tcW w:w="1308" w:type="dxa"/>
            <w:tcBorders>
              <w:top w:val="nil"/>
              <w:left w:val="nil"/>
              <w:bottom w:val="single" w:sz="8" w:space="0" w:color="7F7F7F"/>
              <w:right w:val="nil"/>
            </w:tcBorders>
            <w:shd w:val="clear" w:color="auto" w:fill="auto"/>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125,65</w:t>
            </w:r>
          </w:p>
        </w:tc>
      </w:tr>
      <w:tr w:rsidR="00E11D2C" w:rsidRPr="00E11D2C" w:rsidTr="00E11D2C">
        <w:trPr>
          <w:trHeight w:val="117"/>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Нето пословни резултат</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-186.541</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28.305</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320.969</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-172,06</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1133,97</w:t>
            </w:r>
          </w:p>
        </w:tc>
      </w:tr>
      <w:tr w:rsidR="00E11D2C" w:rsidRPr="00E11D2C" w:rsidTr="00E11D2C">
        <w:trPr>
          <w:trHeight w:val="239"/>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Финансијски приходи осим фин прихода по основу инвестиционе активности</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85.303</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110.000</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92.572</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108,52</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84,16</w:t>
            </w:r>
          </w:p>
        </w:tc>
      </w:tr>
      <w:tr w:rsidR="00E11D2C" w:rsidRPr="00E11D2C" w:rsidTr="00E11D2C">
        <w:trPr>
          <w:trHeight w:val="239"/>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Финансијски расходи осим фин расхода по основу инвестиционе активности</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123.214</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100.000</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107.686</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87,40</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107,69</w:t>
            </w:r>
          </w:p>
        </w:tc>
      </w:tr>
      <w:tr w:rsidR="00E11D2C" w:rsidRPr="00E11D2C" w:rsidTr="00E11D2C">
        <w:trPr>
          <w:trHeight w:val="117"/>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xml:space="preserve">Остали приходи </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2.981</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92.520</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3103,66</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17"/>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xml:space="preserve">Остали расходи </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2.874</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25.950</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902,92</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239"/>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Приходи од усклађивања вредности потраживања и др. имовине</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235.095</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73.000</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90.987</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38,70</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124,64</w:t>
            </w:r>
          </w:p>
        </w:tc>
      </w:tr>
      <w:tr w:rsidR="00E11D2C" w:rsidRPr="00E11D2C" w:rsidTr="00E11D2C">
        <w:trPr>
          <w:trHeight w:val="239"/>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Расходи од усклађивања вредности потраживања и др. имовине</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90.747</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57.193</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68.172</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75,12</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119,20</w:t>
            </w:r>
          </w:p>
        </w:tc>
      </w:tr>
      <w:tr w:rsidR="00E11D2C" w:rsidRPr="00E11D2C" w:rsidTr="00E11D2C">
        <w:trPr>
          <w:trHeight w:val="161"/>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Резултат из редовне активности</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-79.997</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54.112</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395.240</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-494,07</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730,41</w:t>
            </w:r>
          </w:p>
        </w:tc>
      </w:tr>
      <w:tr w:rsidR="00E11D2C" w:rsidRPr="00E11D2C" w:rsidTr="00E11D2C">
        <w:trPr>
          <w:trHeight w:val="161"/>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Нето добитак који се обуставља</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2.320</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-16</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-0,69</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17"/>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Добит пре опорезивања</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-77.677</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54.112</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395.224</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-508,80</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730,38</w:t>
            </w:r>
          </w:p>
        </w:tc>
      </w:tr>
      <w:tr w:rsidR="00E11D2C" w:rsidRPr="00E11D2C" w:rsidTr="00E11D2C">
        <w:trPr>
          <w:trHeight w:val="117"/>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порески расход периода</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56.499</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61"/>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Добитак/губитак од креир. одлож. пореза</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2.620</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4.332</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165,34</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 </w:t>
            </w:r>
          </w:p>
        </w:tc>
      </w:tr>
      <w:tr w:rsidR="00E11D2C" w:rsidRPr="00E11D2C" w:rsidTr="00E11D2C">
        <w:trPr>
          <w:trHeight w:val="117"/>
        </w:trPr>
        <w:tc>
          <w:tcPr>
            <w:tcW w:w="447"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 </w:t>
            </w:r>
          </w:p>
        </w:tc>
        <w:tc>
          <w:tcPr>
            <w:tcW w:w="2150"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Нето резултат</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-75.057</w:t>
            </w:r>
          </w:p>
        </w:tc>
        <w:tc>
          <w:tcPr>
            <w:tcW w:w="127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54.112</w:t>
            </w:r>
          </w:p>
        </w:tc>
        <w:tc>
          <w:tcPr>
            <w:tcW w:w="1283"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right"/>
              <w:rPr>
                <w:rFonts w:ascii="Verdana" w:eastAsia="Times New Roman" w:hAnsi="Verdana" w:cs="Times New Roman"/>
                <w:b/>
                <w:bCs/>
                <w:color w:val="000000"/>
                <w:sz w:val="16"/>
                <w:szCs w:val="16"/>
                <w:lang w:val="sr-Latn-RS" w:eastAsia="sr-Latn-RS"/>
              </w:rPr>
            </w:pPr>
            <w:r w:rsidRPr="00E11D2C">
              <w:rPr>
                <w:rFonts w:ascii="Verdana" w:eastAsia="Times New Roman" w:hAnsi="Verdana" w:cs="Times New Roman"/>
                <w:b/>
                <w:bCs/>
                <w:color w:val="000000"/>
                <w:sz w:val="16"/>
                <w:szCs w:val="16"/>
                <w:lang w:val="sr-Latn-RS" w:eastAsia="sr-Latn-RS"/>
              </w:rPr>
              <w:t>343.057</w:t>
            </w:r>
          </w:p>
        </w:tc>
        <w:tc>
          <w:tcPr>
            <w:tcW w:w="1315" w:type="dxa"/>
            <w:tcBorders>
              <w:top w:val="nil"/>
              <w:left w:val="nil"/>
              <w:bottom w:val="single" w:sz="8" w:space="0" w:color="7F7F7F"/>
              <w:right w:val="nil"/>
            </w:tcBorders>
            <w:shd w:val="clear" w:color="000000" w:fill="8DB4E2"/>
            <w:noWrap/>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-457,06</w:t>
            </w:r>
          </w:p>
        </w:tc>
        <w:tc>
          <w:tcPr>
            <w:tcW w:w="1308" w:type="dxa"/>
            <w:tcBorders>
              <w:top w:val="nil"/>
              <w:left w:val="nil"/>
              <w:bottom w:val="single" w:sz="8" w:space="0" w:color="7F7F7F"/>
              <w:right w:val="nil"/>
            </w:tcBorders>
            <w:shd w:val="clear" w:color="000000" w:fill="8DB4E2"/>
            <w:vAlign w:val="center"/>
            <w:hideMark/>
          </w:tcPr>
          <w:p w:rsidR="00E11D2C" w:rsidRPr="00E11D2C" w:rsidRDefault="00E11D2C" w:rsidP="005F78E3">
            <w:pPr>
              <w:spacing w:after="0" w:line="240" w:lineRule="auto"/>
              <w:jc w:val="center"/>
              <w:rPr>
                <w:rFonts w:ascii="Verdana" w:eastAsia="Times New Roman" w:hAnsi="Verdana" w:cs="Times New Roman"/>
                <w:color w:val="000000"/>
                <w:sz w:val="16"/>
                <w:szCs w:val="16"/>
                <w:lang w:val="sr-Latn-RS" w:eastAsia="sr-Latn-RS"/>
              </w:rPr>
            </w:pPr>
            <w:r w:rsidRPr="00E11D2C">
              <w:rPr>
                <w:rFonts w:ascii="Verdana" w:eastAsia="Times New Roman" w:hAnsi="Verdana" w:cs="Times New Roman"/>
                <w:color w:val="000000"/>
                <w:sz w:val="16"/>
                <w:szCs w:val="16"/>
                <w:lang w:val="sr-Latn-RS" w:eastAsia="sr-Latn-RS"/>
              </w:rPr>
              <w:t>633,98</w:t>
            </w:r>
          </w:p>
        </w:tc>
      </w:tr>
    </w:tbl>
    <w:p w:rsidR="00E11D2C" w:rsidRDefault="00E11D2C" w:rsidP="00E11D2C">
      <w:pPr>
        <w:pStyle w:val="NoSpacing"/>
        <w:rPr>
          <w:noProof/>
          <w:sz w:val="20"/>
          <w:lang w:val="sr-Cyrl-CS"/>
        </w:rPr>
      </w:pPr>
    </w:p>
    <w:p w:rsidR="00E11D2C" w:rsidRDefault="00E11D2C" w:rsidP="00E11D2C">
      <w:pPr>
        <w:pStyle w:val="NoSpacing"/>
        <w:jc w:val="center"/>
        <w:rPr>
          <w:noProof/>
          <w:sz w:val="20"/>
          <w:lang w:val="sr-Cyrl-CS"/>
        </w:rPr>
      </w:pPr>
    </w:p>
    <w:p w:rsidR="00214738" w:rsidRPr="00214738" w:rsidRDefault="00214738" w:rsidP="00214738">
      <w:pPr>
        <w:pStyle w:val="NoSpacing"/>
        <w:ind w:firstLine="284"/>
        <w:jc w:val="both"/>
        <w:rPr>
          <w:rFonts w:eastAsiaTheme="minorHAnsi"/>
          <w:noProof/>
          <w:sz w:val="20"/>
          <w:szCs w:val="20"/>
          <w:lang w:val="sr-Cyrl-CS" w:eastAsia="en-US"/>
        </w:rPr>
      </w:pPr>
      <w:bookmarkStart w:id="58" w:name="_Toc362253725"/>
      <w:bookmarkStart w:id="59" w:name="_Toc362514665"/>
      <w:r w:rsidRPr="00214738">
        <w:rPr>
          <w:rFonts w:eastAsiaTheme="minorHAnsi"/>
          <w:noProof/>
          <w:sz w:val="20"/>
          <w:szCs w:val="20"/>
          <w:lang w:val="sr-Cyrl-CS" w:eastAsia="en-US"/>
        </w:rPr>
        <w:t>У периоду од 01.01. до 31.12.2015. године Друштво је остварило нето резултат пословања у износу од 343.057 хиљада динара, док је у истом периоду претходне године забележен губитак у износу од 77.727 хиљада динара. У односу на план остварени су значајно бољи резултати, па је исказана нето добит већа од планиране за 534%.</w:t>
      </w:r>
    </w:p>
    <w:p w:rsidR="00214738" w:rsidRPr="00890C0C" w:rsidRDefault="00214738" w:rsidP="00214738">
      <w:pPr>
        <w:pStyle w:val="NoSpacing"/>
        <w:ind w:firstLine="284"/>
        <w:jc w:val="both"/>
        <w:rPr>
          <w:noProof/>
          <w:color w:val="000000" w:themeColor="text1"/>
          <w:sz w:val="14"/>
          <w:szCs w:val="14"/>
          <w:lang w:val="sr-Cyrl-RS"/>
        </w:rPr>
      </w:pPr>
    </w:p>
    <w:p w:rsidR="00214738" w:rsidRPr="00214738" w:rsidRDefault="00214738" w:rsidP="00214738">
      <w:pPr>
        <w:spacing w:before="120" w:after="120"/>
        <w:jc w:val="center"/>
        <w:rPr>
          <w:b/>
          <w:i/>
          <w:noProof/>
          <w:color w:val="365F91" w:themeColor="accent1" w:themeShade="BF"/>
          <w:sz w:val="20"/>
          <w:lang w:val="sr-Cyrl-CS"/>
        </w:rPr>
      </w:pPr>
      <w:r w:rsidRPr="00214738">
        <w:rPr>
          <w:b/>
          <w:i/>
          <w:noProof/>
          <w:color w:val="365F91" w:themeColor="accent1" w:themeShade="BF"/>
          <w:sz w:val="20"/>
          <w:lang w:val="sr-Cyrl-CS"/>
        </w:rPr>
        <w:t>Пословни (функционални) приходи</w:t>
      </w:r>
    </w:p>
    <w:p w:rsidR="00214738" w:rsidRPr="00214738" w:rsidRDefault="00214738" w:rsidP="00214738">
      <w:pPr>
        <w:pStyle w:val="NoSpacing"/>
        <w:spacing w:before="120" w:after="120" w:line="276" w:lineRule="auto"/>
        <w:ind w:firstLine="284"/>
        <w:jc w:val="both"/>
        <w:rPr>
          <w:rFonts w:eastAsiaTheme="minorHAnsi"/>
          <w:noProof/>
          <w:sz w:val="20"/>
          <w:szCs w:val="20"/>
          <w:lang w:val="sr-Cyrl-CS" w:eastAsia="en-US"/>
        </w:rPr>
      </w:pPr>
      <w:r w:rsidRPr="00214738">
        <w:rPr>
          <w:rFonts w:eastAsiaTheme="minorHAnsi"/>
          <w:noProof/>
          <w:sz w:val="20"/>
          <w:szCs w:val="20"/>
          <w:lang w:val="sr-Cyrl-CS" w:eastAsia="en-US"/>
        </w:rPr>
        <w:t>Пословни (фукнционални) приходи представљају остварену премију, кориговану за премију пренету у реосигурање и кориговану за  ефекте повећања/смањења преносне премије. У односу на остварење у претходној години они су већи су за 11,19%, док је у односу на план остварење пословних прихода већи за 2,71%.</w:t>
      </w:r>
    </w:p>
    <w:p w:rsidR="00214738" w:rsidRPr="00214738" w:rsidRDefault="00214738" w:rsidP="00214738">
      <w:pPr>
        <w:spacing w:before="120" w:after="120"/>
        <w:jc w:val="center"/>
        <w:rPr>
          <w:b/>
          <w:i/>
          <w:noProof/>
          <w:color w:val="365F91" w:themeColor="accent1" w:themeShade="BF"/>
          <w:sz w:val="20"/>
          <w:lang w:val="sr-Cyrl-CS"/>
        </w:rPr>
      </w:pPr>
      <w:r w:rsidRPr="00214738">
        <w:rPr>
          <w:b/>
          <w:i/>
          <w:noProof/>
          <w:color w:val="365F91" w:themeColor="accent1" w:themeShade="BF"/>
          <w:sz w:val="20"/>
          <w:lang w:val="sr-Cyrl-CS"/>
        </w:rPr>
        <w:t>Пословни (функционални) рaсходи</w:t>
      </w:r>
    </w:p>
    <w:p w:rsidR="00214738" w:rsidRPr="00214738" w:rsidRDefault="00214738" w:rsidP="00214738">
      <w:pPr>
        <w:pStyle w:val="NoSpacing"/>
        <w:spacing w:before="120" w:after="120" w:line="276" w:lineRule="auto"/>
        <w:ind w:firstLine="284"/>
        <w:jc w:val="both"/>
        <w:rPr>
          <w:rFonts w:eastAsiaTheme="minorHAnsi"/>
          <w:noProof/>
          <w:sz w:val="20"/>
          <w:szCs w:val="20"/>
          <w:lang w:val="sr-Cyrl-CS" w:eastAsia="en-US"/>
        </w:rPr>
      </w:pPr>
      <w:r w:rsidRPr="00214738">
        <w:rPr>
          <w:rFonts w:eastAsiaTheme="minorHAnsi"/>
          <w:noProof/>
          <w:sz w:val="20"/>
          <w:szCs w:val="20"/>
          <w:lang w:val="sr-Cyrl-CS" w:eastAsia="en-US"/>
        </w:rPr>
        <w:t>Пословне (фукнционалне) расходе представљају расходи по основу расхода за дугорочна резервисања, расходи накнада штета и уговорених износа, кориговани за ефекте промене, односно повећања/смањења резервисаних штета.  У односу на остварење у претходној години они су мањи за 35,46%, док је у односу на план  мањи  за  расхода мањи за 97,14%.</w:t>
      </w:r>
    </w:p>
    <w:p w:rsidR="00214738" w:rsidRPr="00214738" w:rsidRDefault="00214738" w:rsidP="00214738">
      <w:pPr>
        <w:spacing w:before="120" w:after="120"/>
        <w:jc w:val="center"/>
        <w:rPr>
          <w:b/>
          <w:i/>
          <w:noProof/>
          <w:color w:val="365F91" w:themeColor="accent1" w:themeShade="BF"/>
          <w:sz w:val="20"/>
          <w:lang w:val="sr-Cyrl-CS"/>
        </w:rPr>
      </w:pPr>
      <w:r w:rsidRPr="00214738">
        <w:rPr>
          <w:b/>
          <w:i/>
          <w:noProof/>
          <w:color w:val="365F91" w:themeColor="accent1" w:themeShade="BF"/>
          <w:sz w:val="20"/>
          <w:lang w:val="sr-Cyrl-CS"/>
        </w:rPr>
        <w:t>Бруто резултат из пословне активности</w:t>
      </w:r>
    </w:p>
    <w:p w:rsidR="00214738" w:rsidRPr="00214738" w:rsidRDefault="00214738" w:rsidP="00214738">
      <w:pPr>
        <w:pStyle w:val="NoSpacing"/>
        <w:spacing w:before="120" w:after="120" w:line="276" w:lineRule="auto"/>
        <w:ind w:firstLine="284"/>
        <w:jc w:val="both"/>
        <w:rPr>
          <w:rFonts w:eastAsiaTheme="minorHAnsi"/>
          <w:noProof/>
          <w:sz w:val="20"/>
          <w:szCs w:val="20"/>
          <w:lang w:val="sr-Cyrl-CS" w:eastAsia="en-US"/>
        </w:rPr>
      </w:pPr>
      <w:r w:rsidRPr="00214738">
        <w:rPr>
          <w:rFonts w:eastAsiaTheme="minorHAnsi"/>
          <w:noProof/>
          <w:sz w:val="20"/>
          <w:szCs w:val="20"/>
          <w:lang w:val="sr-Cyrl-CS" w:eastAsia="en-US"/>
        </w:rPr>
        <w:t xml:space="preserve">У односу на остварење у претходној години када је резултат био негативан у износу </w:t>
      </w:r>
      <w:r w:rsidR="00CA3636">
        <w:rPr>
          <w:rFonts w:eastAsiaTheme="minorHAnsi"/>
          <w:noProof/>
          <w:sz w:val="20"/>
          <w:szCs w:val="20"/>
          <w:lang w:val="sr-Cyrl-CS" w:eastAsia="en-US"/>
        </w:rPr>
        <w:t>36.922</w:t>
      </w:r>
      <w:r w:rsidRPr="00214738">
        <w:rPr>
          <w:rFonts w:eastAsiaTheme="minorHAnsi"/>
          <w:noProof/>
          <w:sz w:val="20"/>
          <w:szCs w:val="20"/>
          <w:lang w:val="sr-Cyrl-CS" w:eastAsia="en-US"/>
        </w:rPr>
        <w:t xml:space="preserve"> хиљада динара, у 2015. бруто резултат је позитиван и износи </w:t>
      </w:r>
      <w:r w:rsidR="00CA3636">
        <w:rPr>
          <w:rFonts w:eastAsiaTheme="minorHAnsi"/>
          <w:noProof/>
          <w:sz w:val="20"/>
          <w:szCs w:val="20"/>
          <w:lang w:val="sr-Cyrl-CS" w:eastAsia="en-US"/>
        </w:rPr>
        <w:t>410.907</w:t>
      </w:r>
      <w:r w:rsidRPr="00214738">
        <w:rPr>
          <w:rFonts w:eastAsiaTheme="minorHAnsi"/>
          <w:noProof/>
          <w:sz w:val="20"/>
          <w:szCs w:val="20"/>
          <w:lang w:val="sr-Cyrl-CS" w:eastAsia="en-US"/>
        </w:rPr>
        <w:t xml:space="preserve"> хиљада динара. Остварени бруто пословни резултат већи је од планираног за </w:t>
      </w:r>
      <w:r w:rsidR="00A93E08">
        <w:rPr>
          <w:rFonts w:eastAsiaTheme="minorHAnsi"/>
          <w:noProof/>
          <w:sz w:val="20"/>
          <w:szCs w:val="20"/>
          <w:lang w:val="sr-Cyrl-CS" w:eastAsia="en-US"/>
        </w:rPr>
        <w:t>35,65</w:t>
      </w:r>
      <w:r w:rsidRPr="00214738">
        <w:rPr>
          <w:rFonts w:eastAsiaTheme="minorHAnsi"/>
          <w:noProof/>
          <w:sz w:val="20"/>
          <w:szCs w:val="20"/>
          <w:lang w:val="sr-Cyrl-CS" w:eastAsia="en-US"/>
        </w:rPr>
        <w:t>%.</w:t>
      </w:r>
    </w:p>
    <w:p w:rsidR="00214738" w:rsidRPr="00214738" w:rsidRDefault="00214738" w:rsidP="00214738">
      <w:pPr>
        <w:pStyle w:val="NoSpacing"/>
        <w:spacing w:before="120" w:after="120" w:line="276" w:lineRule="auto"/>
        <w:ind w:firstLine="284"/>
        <w:jc w:val="both"/>
        <w:rPr>
          <w:rFonts w:eastAsiaTheme="minorHAnsi"/>
          <w:noProof/>
          <w:sz w:val="20"/>
          <w:szCs w:val="20"/>
          <w:lang w:val="sr-Cyrl-CS" w:eastAsia="en-US"/>
        </w:rPr>
      </w:pPr>
      <w:r w:rsidRPr="00214738">
        <w:rPr>
          <w:rFonts w:eastAsiaTheme="minorHAnsi"/>
          <w:noProof/>
          <w:sz w:val="20"/>
          <w:szCs w:val="20"/>
          <w:lang w:val="sr-Cyrl-CS" w:eastAsia="en-US"/>
        </w:rPr>
        <w:t>Назначајнији утицај на висину оствареног бруто пословног резултата у 2015. години имали су:</w:t>
      </w:r>
    </w:p>
    <w:p w:rsidR="00214738" w:rsidRPr="00214738" w:rsidRDefault="00214738" w:rsidP="00214738">
      <w:pPr>
        <w:pStyle w:val="NoSpacing"/>
        <w:spacing w:before="120" w:after="120" w:line="276" w:lineRule="auto"/>
        <w:ind w:firstLine="284"/>
        <w:jc w:val="both"/>
        <w:rPr>
          <w:rFonts w:eastAsiaTheme="minorHAnsi"/>
          <w:noProof/>
          <w:sz w:val="20"/>
          <w:szCs w:val="20"/>
          <w:lang w:val="sr-Cyrl-CS" w:eastAsia="en-US"/>
        </w:rPr>
      </w:pPr>
      <w:r w:rsidRPr="00214738">
        <w:rPr>
          <w:rFonts w:eastAsiaTheme="minorHAnsi"/>
          <w:noProof/>
          <w:sz w:val="20"/>
          <w:szCs w:val="20"/>
          <w:lang w:val="sr-Cyrl-CS" w:eastAsia="en-US"/>
        </w:rPr>
        <w:t>смањење резервисаних штета у износу од 119.268 хиљада динара (у претходној години забележено повећање истих за 56.202 хиљада динара) и</w:t>
      </w:r>
    </w:p>
    <w:p w:rsidR="00214738" w:rsidRDefault="00214738" w:rsidP="00214738">
      <w:pPr>
        <w:pStyle w:val="NoSpacing"/>
        <w:spacing w:before="120" w:after="120" w:line="276" w:lineRule="auto"/>
        <w:ind w:firstLine="284"/>
        <w:jc w:val="both"/>
        <w:rPr>
          <w:rFonts w:eastAsiaTheme="minorHAnsi"/>
          <w:noProof/>
          <w:sz w:val="20"/>
          <w:szCs w:val="20"/>
          <w:lang w:val="sr-Cyrl-CS" w:eastAsia="en-US"/>
        </w:rPr>
      </w:pPr>
      <w:r w:rsidRPr="00214738">
        <w:rPr>
          <w:rFonts w:eastAsiaTheme="minorHAnsi"/>
          <w:noProof/>
          <w:sz w:val="20"/>
          <w:szCs w:val="20"/>
          <w:lang w:val="sr-Cyrl-CS" w:eastAsia="en-US"/>
        </w:rPr>
        <w:t>смањење осталих техничких резерви у износу од 220.660 хиљада динара (укидање резерви за изравнање ризика за све врсте осигурања, осим за врсту 14 – осигураењ кредита).</w:t>
      </w:r>
    </w:p>
    <w:p w:rsidR="00214738" w:rsidRPr="00214738" w:rsidRDefault="00214738" w:rsidP="00214738">
      <w:pPr>
        <w:spacing w:before="120" w:after="120"/>
        <w:jc w:val="center"/>
        <w:rPr>
          <w:b/>
          <w:i/>
          <w:noProof/>
          <w:color w:val="365F91" w:themeColor="accent1" w:themeShade="BF"/>
          <w:sz w:val="20"/>
          <w:lang w:val="sr-Cyrl-CS"/>
        </w:rPr>
      </w:pPr>
      <w:r w:rsidRPr="00214738">
        <w:rPr>
          <w:b/>
          <w:i/>
          <w:noProof/>
          <w:color w:val="365F91" w:themeColor="accent1" w:themeShade="BF"/>
          <w:sz w:val="20"/>
          <w:lang w:val="sr-Cyrl-CS"/>
        </w:rPr>
        <w:t>Нето резултат из пословне активности</w:t>
      </w:r>
    </w:p>
    <w:p w:rsidR="00214738" w:rsidRPr="00214738" w:rsidRDefault="00214738" w:rsidP="00214738">
      <w:pPr>
        <w:spacing w:before="80" w:after="80"/>
        <w:jc w:val="both"/>
        <w:rPr>
          <w:noProof/>
          <w:sz w:val="20"/>
          <w:szCs w:val="20"/>
          <w:lang w:val="sr-Cyrl-CS"/>
        </w:rPr>
      </w:pPr>
      <w:r w:rsidRPr="001B36D8">
        <w:rPr>
          <w:rFonts w:ascii="Calibri" w:hAnsi="Calibri" w:cs="Calibri"/>
          <w:noProof/>
          <w:lang w:val="sr-Cyrl-RS"/>
        </w:rPr>
        <w:t xml:space="preserve">   </w:t>
      </w:r>
      <w:r w:rsidRPr="00214738">
        <w:rPr>
          <w:noProof/>
          <w:sz w:val="20"/>
          <w:szCs w:val="20"/>
          <w:lang w:val="sr-Cyrl-CS"/>
        </w:rPr>
        <w:t>Нето резултат из пословних активности представља збир бруто пословног резултата, резултата од активности инвестирања средстава осигурања и трошкова спровођења.</w:t>
      </w:r>
    </w:p>
    <w:p w:rsidR="00214738" w:rsidRPr="00214738" w:rsidRDefault="00214738" w:rsidP="00214738">
      <w:pPr>
        <w:spacing w:before="80" w:after="80"/>
        <w:jc w:val="both"/>
        <w:rPr>
          <w:noProof/>
          <w:sz w:val="20"/>
          <w:szCs w:val="20"/>
          <w:lang w:val="sr-Cyrl-CS"/>
        </w:rPr>
      </w:pPr>
      <w:r w:rsidRPr="00214738">
        <w:rPr>
          <w:noProof/>
          <w:sz w:val="20"/>
          <w:szCs w:val="20"/>
          <w:lang w:val="sr-Cyrl-CS"/>
        </w:rPr>
        <w:t xml:space="preserve">    У 2015. години остварен је добитак из нето пословне активности у износу од </w:t>
      </w:r>
      <w:r w:rsidR="009F3870">
        <w:rPr>
          <w:noProof/>
          <w:sz w:val="20"/>
          <w:szCs w:val="20"/>
          <w:lang w:val="sr-Cyrl-CS"/>
        </w:rPr>
        <w:t>320.969</w:t>
      </w:r>
      <w:r w:rsidRPr="00214738">
        <w:rPr>
          <w:noProof/>
          <w:sz w:val="20"/>
          <w:szCs w:val="20"/>
          <w:lang w:val="sr-Cyrl-CS"/>
        </w:rPr>
        <w:t xml:space="preserve"> хиљада динара и значајно је изнад планираних вредности и остварења претходне године (када је забележен губитак). </w:t>
      </w:r>
    </w:p>
    <w:p w:rsidR="00214738" w:rsidRPr="00214738" w:rsidRDefault="00214738" w:rsidP="00214738">
      <w:pPr>
        <w:spacing w:before="120" w:after="120"/>
        <w:jc w:val="center"/>
        <w:rPr>
          <w:b/>
          <w:i/>
          <w:noProof/>
          <w:color w:val="365F91" w:themeColor="accent1" w:themeShade="BF"/>
          <w:sz w:val="20"/>
          <w:lang w:val="sr-Cyrl-CS"/>
        </w:rPr>
      </w:pPr>
      <w:r w:rsidRPr="00214738">
        <w:rPr>
          <w:b/>
          <w:i/>
          <w:noProof/>
          <w:color w:val="365F91" w:themeColor="accent1" w:themeShade="BF"/>
          <w:sz w:val="20"/>
          <w:lang w:val="sr-Cyrl-CS"/>
        </w:rPr>
        <w:t xml:space="preserve">Финансијски резултат </w:t>
      </w:r>
    </w:p>
    <w:p w:rsidR="00214738" w:rsidRPr="00214738" w:rsidRDefault="00214738" w:rsidP="00214738">
      <w:pPr>
        <w:spacing w:before="80" w:after="80"/>
        <w:jc w:val="both"/>
        <w:rPr>
          <w:noProof/>
          <w:sz w:val="20"/>
          <w:szCs w:val="20"/>
          <w:lang w:val="sr-Cyrl-CS"/>
        </w:rPr>
      </w:pPr>
      <w:r w:rsidRPr="00214738">
        <w:rPr>
          <w:noProof/>
          <w:sz w:val="20"/>
          <w:szCs w:val="20"/>
          <w:lang w:val="sr-Cyrl-CS"/>
        </w:rPr>
        <w:t>У односу на остварење у претходној години финансијски приходи већи су за 28,95% а у односу на план мањи  су за 15,84%. Финансијски расходи у односу на исти период мањи су за 18.84%, а у односу на план већи су за 7,69%.</w:t>
      </w:r>
    </w:p>
    <w:p w:rsidR="00214738" w:rsidRPr="00214738" w:rsidRDefault="00214738" w:rsidP="00214738">
      <w:pPr>
        <w:spacing w:before="120" w:after="120"/>
        <w:jc w:val="center"/>
        <w:rPr>
          <w:b/>
          <w:i/>
          <w:noProof/>
          <w:color w:val="365F91" w:themeColor="accent1" w:themeShade="BF"/>
          <w:sz w:val="20"/>
          <w:lang w:val="sr-Cyrl-CS"/>
        </w:rPr>
      </w:pPr>
      <w:r w:rsidRPr="00214738">
        <w:rPr>
          <w:b/>
          <w:i/>
          <w:noProof/>
          <w:color w:val="365F91" w:themeColor="accent1" w:themeShade="BF"/>
          <w:sz w:val="20"/>
          <w:lang w:val="sr-Cyrl-CS"/>
        </w:rPr>
        <w:t xml:space="preserve">Резултат од усклађивања вредности имовине </w:t>
      </w:r>
    </w:p>
    <w:p w:rsidR="00214738" w:rsidRPr="00214738" w:rsidRDefault="00214738" w:rsidP="00214738">
      <w:pPr>
        <w:spacing w:before="80" w:after="80"/>
        <w:jc w:val="both"/>
        <w:rPr>
          <w:noProof/>
          <w:sz w:val="20"/>
          <w:szCs w:val="20"/>
          <w:lang w:val="sr-Cyrl-CS"/>
        </w:rPr>
      </w:pPr>
      <w:r>
        <w:rPr>
          <w:noProof/>
          <w:sz w:val="20"/>
          <w:szCs w:val="20"/>
          <w:lang w:val="sr-Cyrl-CS"/>
        </w:rPr>
        <w:t xml:space="preserve">      </w:t>
      </w:r>
      <w:r w:rsidRPr="00214738">
        <w:rPr>
          <w:noProof/>
          <w:sz w:val="20"/>
          <w:szCs w:val="20"/>
          <w:lang w:val="sr-Cyrl-CS"/>
        </w:rPr>
        <w:t xml:space="preserve">У односу на остварење у претходној години резултат од усклађивања вредности имовине је смањен за 84,26% и износи 22.724 хиљаде динара. У односу на план остварење у 2015. години је веће за 43,76%. </w:t>
      </w:r>
    </w:p>
    <w:p w:rsidR="00214738" w:rsidRPr="00214738" w:rsidRDefault="00214738" w:rsidP="00214738">
      <w:pPr>
        <w:spacing w:before="80" w:after="80"/>
        <w:jc w:val="both"/>
        <w:rPr>
          <w:noProof/>
          <w:sz w:val="20"/>
          <w:szCs w:val="20"/>
          <w:lang w:val="sr-Cyrl-CS"/>
        </w:rPr>
      </w:pPr>
      <w:r>
        <w:rPr>
          <w:noProof/>
          <w:sz w:val="20"/>
          <w:szCs w:val="20"/>
          <w:lang w:val="sr-Cyrl-CS"/>
        </w:rPr>
        <w:t xml:space="preserve">     </w:t>
      </w:r>
      <w:r w:rsidRPr="00214738">
        <w:rPr>
          <w:noProof/>
          <w:sz w:val="20"/>
          <w:szCs w:val="20"/>
          <w:lang w:val="sr-Cyrl-CS"/>
        </w:rPr>
        <w:t>Највећи утицај на резултат од усклађивања вредности имовине има исправка вредности потраживања. У последње три године забележен је позитиван тренд у наплати потраживања, што је довело до смањења укупно исказаних прихода и расхода од усклађивања вредности потраживања. Просечна стопа наплате у периоду од 2013. до 2015. године износи 96,38%.</w:t>
      </w:r>
    </w:p>
    <w:p w:rsidR="00214738" w:rsidRPr="00214738" w:rsidRDefault="00214738" w:rsidP="00214738">
      <w:pPr>
        <w:spacing w:before="80" w:after="80"/>
        <w:jc w:val="both"/>
        <w:rPr>
          <w:noProof/>
          <w:sz w:val="20"/>
          <w:szCs w:val="20"/>
          <w:lang w:val="sr-Cyrl-CS"/>
        </w:rPr>
      </w:pPr>
      <w:r>
        <w:rPr>
          <w:noProof/>
          <w:sz w:val="20"/>
          <w:szCs w:val="20"/>
          <w:lang w:val="sr-Cyrl-CS"/>
        </w:rPr>
        <w:tab/>
      </w:r>
      <w:r w:rsidRPr="00214738">
        <w:rPr>
          <w:noProof/>
          <w:sz w:val="20"/>
          <w:szCs w:val="20"/>
          <w:lang w:val="sr-Cyrl-CS"/>
        </w:rPr>
        <w:t>У IV кварталу стављена је ван снаге Одлука НБС о начину процењивања билансних и ванбилансних позиција друштва за осигурање, па је Друштво за потребе утврђивања директног и индиректног отписа (исправке) потраживања на дан 31.12.2015. године користило интерну методологију дефинисану у Упутству за процењивање потраживања Друштва за реосигурање„Дунав РЕ“ а.д.о. Београд.</w:t>
      </w:r>
    </w:p>
    <w:p w:rsidR="00214738" w:rsidRPr="00214738" w:rsidRDefault="00214738" w:rsidP="00214738">
      <w:pPr>
        <w:spacing w:before="80" w:after="80"/>
        <w:jc w:val="both"/>
        <w:rPr>
          <w:noProof/>
          <w:sz w:val="20"/>
          <w:szCs w:val="20"/>
          <w:lang w:val="sr-Cyrl-CS"/>
        </w:rPr>
      </w:pPr>
      <w:r>
        <w:rPr>
          <w:noProof/>
          <w:sz w:val="20"/>
          <w:szCs w:val="20"/>
          <w:lang w:val="sr-Cyrl-CS"/>
        </w:rPr>
        <w:tab/>
      </w:r>
      <w:r w:rsidRPr="00214738">
        <w:rPr>
          <w:noProof/>
          <w:sz w:val="20"/>
          <w:szCs w:val="20"/>
          <w:lang w:val="sr-Cyrl-CS"/>
        </w:rPr>
        <w:t>Наведеним Упутством дефинисано је да ће Друштво вршти појединачну  исправку вредности  потраживања у висини целоукпног потраживања за  сва потраживања која су категоризована као неликвидна средства у складу са Одлуком о адекватности капитала друштва за осигурање/реосигурање (односно за сва потраживања старија од 90 дана).</w:t>
      </w:r>
    </w:p>
    <w:p w:rsidR="00214738" w:rsidRDefault="00214738" w:rsidP="00214738">
      <w:pPr>
        <w:spacing w:before="80" w:after="80"/>
        <w:jc w:val="both"/>
        <w:rPr>
          <w:noProof/>
          <w:sz w:val="20"/>
          <w:szCs w:val="20"/>
          <w:lang w:val="sr-Cyrl-CS"/>
        </w:rPr>
      </w:pPr>
      <w:r>
        <w:rPr>
          <w:noProof/>
          <w:sz w:val="20"/>
          <w:szCs w:val="20"/>
          <w:lang w:val="sr-Cyrl-CS"/>
        </w:rPr>
        <w:tab/>
      </w:r>
      <w:r w:rsidRPr="00214738">
        <w:rPr>
          <w:noProof/>
          <w:sz w:val="20"/>
          <w:szCs w:val="20"/>
          <w:lang w:val="sr-Cyrl-CS"/>
        </w:rPr>
        <w:t>За потраживања која су настала из основне делатности или инвестиционе активности, а која нису обухваћена појединачном исправком, Друштво ће вршити процену вредности (општу исправку) на нивоу укупних потраживања једног пословног партнера у складу са: историјом сарадње са дужником, доцњом у измиривању доспелих обавеза, финансијском способношћу дужника и значаја сарадње са дужником за будуће пословање Друштва.</w:t>
      </w:r>
    </w:p>
    <w:p w:rsidR="00214738" w:rsidRPr="00214738" w:rsidRDefault="00214738" w:rsidP="00214738">
      <w:pPr>
        <w:spacing w:before="80" w:after="80"/>
        <w:jc w:val="both"/>
        <w:rPr>
          <w:noProof/>
          <w:sz w:val="20"/>
          <w:szCs w:val="20"/>
          <w:lang w:val="sr-Cyrl-CS"/>
        </w:rPr>
      </w:pPr>
    </w:p>
    <w:p w:rsidR="004E6E16" w:rsidRDefault="00F36245" w:rsidP="00860C32">
      <w:pPr>
        <w:pStyle w:val="Heading1"/>
      </w:pPr>
      <w:bookmarkStart w:id="60" w:name="_Toc445975044"/>
      <w:r w:rsidRPr="00F36245">
        <w:t>ТРОШКОВИ ПОСЛОВАЊА</w:t>
      </w:r>
      <w:bookmarkEnd w:id="60"/>
    </w:p>
    <w:p w:rsidR="004E6E16" w:rsidRDefault="00C446B0" w:rsidP="005F78E3">
      <w:pPr>
        <w:spacing w:before="80" w:after="80" w:line="240" w:lineRule="auto"/>
        <w:jc w:val="both"/>
        <w:rPr>
          <w:rFonts w:eastAsiaTheme="minorEastAsia" w:cs="Tahoma"/>
          <w:noProof/>
          <w:sz w:val="20"/>
          <w:lang w:val="sr-Cyrl-RS" w:eastAsia="ja-JP"/>
        </w:rPr>
      </w:pPr>
      <w:r>
        <w:rPr>
          <w:rFonts w:eastAsiaTheme="minorEastAsia" w:cs="Tahoma"/>
          <w:noProof/>
          <w:sz w:val="20"/>
          <w:lang w:val="sr-Cyrl-RS" w:eastAsia="ja-JP"/>
        </w:rPr>
        <w:tab/>
      </w:r>
      <w:r w:rsidR="004E6E16" w:rsidRPr="00214738">
        <w:rPr>
          <w:rFonts w:eastAsiaTheme="minorEastAsia" w:cs="Tahoma"/>
          <w:noProof/>
          <w:sz w:val="20"/>
          <w:lang w:val="sr-Cyrl-RS" w:eastAsia="ja-JP"/>
        </w:rPr>
        <w:t xml:space="preserve">Трошкови пословања обухватају трошкове спровођења реосигурања, трошкове извиђаја и процене и трошкове </w:t>
      </w:r>
      <w:r w:rsidR="00214738" w:rsidRPr="00214738">
        <w:rPr>
          <w:rFonts w:eastAsiaTheme="minorEastAsia" w:cs="Tahoma"/>
          <w:noProof/>
          <w:sz w:val="20"/>
          <w:lang w:val="sr-Cyrl-RS" w:eastAsia="ja-JP"/>
        </w:rPr>
        <w:t>инвестирања</w:t>
      </w:r>
      <w:r w:rsidR="004E6E16" w:rsidRPr="00214738">
        <w:rPr>
          <w:rFonts w:eastAsiaTheme="minorEastAsia" w:cs="Tahoma"/>
          <w:noProof/>
          <w:sz w:val="20"/>
          <w:lang w:val="sr-Cyrl-RS" w:eastAsia="ja-JP"/>
        </w:rPr>
        <w:t>.</w:t>
      </w:r>
    </w:p>
    <w:p w:rsidR="00C446B0" w:rsidRDefault="00C446B0" w:rsidP="005F78E3">
      <w:pPr>
        <w:spacing w:before="80" w:after="80" w:line="240" w:lineRule="auto"/>
        <w:jc w:val="both"/>
        <w:rPr>
          <w:rFonts w:eastAsiaTheme="minorEastAsia" w:cs="Tahoma"/>
          <w:noProof/>
          <w:sz w:val="20"/>
          <w:lang w:val="sr-Cyrl-RS" w:eastAsia="ja-JP"/>
        </w:rPr>
      </w:pPr>
      <w:r>
        <w:rPr>
          <w:rFonts w:eastAsiaTheme="minorEastAsia" w:cs="Tahoma"/>
          <w:noProof/>
          <w:sz w:val="20"/>
          <w:lang w:val="sr-Cyrl-RS" w:eastAsia="ja-JP"/>
        </w:rPr>
        <w:t xml:space="preserve"> </w:t>
      </w:r>
      <w:r>
        <w:rPr>
          <w:rFonts w:eastAsiaTheme="minorEastAsia" w:cs="Tahoma"/>
          <w:noProof/>
          <w:sz w:val="20"/>
          <w:lang w:val="sr-Cyrl-RS" w:eastAsia="ja-JP"/>
        </w:rPr>
        <w:tab/>
        <w:t>Друштво је остварило укупне трошкове у износу од 126.080 хиљада динара и они су мањи од остварења у претходној години за 13,83%</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У циљу рационализације трошкова Друштво је  предузело су следеће мере:</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1.</w:t>
      </w:r>
      <w:r w:rsidRPr="00F36245">
        <w:rPr>
          <w:rFonts w:eastAsiaTheme="minorEastAsia" w:cs="Tahoma"/>
          <w:noProof/>
          <w:sz w:val="20"/>
          <w:lang w:val="sr-Cyrl-RS" w:eastAsia="ja-JP"/>
        </w:rPr>
        <w:tab/>
        <w:t>Извршити реорганизацију тако што је  смањен број чланова извршног одбора са пет на три.</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2.</w:t>
      </w:r>
      <w:r w:rsidRPr="00F36245">
        <w:rPr>
          <w:rFonts w:eastAsiaTheme="minorEastAsia" w:cs="Tahoma"/>
          <w:noProof/>
          <w:sz w:val="20"/>
          <w:lang w:val="sr-Cyrl-RS" w:eastAsia="ja-JP"/>
        </w:rPr>
        <w:tab/>
        <w:t xml:space="preserve">Унапредило систем одређивања дела зарада по основу радног учинка у намери да стимулише сваког запосленог да свој посао обавља на најбољи могућ начин и тиме допринесе побољшању пословних резултата. </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3.</w:t>
      </w:r>
      <w:r w:rsidRPr="00F36245">
        <w:rPr>
          <w:rFonts w:eastAsiaTheme="minorEastAsia" w:cs="Tahoma"/>
          <w:noProof/>
          <w:sz w:val="20"/>
          <w:lang w:val="sr-Cyrl-RS" w:eastAsia="ja-JP"/>
        </w:rPr>
        <w:tab/>
        <w:t>Ускладило Колективни уговор са Законом о раду. У циљу смањења трошкова извршене су следеће измене у односу на претходни уговор:</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w:t>
      </w:r>
      <w:r w:rsidRPr="00F36245">
        <w:rPr>
          <w:rFonts w:eastAsiaTheme="minorEastAsia" w:cs="Tahoma"/>
          <w:noProof/>
          <w:sz w:val="20"/>
          <w:lang w:val="sr-Cyrl-RS" w:eastAsia="ja-JP"/>
        </w:rPr>
        <w:tab/>
        <w:t xml:space="preserve">Смањењена  цена рада; </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w:t>
      </w:r>
      <w:r w:rsidRPr="00F36245">
        <w:rPr>
          <w:rFonts w:eastAsiaTheme="minorEastAsia" w:cs="Tahoma"/>
          <w:noProof/>
          <w:sz w:val="20"/>
          <w:lang w:val="sr-Cyrl-RS" w:eastAsia="ja-JP"/>
        </w:rPr>
        <w:tab/>
        <w:t xml:space="preserve">Смањењено право на увећање зараде по основу  минулог рада са  0,7% на 0,4%; </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w:t>
      </w:r>
      <w:r w:rsidRPr="00F36245">
        <w:rPr>
          <w:rFonts w:eastAsiaTheme="minorEastAsia" w:cs="Tahoma"/>
          <w:noProof/>
          <w:sz w:val="20"/>
          <w:lang w:val="sr-Cyrl-RS" w:eastAsia="ja-JP"/>
        </w:rPr>
        <w:tab/>
        <w:t>Смањењено право на накнаду зараде за време одсуствовања са рада због привремене сперечности за рад до 30 дана на 65% уместо 85% од остварене просечне зараде претходних 12 месеци;</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w:t>
      </w:r>
      <w:r w:rsidRPr="00F36245">
        <w:rPr>
          <w:rFonts w:eastAsiaTheme="minorEastAsia" w:cs="Tahoma"/>
          <w:noProof/>
          <w:sz w:val="20"/>
          <w:lang w:val="sr-Cyrl-RS" w:eastAsia="ja-JP"/>
        </w:rPr>
        <w:tab/>
        <w:t>Смањењено право на нето накнаду трошкова  на име исхране у току рада на 200 РСД по радном дану уместо 20% од остварене просечне зараде у Републици Србији;</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w:t>
      </w:r>
      <w:r w:rsidRPr="00F36245">
        <w:rPr>
          <w:rFonts w:eastAsiaTheme="minorEastAsia" w:cs="Tahoma"/>
          <w:noProof/>
          <w:sz w:val="20"/>
          <w:lang w:val="sr-Cyrl-RS" w:eastAsia="ja-JP"/>
        </w:rPr>
        <w:tab/>
        <w:t xml:space="preserve">Смањењено право на регрес за коришћење годишњег одмора  на 12.000 динара; </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Распоред трошкова спровођења реосигурања се врши се у целости на поједину категорију трошкова код унапред дефинисане врсте трошка, где се може утврдити расподела се врши према стварном трошку и у случају да се распоред не може утврдити по стварном трошку исти се распоређује према кључу.</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Трошкови којима се  у моменту настанка не може одредити место трошка, расподељују се системом кључа. Кључ за распоред трошкова доноси шеф рачуноводства, а утврђује се на основу података о броју запослених у секторима и вансекторсим службама достављених од правне службе. Кључ се одређује квартално.</w:t>
      </w:r>
    </w:p>
    <w:p w:rsidR="00F36245" w:rsidRPr="00F36245"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Трошкови прибаве представљају трошкове настале приликом обављања пословних активности реосигурања са сврхом повећања или одржавања  постојећег обима послова и прихода по истим.</w:t>
      </w:r>
    </w:p>
    <w:p w:rsidR="00F36245" w:rsidRPr="00214738" w:rsidRDefault="00F36245" w:rsidP="005F78E3">
      <w:pPr>
        <w:spacing w:before="80" w:after="80" w:line="240" w:lineRule="auto"/>
        <w:jc w:val="both"/>
        <w:rPr>
          <w:rFonts w:eastAsiaTheme="minorEastAsia" w:cs="Tahoma"/>
          <w:noProof/>
          <w:sz w:val="20"/>
          <w:lang w:val="sr-Cyrl-RS" w:eastAsia="ja-JP"/>
        </w:rPr>
      </w:pPr>
      <w:r w:rsidRPr="00F36245">
        <w:rPr>
          <w:rFonts w:eastAsiaTheme="minorEastAsia" w:cs="Tahoma"/>
          <w:noProof/>
          <w:sz w:val="20"/>
          <w:lang w:val="sr-Cyrl-RS" w:eastAsia="ja-JP"/>
        </w:rPr>
        <w:t>Трошкови управе обухватају све административне трошкове који се не односе непостредно на закључивање уговора о реосигурању, ликвидацију штета и инвестициону активности Друштва, а чине их трошкови амортизације, трошкови уговвора о делу (за актуаре и остало), накнаде члановима Надзорног одбора и Комисије за ревизију, као и зараде свих запослених ван сектора реосигурања.</w:t>
      </w:r>
    </w:p>
    <w:p w:rsidR="00B44D29" w:rsidRDefault="00B44D29" w:rsidP="00373385">
      <w:pPr>
        <w:spacing w:before="120" w:after="120"/>
        <w:jc w:val="center"/>
        <w:rPr>
          <w:b/>
          <w:i/>
          <w:noProof/>
          <w:color w:val="4F81BD" w:themeColor="accent1"/>
          <w:sz w:val="20"/>
          <w:szCs w:val="20"/>
          <w:lang w:val="sr-Cyrl-CS" w:eastAsia="ar-SA"/>
        </w:rPr>
      </w:pPr>
      <w:r w:rsidRPr="00BF3CDE">
        <w:rPr>
          <w:b/>
          <w:i/>
          <w:noProof/>
          <w:color w:val="4F81BD" w:themeColor="accent1"/>
          <w:sz w:val="20"/>
          <w:szCs w:val="20"/>
          <w:lang w:val="sr-Cyrl-CS" w:eastAsia="ar-SA"/>
        </w:rPr>
        <w:t xml:space="preserve">Преглед </w:t>
      </w:r>
      <w:r>
        <w:rPr>
          <w:b/>
          <w:i/>
          <w:noProof/>
          <w:color w:val="4F81BD" w:themeColor="accent1"/>
          <w:sz w:val="20"/>
          <w:szCs w:val="20"/>
          <w:lang w:val="sr-Cyrl-CS" w:eastAsia="ar-SA"/>
        </w:rPr>
        <w:t xml:space="preserve">поделе укупних </w:t>
      </w:r>
      <w:r w:rsidRPr="00BF3CDE">
        <w:rPr>
          <w:b/>
          <w:i/>
          <w:noProof/>
          <w:color w:val="4F81BD" w:themeColor="accent1"/>
          <w:sz w:val="20"/>
          <w:szCs w:val="20"/>
          <w:lang w:val="sr-Cyrl-CS" w:eastAsia="ar-SA"/>
        </w:rPr>
        <w:t xml:space="preserve">трошкова </w:t>
      </w:r>
      <w:r>
        <w:rPr>
          <w:b/>
          <w:i/>
          <w:noProof/>
          <w:color w:val="4F81BD" w:themeColor="accent1"/>
          <w:sz w:val="20"/>
          <w:szCs w:val="20"/>
          <w:lang w:val="sr-Cyrl-CS" w:eastAsia="ar-SA"/>
        </w:rPr>
        <w:t>по носиоцима</w:t>
      </w:r>
      <w:r w:rsidR="001B338A">
        <w:rPr>
          <w:b/>
          <w:i/>
          <w:noProof/>
          <w:color w:val="4F81BD" w:themeColor="accent1"/>
          <w:sz w:val="20"/>
          <w:szCs w:val="20"/>
          <w:lang w:val="sr-Cyrl-CS" w:eastAsia="ar-SA"/>
        </w:rPr>
        <w:t xml:space="preserve"> у 000 РСД</w:t>
      </w:r>
    </w:p>
    <w:tbl>
      <w:tblPr>
        <w:tblW w:w="9219" w:type="dxa"/>
        <w:tblInd w:w="93" w:type="dxa"/>
        <w:tblLook w:val="04A0" w:firstRow="1" w:lastRow="0" w:firstColumn="1" w:lastColumn="0" w:noHBand="0" w:noVBand="1"/>
      </w:tblPr>
      <w:tblGrid>
        <w:gridCol w:w="4272"/>
        <w:gridCol w:w="1649"/>
        <w:gridCol w:w="1649"/>
        <w:gridCol w:w="1649"/>
      </w:tblGrid>
      <w:tr w:rsidR="00C446B0" w:rsidRPr="00C446B0" w:rsidTr="00C446B0">
        <w:trPr>
          <w:trHeight w:val="392"/>
        </w:trPr>
        <w:tc>
          <w:tcPr>
            <w:tcW w:w="4272" w:type="dxa"/>
            <w:tcBorders>
              <w:top w:val="nil"/>
              <w:left w:val="nil"/>
              <w:bottom w:val="single" w:sz="8" w:space="0" w:color="1F497D"/>
              <w:right w:val="nil"/>
            </w:tcBorders>
            <w:shd w:val="clear" w:color="auto" w:fill="auto"/>
            <w:noWrap/>
            <w:vAlign w:val="center"/>
            <w:hideMark/>
          </w:tcPr>
          <w:p w:rsidR="00C446B0" w:rsidRPr="00C446B0" w:rsidRDefault="00C446B0" w:rsidP="00C446B0">
            <w:pPr>
              <w:spacing w:after="0" w:line="240" w:lineRule="auto"/>
              <w:rPr>
                <w:rFonts w:ascii="Calibri" w:eastAsia="Times New Roman" w:hAnsi="Calibri" w:cs="Times New Roman"/>
                <w:color w:val="000000"/>
                <w:lang w:val="sr-Latn-RS" w:eastAsia="sr-Latn-RS"/>
              </w:rPr>
            </w:pPr>
            <w:r w:rsidRPr="00C446B0">
              <w:rPr>
                <w:rFonts w:ascii="Calibri" w:eastAsia="Times New Roman" w:hAnsi="Calibri" w:cs="Times New Roman"/>
                <w:color w:val="000000"/>
                <w:lang w:val="sr-Latn-RS" w:eastAsia="sr-Latn-RS"/>
              </w:rPr>
              <w:t> </w:t>
            </w:r>
          </w:p>
        </w:tc>
        <w:tc>
          <w:tcPr>
            <w:tcW w:w="1649" w:type="dxa"/>
            <w:tcBorders>
              <w:top w:val="nil"/>
              <w:left w:val="nil"/>
              <w:bottom w:val="single" w:sz="8" w:space="0" w:color="1F497D"/>
              <w:right w:val="nil"/>
            </w:tcBorders>
            <w:shd w:val="clear" w:color="auto" w:fill="auto"/>
            <w:noWrap/>
            <w:vAlign w:val="center"/>
            <w:hideMark/>
          </w:tcPr>
          <w:p w:rsidR="00C446B0" w:rsidRPr="00C446B0" w:rsidRDefault="00C446B0" w:rsidP="00C446B0">
            <w:pPr>
              <w:spacing w:after="0" w:line="240" w:lineRule="auto"/>
              <w:jc w:val="center"/>
              <w:rPr>
                <w:rFonts w:ascii="Calibri" w:eastAsia="Times New Roman" w:hAnsi="Calibri" w:cs="Times New Roman"/>
                <w:color w:val="000000"/>
                <w:lang w:val="sr-Latn-RS" w:eastAsia="sr-Latn-RS"/>
              </w:rPr>
            </w:pPr>
            <w:r w:rsidRPr="00C446B0">
              <w:rPr>
                <w:rFonts w:ascii="Calibri" w:eastAsia="Times New Roman" w:hAnsi="Calibri" w:cs="Times New Roman"/>
                <w:color w:val="000000"/>
                <w:lang w:val="sr-Latn-RS" w:eastAsia="sr-Latn-RS"/>
              </w:rPr>
              <w:t> </w:t>
            </w:r>
          </w:p>
        </w:tc>
        <w:tc>
          <w:tcPr>
            <w:tcW w:w="1649" w:type="dxa"/>
            <w:tcBorders>
              <w:top w:val="nil"/>
              <w:left w:val="nil"/>
              <w:bottom w:val="single" w:sz="8" w:space="0" w:color="1F497D"/>
              <w:right w:val="nil"/>
            </w:tcBorders>
            <w:shd w:val="clear" w:color="auto" w:fill="auto"/>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lang w:val="sr-Latn-RS" w:eastAsia="sr-Latn-RS"/>
              </w:rPr>
            </w:pPr>
            <w:r w:rsidRPr="00C446B0">
              <w:rPr>
                <w:rFonts w:ascii="Calibri" w:eastAsia="Times New Roman" w:hAnsi="Calibri" w:cs="Times New Roman"/>
                <w:b/>
                <w:bCs/>
                <w:color w:val="000000"/>
                <w:lang w:val="sr-Latn-RS" w:eastAsia="sr-Latn-RS"/>
              </w:rPr>
              <w:t>остварење 2015</w:t>
            </w:r>
          </w:p>
        </w:tc>
        <w:tc>
          <w:tcPr>
            <w:tcW w:w="1649" w:type="dxa"/>
            <w:tcBorders>
              <w:top w:val="nil"/>
              <w:left w:val="nil"/>
              <w:bottom w:val="single" w:sz="8" w:space="0" w:color="1F497D"/>
              <w:right w:val="nil"/>
            </w:tcBorders>
            <w:shd w:val="clear" w:color="auto" w:fill="auto"/>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lang w:val="sr-Latn-RS" w:eastAsia="sr-Latn-RS"/>
              </w:rPr>
            </w:pPr>
            <w:r w:rsidRPr="00C446B0">
              <w:rPr>
                <w:rFonts w:ascii="Calibri" w:eastAsia="Times New Roman" w:hAnsi="Calibri" w:cs="Times New Roman"/>
                <w:b/>
                <w:bCs/>
                <w:color w:val="000000"/>
                <w:lang w:val="sr-Latn-RS" w:eastAsia="sr-Latn-RS"/>
              </w:rPr>
              <w:t>остварење 2014</w:t>
            </w:r>
          </w:p>
        </w:tc>
      </w:tr>
      <w:tr w:rsidR="00C446B0" w:rsidRPr="00C446B0" w:rsidTr="00C446B0">
        <w:trPr>
          <w:trHeight w:val="392"/>
        </w:trPr>
        <w:tc>
          <w:tcPr>
            <w:tcW w:w="4272" w:type="dxa"/>
            <w:tcBorders>
              <w:top w:val="nil"/>
              <w:left w:val="nil"/>
              <w:bottom w:val="single" w:sz="8" w:space="0" w:color="1F497D"/>
              <w:right w:val="nil"/>
            </w:tcBorders>
            <w:shd w:val="clear" w:color="000000" w:fill="DCE6F1"/>
            <w:vAlign w:val="center"/>
            <w:hideMark/>
          </w:tcPr>
          <w:p w:rsidR="00C446B0" w:rsidRPr="00C446B0" w:rsidRDefault="00C446B0" w:rsidP="00C446B0">
            <w:pPr>
              <w:spacing w:after="0" w:line="240" w:lineRule="auto"/>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1. Трошкови прибаве</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center"/>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 </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367,728</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320,023</w:t>
            </w:r>
          </w:p>
        </w:tc>
      </w:tr>
      <w:tr w:rsidR="00C446B0" w:rsidRPr="00C446B0" w:rsidTr="00C446B0">
        <w:trPr>
          <w:trHeight w:val="377"/>
        </w:trPr>
        <w:tc>
          <w:tcPr>
            <w:tcW w:w="4272" w:type="dxa"/>
            <w:tcBorders>
              <w:top w:val="nil"/>
              <w:left w:val="nil"/>
              <w:bottom w:val="nil"/>
              <w:right w:val="nil"/>
            </w:tcBorders>
            <w:shd w:val="clear" w:color="auto" w:fill="auto"/>
            <w:vAlign w:val="center"/>
            <w:hideMark/>
          </w:tcPr>
          <w:p w:rsidR="00C446B0" w:rsidRPr="00C446B0" w:rsidRDefault="00C446B0" w:rsidP="00C446B0">
            <w:pPr>
              <w:spacing w:after="0" w:line="240" w:lineRule="auto"/>
              <w:rPr>
                <w:rFonts w:ascii="Calibri" w:eastAsia="Times New Roman" w:hAnsi="Calibri" w:cs="Times New Roman"/>
                <w:color w:val="000000"/>
                <w:sz w:val="20"/>
                <w:szCs w:val="20"/>
                <w:lang w:val="sr-Latn-RS" w:eastAsia="sr-Latn-RS"/>
              </w:rPr>
            </w:pPr>
            <w:r w:rsidRPr="00C446B0">
              <w:rPr>
                <w:rFonts w:ascii="Calibri" w:eastAsia="Times New Roman" w:hAnsi="Calibri" w:cs="Times New Roman"/>
                <w:color w:val="000000"/>
                <w:sz w:val="20"/>
                <w:szCs w:val="20"/>
                <w:lang w:val="sr-Latn-RS" w:eastAsia="sr-Latn-RS"/>
              </w:rPr>
              <w:t>Провизије</w:t>
            </w:r>
          </w:p>
        </w:tc>
        <w:tc>
          <w:tcPr>
            <w:tcW w:w="1649" w:type="dxa"/>
            <w:tcBorders>
              <w:top w:val="nil"/>
              <w:left w:val="nil"/>
              <w:bottom w:val="nil"/>
              <w:right w:val="nil"/>
            </w:tcBorders>
            <w:shd w:val="clear" w:color="auto" w:fill="auto"/>
            <w:noWrap/>
            <w:vAlign w:val="bottom"/>
            <w:hideMark/>
          </w:tcPr>
          <w:p w:rsidR="00C446B0" w:rsidRPr="00C446B0" w:rsidRDefault="00C446B0" w:rsidP="00C446B0">
            <w:pPr>
              <w:spacing w:after="0" w:line="240" w:lineRule="auto"/>
              <w:rPr>
                <w:rFonts w:ascii="Verdana" w:eastAsia="Times New Roman" w:hAnsi="Verdana" w:cs="Times New Roman"/>
                <w:color w:val="000000"/>
                <w:lang w:val="sr-Latn-RS" w:eastAsia="sr-Latn-RS"/>
              </w:rPr>
            </w:pPr>
          </w:p>
        </w:tc>
        <w:tc>
          <w:tcPr>
            <w:tcW w:w="1649" w:type="dxa"/>
            <w:tcBorders>
              <w:top w:val="nil"/>
              <w:left w:val="nil"/>
              <w:bottom w:val="nil"/>
              <w:right w:val="nil"/>
            </w:tcBorders>
            <w:shd w:val="clear" w:color="auto" w:fill="auto"/>
            <w:noWrap/>
            <w:vAlign w:val="center"/>
            <w:hideMark/>
          </w:tcPr>
          <w:p w:rsidR="00C446B0" w:rsidRPr="00C446B0" w:rsidRDefault="00C446B0" w:rsidP="00C446B0">
            <w:pPr>
              <w:spacing w:after="0" w:line="240" w:lineRule="auto"/>
              <w:jc w:val="right"/>
              <w:rPr>
                <w:rFonts w:ascii="Calibri" w:eastAsia="Times New Roman" w:hAnsi="Calibri" w:cs="Times New Roman"/>
                <w:color w:val="000000"/>
                <w:sz w:val="20"/>
                <w:szCs w:val="20"/>
                <w:lang w:val="sr-Latn-RS" w:eastAsia="sr-Latn-RS"/>
              </w:rPr>
            </w:pPr>
            <w:r w:rsidRPr="00C446B0">
              <w:rPr>
                <w:rFonts w:ascii="Calibri" w:eastAsia="Times New Roman" w:hAnsi="Calibri" w:cs="Times New Roman"/>
                <w:color w:val="000000"/>
                <w:sz w:val="20"/>
                <w:szCs w:val="20"/>
                <w:lang w:val="sr-Latn-RS" w:eastAsia="sr-Latn-RS"/>
              </w:rPr>
              <w:t>309,014</w:t>
            </w:r>
          </w:p>
        </w:tc>
        <w:tc>
          <w:tcPr>
            <w:tcW w:w="1649" w:type="dxa"/>
            <w:tcBorders>
              <w:top w:val="nil"/>
              <w:left w:val="nil"/>
              <w:bottom w:val="nil"/>
              <w:right w:val="nil"/>
            </w:tcBorders>
            <w:shd w:val="clear" w:color="auto" w:fill="auto"/>
            <w:noWrap/>
            <w:vAlign w:val="center"/>
            <w:hideMark/>
          </w:tcPr>
          <w:p w:rsidR="00C446B0" w:rsidRPr="00C446B0" w:rsidRDefault="00C446B0" w:rsidP="00C446B0">
            <w:pPr>
              <w:spacing w:after="0" w:line="240" w:lineRule="auto"/>
              <w:jc w:val="right"/>
              <w:rPr>
                <w:rFonts w:ascii="Calibri" w:eastAsia="Times New Roman" w:hAnsi="Calibri" w:cs="Times New Roman"/>
                <w:color w:val="000000"/>
                <w:sz w:val="20"/>
                <w:szCs w:val="20"/>
                <w:lang w:val="sr-Latn-RS" w:eastAsia="sr-Latn-RS"/>
              </w:rPr>
            </w:pPr>
            <w:r w:rsidRPr="00C446B0">
              <w:rPr>
                <w:rFonts w:ascii="Calibri" w:eastAsia="Times New Roman" w:hAnsi="Calibri" w:cs="Times New Roman"/>
                <w:color w:val="000000"/>
                <w:sz w:val="20"/>
                <w:szCs w:val="20"/>
                <w:lang w:val="sr-Latn-RS" w:eastAsia="sr-Latn-RS"/>
              </w:rPr>
              <w:t>267,011</w:t>
            </w:r>
          </w:p>
        </w:tc>
      </w:tr>
      <w:tr w:rsidR="00C446B0" w:rsidRPr="00C446B0" w:rsidTr="00C446B0">
        <w:trPr>
          <w:trHeight w:val="392"/>
        </w:trPr>
        <w:tc>
          <w:tcPr>
            <w:tcW w:w="4272" w:type="dxa"/>
            <w:tcBorders>
              <w:top w:val="nil"/>
              <w:left w:val="nil"/>
              <w:bottom w:val="single" w:sz="8" w:space="0" w:color="1F497D"/>
              <w:right w:val="nil"/>
            </w:tcBorders>
            <w:shd w:val="clear" w:color="auto" w:fill="auto"/>
            <w:vAlign w:val="center"/>
            <w:hideMark/>
          </w:tcPr>
          <w:p w:rsidR="00C446B0" w:rsidRPr="00C446B0" w:rsidRDefault="00C446B0" w:rsidP="00C446B0">
            <w:pPr>
              <w:spacing w:after="0" w:line="240" w:lineRule="auto"/>
              <w:rPr>
                <w:rFonts w:ascii="Calibri" w:eastAsia="Times New Roman" w:hAnsi="Calibri" w:cs="Times New Roman"/>
                <w:color w:val="000000"/>
                <w:sz w:val="20"/>
                <w:szCs w:val="20"/>
                <w:lang w:val="sr-Latn-RS" w:eastAsia="sr-Latn-RS"/>
              </w:rPr>
            </w:pPr>
            <w:r w:rsidRPr="00C446B0">
              <w:rPr>
                <w:rFonts w:ascii="Calibri" w:eastAsia="Times New Roman" w:hAnsi="Calibri" w:cs="Times New Roman"/>
                <w:color w:val="000000"/>
                <w:sz w:val="20"/>
                <w:szCs w:val="20"/>
                <w:lang w:val="sr-Latn-RS" w:eastAsia="sr-Latn-RS"/>
              </w:rPr>
              <w:t>Остали трошкови прибаве</w:t>
            </w:r>
          </w:p>
        </w:tc>
        <w:tc>
          <w:tcPr>
            <w:tcW w:w="1649" w:type="dxa"/>
            <w:tcBorders>
              <w:top w:val="nil"/>
              <w:left w:val="nil"/>
              <w:bottom w:val="single" w:sz="8" w:space="0" w:color="1F497D"/>
              <w:right w:val="nil"/>
            </w:tcBorders>
            <w:shd w:val="clear" w:color="auto" w:fill="auto"/>
            <w:noWrap/>
            <w:vAlign w:val="center"/>
            <w:hideMark/>
          </w:tcPr>
          <w:p w:rsidR="00C446B0" w:rsidRPr="00C446B0" w:rsidRDefault="00C446B0" w:rsidP="00C446B0">
            <w:pPr>
              <w:spacing w:after="0" w:line="240" w:lineRule="auto"/>
              <w:jc w:val="center"/>
              <w:rPr>
                <w:rFonts w:ascii="Calibri" w:eastAsia="Times New Roman" w:hAnsi="Calibri" w:cs="Times New Roman"/>
                <w:color w:val="000000"/>
                <w:sz w:val="20"/>
                <w:szCs w:val="20"/>
                <w:lang w:val="sr-Latn-RS" w:eastAsia="sr-Latn-RS"/>
              </w:rPr>
            </w:pPr>
            <w:r w:rsidRPr="00C446B0">
              <w:rPr>
                <w:rFonts w:ascii="Calibri" w:eastAsia="Times New Roman" w:hAnsi="Calibri" w:cs="Times New Roman"/>
                <w:color w:val="000000"/>
                <w:sz w:val="20"/>
                <w:szCs w:val="20"/>
                <w:lang w:val="sr-Latn-RS" w:eastAsia="sr-Latn-RS"/>
              </w:rPr>
              <w:t> </w:t>
            </w:r>
          </w:p>
        </w:tc>
        <w:tc>
          <w:tcPr>
            <w:tcW w:w="1649" w:type="dxa"/>
            <w:tcBorders>
              <w:top w:val="nil"/>
              <w:left w:val="nil"/>
              <w:bottom w:val="single" w:sz="8" w:space="0" w:color="1F497D"/>
              <w:right w:val="nil"/>
            </w:tcBorders>
            <w:shd w:val="clear" w:color="auto" w:fill="auto"/>
            <w:noWrap/>
            <w:vAlign w:val="center"/>
            <w:hideMark/>
          </w:tcPr>
          <w:p w:rsidR="00C446B0" w:rsidRPr="00C446B0" w:rsidRDefault="00C446B0" w:rsidP="00C446B0">
            <w:pPr>
              <w:spacing w:after="0" w:line="240" w:lineRule="auto"/>
              <w:jc w:val="right"/>
              <w:rPr>
                <w:rFonts w:ascii="Calibri" w:eastAsia="Times New Roman" w:hAnsi="Calibri" w:cs="Times New Roman"/>
                <w:color w:val="000000"/>
                <w:sz w:val="20"/>
                <w:szCs w:val="20"/>
                <w:lang w:val="sr-Latn-RS" w:eastAsia="sr-Latn-RS"/>
              </w:rPr>
            </w:pPr>
            <w:r w:rsidRPr="00C446B0">
              <w:rPr>
                <w:rFonts w:ascii="Calibri" w:eastAsia="Times New Roman" w:hAnsi="Calibri" w:cs="Times New Roman"/>
                <w:color w:val="000000"/>
                <w:sz w:val="20"/>
                <w:szCs w:val="20"/>
                <w:lang w:val="sr-Latn-RS" w:eastAsia="sr-Latn-RS"/>
              </w:rPr>
              <w:t>58,714</w:t>
            </w:r>
          </w:p>
        </w:tc>
        <w:tc>
          <w:tcPr>
            <w:tcW w:w="1649" w:type="dxa"/>
            <w:tcBorders>
              <w:top w:val="nil"/>
              <w:left w:val="nil"/>
              <w:bottom w:val="single" w:sz="8" w:space="0" w:color="1F497D"/>
              <w:right w:val="nil"/>
            </w:tcBorders>
            <w:shd w:val="clear" w:color="auto" w:fill="auto"/>
            <w:noWrap/>
            <w:vAlign w:val="center"/>
            <w:hideMark/>
          </w:tcPr>
          <w:p w:rsidR="00C446B0" w:rsidRPr="00C446B0" w:rsidRDefault="00C446B0" w:rsidP="00C446B0">
            <w:pPr>
              <w:spacing w:after="0" w:line="240" w:lineRule="auto"/>
              <w:jc w:val="right"/>
              <w:rPr>
                <w:rFonts w:ascii="Calibri" w:eastAsia="Times New Roman" w:hAnsi="Calibri" w:cs="Times New Roman"/>
                <w:color w:val="000000"/>
                <w:sz w:val="20"/>
                <w:szCs w:val="20"/>
                <w:lang w:val="sr-Latn-RS" w:eastAsia="sr-Latn-RS"/>
              </w:rPr>
            </w:pPr>
            <w:r w:rsidRPr="00C446B0">
              <w:rPr>
                <w:rFonts w:ascii="Calibri" w:eastAsia="Times New Roman" w:hAnsi="Calibri" w:cs="Times New Roman"/>
                <w:color w:val="000000"/>
                <w:sz w:val="20"/>
                <w:szCs w:val="20"/>
                <w:lang w:val="sr-Latn-RS" w:eastAsia="sr-Latn-RS"/>
              </w:rPr>
              <w:t>53,012</w:t>
            </w:r>
          </w:p>
        </w:tc>
      </w:tr>
      <w:tr w:rsidR="00C446B0" w:rsidRPr="00C446B0" w:rsidTr="00C446B0">
        <w:trPr>
          <w:trHeight w:val="392"/>
        </w:trPr>
        <w:tc>
          <w:tcPr>
            <w:tcW w:w="4272" w:type="dxa"/>
            <w:tcBorders>
              <w:top w:val="nil"/>
              <w:left w:val="nil"/>
              <w:bottom w:val="single" w:sz="8" w:space="0" w:color="1F497D"/>
              <w:right w:val="nil"/>
            </w:tcBorders>
            <w:shd w:val="clear" w:color="000000" w:fill="DCE6F1"/>
            <w:vAlign w:val="center"/>
            <w:hideMark/>
          </w:tcPr>
          <w:p w:rsidR="00C446B0" w:rsidRPr="00C446B0" w:rsidRDefault="00C446B0" w:rsidP="00C446B0">
            <w:pPr>
              <w:spacing w:after="0" w:line="240" w:lineRule="auto"/>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2. Трошкови управе</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center"/>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 </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82,914</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83,894</w:t>
            </w:r>
          </w:p>
        </w:tc>
      </w:tr>
      <w:tr w:rsidR="00C446B0" w:rsidRPr="00C446B0" w:rsidTr="00C446B0">
        <w:trPr>
          <w:trHeight w:val="392"/>
        </w:trPr>
        <w:tc>
          <w:tcPr>
            <w:tcW w:w="4272" w:type="dxa"/>
            <w:tcBorders>
              <w:top w:val="nil"/>
              <w:left w:val="nil"/>
              <w:bottom w:val="single" w:sz="8" w:space="0" w:color="1F497D"/>
              <w:right w:val="nil"/>
            </w:tcBorders>
            <w:shd w:val="clear" w:color="000000" w:fill="DCE6F1"/>
            <w:vAlign w:val="center"/>
            <w:hideMark/>
          </w:tcPr>
          <w:p w:rsidR="00C446B0" w:rsidRPr="00C446B0" w:rsidRDefault="00C446B0" w:rsidP="00C446B0">
            <w:pPr>
              <w:spacing w:after="0" w:line="240" w:lineRule="auto"/>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3. Остали трошкови спровођења</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center"/>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 </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3,099</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5,236</w:t>
            </w:r>
          </w:p>
        </w:tc>
      </w:tr>
      <w:tr w:rsidR="00C446B0" w:rsidRPr="00C446B0" w:rsidTr="00C446B0">
        <w:trPr>
          <w:trHeight w:val="392"/>
        </w:trPr>
        <w:tc>
          <w:tcPr>
            <w:tcW w:w="4272" w:type="dxa"/>
            <w:tcBorders>
              <w:top w:val="nil"/>
              <w:left w:val="nil"/>
              <w:bottom w:val="single" w:sz="8" w:space="0" w:color="1F497D"/>
              <w:right w:val="nil"/>
            </w:tcBorders>
            <w:shd w:val="clear" w:color="000000" w:fill="DCE6F1"/>
            <w:vAlign w:val="center"/>
            <w:hideMark/>
          </w:tcPr>
          <w:p w:rsidR="00C446B0" w:rsidRPr="00C446B0" w:rsidRDefault="00C446B0" w:rsidP="00C446B0">
            <w:pPr>
              <w:spacing w:after="0" w:line="240" w:lineRule="auto"/>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4. Провизија реосигурања</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center"/>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 </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353,116</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283,479</w:t>
            </w:r>
          </w:p>
        </w:tc>
      </w:tr>
      <w:tr w:rsidR="00C446B0" w:rsidRPr="00C446B0" w:rsidTr="00C446B0">
        <w:trPr>
          <w:trHeight w:val="392"/>
        </w:trPr>
        <w:tc>
          <w:tcPr>
            <w:tcW w:w="4272" w:type="dxa"/>
            <w:tcBorders>
              <w:top w:val="nil"/>
              <w:left w:val="nil"/>
              <w:bottom w:val="double" w:sz="6" w:space="0" w:color="1F497D"/>
              <w:right w:val="nil"/>
            </w:tcBorders>
            <w:shd w:val="clear" w:color="auto" w:fill="auto"/>
            <w:vAlign w:val="center"/>
            <w:hideMark/>
          </w:tcPr>
          <w:p w:rsidR="00C446B0" w:rsidRPr="00C446B0" w:rsidRDefault="00C446B0" w:rsidP="00C446B0">
            <w:pPr>
              <w:spacing w:after="0" w:line="240" w:lineRule="auto"/>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Укупни ТСР</w:t>
            </w:r>
          </w:p>
        </w:tc>
        <w:tc>
          <w:tcPr>
            <w:tcW w:w="1649" w:type="dxa"/>
            <w:tcBorders>
              <w:top w:val="nil"/>
              <w:left w:val="nil"/>
              <w:bottom w:val="double" w:sz="6" w:space="0" w:color="1F497D"/>
              <w:right w:val="nil"/>
            </w:tcBorders>
            <w:shd w:val="clear" w:color="auto" w:fill="auto"/>
            <w:noWrap/>
            <w:vAlign w:val="center"/>
            <w:hideMark/>
          </w:tcPr>
          <w:p w:rsidR="00C446B0" w:rsidRPr="00C446B0" w:rsidRDefault="00C446B0" w:rsidP="00C446B0">
            <w:pPr>
              <w:spacing w:after="0" w:line="240" w:lineRule="auto"/>
              <w:jc w:val="center"/>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 </w:t>
            </w:r>
          </w:p>
        </w:tc>
        <w:tc>
          <w:tcPr>
            <w:tcW w:w="1649" w:type="dxa"/>
            <w:tcBorders>
              <w:top w:val="nil"/>
              <w:left w:val="nil"/>
              <w:bottom w:val="double" w:sz="6" w:space="0" w:color="1F497D"/>
              <w:right w:val="nil"/>
            </w:tcBorders>
            <w:shd w:val="clear" w:color="auto" w:fill="auto"/>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100,625</w:t>
            </w:r>
          </w:p>
        </w:tc>
        <w:tc>
          <w:tcPr>
            <w:tcW w:w="1649" w:type="dxa"/>
            <w:tcBorders>
              <w:top w:val="nil"/>
              <w:left w:val="nil"/>
              <w:bottom w:val="double" w:sz="6" w:space="0" w:color="1F497D"/>
              <w:right w:val="nil"/>
            </w:tcBorders>
            <w:shd w:val="clear" w:color="auto" w:fill="auto"/>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125,674</w:t>
            </w:r>
          </w:p>
        </w:tc>
      </w:tr>
      <w:tr w:rsidR="00C446B0" w:rsidRPr="00C446B0" w:rsidTr="00C446B0">
        <w:trPr>
          <w:trHeight w:val="407"/>
        </w:trPr>
        <w:tc>
          <w:tcPr>
            <w:tcW w:w="4272" w:type="dxa"/>
            <w:tcBorders>
              <w:top w:val="nil"/>
              <w:left w:val="nil"/>
              <w:bottom w:val="single" w:sz="8" w:space="0" w:color="1F497D"/>
              <w:right w:val="nil"/>
            </w:tcBorders>
            <w:shd w:val="clear" w:color="000000" w:fill="DCE6F1"/>
            <w:vAlign w:val="center"/>
            <w:hideMark/>
          </w:tcPr>
          <w:p w:rsidR="00C446B0" w:rsidRPr="00C446B0" w:rsidRDefault="00C446B0" w:rsidP="00C446B0">
            <w:pPr>
              <w:spacing w:after="0" w:line="240" w:lineRule="auto"/>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5. Трошкови извиђаја и процене</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center"/>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 </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21,253</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18,275</w:t>
            </w:r>
          </w:p>
        </w:tc>
      </w:tr>
      <w:tr w:rsidR="00C446B0" w:rsidRPr="00C446B0" w:rsidTr="00C446B0">
        <w:trPr>
          <w:trHeight w:val="528"/>
        </w:trPr>
        <w:tc>
          <w:tcPr>
            <w:tcW w:w="4272" w:type="dxa"/>
            <w:tcBorders>
              <w:top w:val="nil"/>
              <w:left w:val="nil"/>
              <w:bottom w:val="single" w:sz="8" w:space="0" w:color="1F497D"/>
              <w:right w:val="nil"/>
            </w:tcBorders>
            <w:shd w:val="clear" w:color="000000" w:fill="DCE6F1"/>
            <w:vAlign w:val="center"/>
            <w:hideMark/>
          </w:tcPr>
          <w:p w:rsidR="00C446B0" w:rsidRPr="00C446B0" w:rsidRDefault="00C446B0" w:rsidP="00C446B0">
            <w:pPr>
              <w:spacing w:after="0" w:line="240" w:lineRule="auto"/>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6. Остали расходи по. Инвестиционе акт.</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center"/>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 </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4,202</w:t>
            </w:r>
          </w:p>
        </w:tc>
        <w:tc>
          <w:tcPr>
            <w:tcW w:w="1649" w:type="dxa"/>
            <w:tcBorders>
              <w:top w:val="nil"/>
              <w:left w:val="nil"/>
              <w:bottom w:val="single" w:sz="8" w:space="0" w:color="1F497D"/>
              <w:right w:val="nil"/>
            </w:tcBorders>
            <w:shd w:val="clear" w:color="000000" w:fill="DCE6F1"/>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2,383</w:t>
            </w:r>
          </w:p>
        </w:tc>
      </w:tr>
      <w:tr w:rsidR="00C446B0" w:rsidRPr="00C446B0" w:rsidTr="00C446B0">
        <w:trPr>
          <w:trHeight w:val="392"/>
        </w:trPr>
        <w:tc>
          <w:tcPr>
            <w:tcW w:w="4272" w:type="dxa"/>
            <w:tcBorders>
              <w:top w:val="nil"/>
              <w:left w:val="nil"/>
              <w:bottom w:val="single" w:sz="8" w:space="0" w:color="1F497D"/>
              <w:right w:val="nil"/>
            </w:tcBorders>
            <w:shd w:val="clear" w:color="000000" w:fill="8DB4E2"/>
            <w:vAlign w:val="center"/>
            <w:hideMark/>
          </w:tcPr>
          <w:p w:rsidR="00C446B0" w:rsidRPr="00C446B0" w:rsidRDefault="00C446B0" w:rsidP="00C446B0">
            <w:pPr>
              <w:spacing w:after="0" w:line="240" w:lineRule="auto"/>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Укупни Трошкови</w:t>
            </w:r>
          </w:p>
        </w:tc>
        <w:tc>
          <w:tcPr>
            <w:tcW w:w="1649" w:type="dxa"/>
            <w:tcBorders>
              <w:top w:val="nil"/>
              <w:left w:val="nil"/>
              <w:bottom w:val="single" w:sz="8" w:space="0" w:color="1F497D"/>
              <w:right w:val="nil"/>
            </w:tcBorders>
            <w:shd w:val="clear" w:color="000000" w:fill="8DB4E2"/>
            <w:noWrap/>
            <w:vAlign w:val="center"/>
            <w:hideMark/>
          </w:tcPr>
          <w:p w:rsidR="00C446B0" w:rsidRPr="00C446B0" w:rsidRDefault="00C446B0" w:rsidP="00C446B0">
            <w:pPr>
              <w:spacing w:after="0" w:line="240" w:lineRule="auto"/>
              <w:jc w:val="center"/>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 </w:t>
            </w:r>
          </w:p>
        </w:tc>
        <w:tc>
          <w:tcPr>
            <w:tcW w:w="1649" w:type="dxa"/>
            <w:tcBorders>
              <w:top w:val="nil"/>
              <w:left w:val="nil"/>
              <w:bottom w:val="single" w:sz="8" w:space="0" w:color="1F497D"/>
              <w:right w:val="nil"/>
            </w:tcBorders>
            <w:shd w:val="clear" w:color="000000" w:fill="8DB4E2"/>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126,080</w:t>
            </w:r>
          </w:p>
        </w:tc>
        <w:tc>
          <w:tcPr>
            <w:tcW w:w="1649" w:type="dxa"/>
            <w:tcBorders>
              <w:top w:val="nil"/>
              <w:left w:val="nil"/>
              <w:bottom w:val="single" w:sz="8" w:space="0" w:color="1F497D"/>
              <w:right w:val="nil"/>
            </w:tcBorders>
            <w:shd w:val="clear" w:color="000000" w:fill="8DB4E2"/>
            <w:noWrap/>
            <w:vAlign w:val="center"/>
            <w:hideMark/>
          </w:tcPr>
          <w:p w:rsidR="00C446B0" w:rsidRPr="00C446B0" w:rsidRDefault="00C446B0" w:rsidP="00C446B0">
            <w:pPr>
              <w:spacing w:after="0" w:line="240" w:lineRule="auto"/>
              <w:jc w:val="right"/>
              <w:rPr>
                <w:rFonts w:ascii="Calibri" w:eastAsia="Times New Roman" w:hAnsi="Calibri" w:cs="Times New Roman"/>
                <w:b/>
                <w:bCs/>
                <w:color w:val="000000"/>
                <w:sz w:val="20"/>
                <w:szCs w:val="20"/>
                <w:lang w:val="sr-Latn-RS" w:eastAsia="sr-Latn-RS"/>
              </w:rPr>
            </w:pPr>
            <w:r w:rsidRPr="00C446B0">
              <w:rPr>
                <w:rFonts w:ascii="Calibri" w:eastAsia="Times New Roman" w:hAnsi="Calibri" w:cs="Times New Roman"/>
                <w:b/>
                <w:bCs/>
                <w:color w:val="000000"/>
                <w:sz w:val="20"/>
                <w:szCs w:val="20"/>
                <w:lang w:val="sr-Latn-RS" w:eastAsia="sr-Latn-RS"/>
              </w:rPr>
              <w:t>146,332</w:t>
            </w:r>
          </w:p>
        </w:tc>
      </w:tr>
    </w:tbl>
    <w:p w:rsidR="006A57EF" w:rsidRPr="00BF3CDE" w:rsidRDefault="006A57EF" w:rsidP="006A57EF">
      <w:pPr>
        <w:spacing w:before="120" w:after="120"/>
        <w:rPr>
          <w:b/>
          <w:i/>
          <w:noProof/>
          <w:color w:val="4F81BD" w:themeColor="accent1"/>
          <w:sz w:val="20"/>
          <w:szCs w:val="20"/>
          <w:lang w:val="sr-Cyrl-CS" w:eastAsia="ar-SA"/>
        </w:rPr>
      </w:pPr>
    </w:p>
    <w:p w:rsidR="00F36245" w:rsidRDefault="00F36245" w:rsidP="00D50EE5">
      <w:pPr>
        <w:spacing w:before="120" w:after="120"/>
        <w:ind w:firstLine="284"/>
        <w:jc w:val="both"/>
        <w:rPr>
          <w:rFonts w:ascii="Verdana" w:eastAsia="Calibri" w:hAnsi="Verdana"/>
          <w:noProof/>
          <w:sz w:val="20"/>
          <w:lang w:val="sr-Cyrl-CS"/>
        </w:rPr>
      </w:pPr>
    </w:p>
    <w:p w:rsidR="005F78E3" w:rsidRPr="00F36245" w:rsidRDefault="005F78E3" w:rsidP="00D50EE5">
      <w:pPr>
        <w:spacing w:before="120" w:after="120"/>
        <w:ind w:firstLine="284"/>
        <w:jc w:val="both"/>
        <w:rPr>
          <w:rFonts w:ascii="Verdana" w:eastAsia="Calibri" w:hAnsi="Verdana"/>
          <w:noProof/>
          <w:sz w:val="20"/>
          <w:lang w:val="sr-Cyrl-CS"/>
        </w:rPr>
      </w:pPr>
    </w:p>
    <w:p w:rsidR="00F81DEE" w:rsidRDefault="00F81DEE" w:rsidP="00D85921">
      <w:pPr>
        <w:jc w:val="center"/>
        <w:rPr>
          <w:b/>
          <w:i/>
          <w:noProof/>
          <w:color w:val="4F81BD" w:themeColor="accent1"/>
          <w:sz w:val="20"/>
          <w:szCs w:val="20"/>
          <w:lang w:val="sr-Cyrl-CS" w:eastAsia="ar-SA"/>
        </w:rPr>
      </w:pPr>
      <w:r w:rsidRPr="00BF3CDE">
        <w:rPr>
          <w:b/>
          <w:i/>
          <w:noProof/>
          <w:color w:val="4F81BD" w:themeColor="accent1"/>
          <w:sz w:val="20"/>
          <w:szCs w:val="20"/>
          <w:lang w:val="sr-Cyrl-CS" w:eastAsia="ar-SA"/>
        </w:rPr>
        <w:t>Преглед остварења ТСР према новом начину евидентирања у 000 РСД</w:t>
      </w:r>
    </w:p>
    <w:tbl>
      <w:tblPr>
        <w:tblW w:w="9053" w:type="dxa"/>
        <w:tblInd w:w="108" w:type="dxa"/>
        <w:tblLook w:val="04A0" w:firstRow="1" w:lastRow="0" w:firstColumn="1" w:lastColumn="0" w:noHBand="0" w:noVBand="1"/>
      </w:tblPr>
      <w:tblGrid>
        <w:gridCol w:w="795"/>
        <w:gridCol w:w="2441"/>
        <w:gridCol w:w="1192"/>
        <w:gridCol w:w="1174"/>
        <w:gridCol w:w="1192"/>
        <w:gridCol w:w="1192"/>
        <w:gridCol w:w="1192"/>
      </w:tblGrid>
      <w:tr w:rsidR="003655C9" w:rsidRPr="003655C9" w:rsidTr="003655C9">
        <w:trPr>
          <w:trHeight w:val="286"/>
        </w:trPr>
        <w:tc>
          <w:tcPr>
            <w:tcW w:w="576" w:type="dxa"/>
            <w:vMerge w:val="restart"/>
            <w:tcBorders>
              <w:top w:val="single" w:sz="8" w:space="0" w:color="4F81BD"/>
              <w:left w:val="nil"/>
              <w:bottom w:val="single" w:sz="8" w:space="0" w:color="4F81B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Рачун</w:t>
            </w:r>
          </w:p>
        </w:tc>
        <w:tc>
          <w:tcPr>
            <w:tcW w:w="2470" w:type="dxa"/>
            <w:vMerge w:val="restart"/>
            <w:tcBorders>
              <w:top w:val="single" w:sz="8" w:space="0" w:color="4F81BD"/>
              <w:left w:val="nil"/>
              <w:bottom w:val="single" w:sz="8" w:space="0" w:color="4F81B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Врста трошка</w:t>
            </w:r>
          </w:p>
        </w:tc>
        <w:tc>
          <w:tcPr>
            <w:tcW w:w="1205" w:type="dxa"/>
            <w:tcBorders>
              <w:top w:val="single" w:sz="8" w:space="0" w:color="4F81BD"/>
              <w:left w:val="nil"/>
              <w:bottom w:val="nil"/>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 xml:space="preserve">Остварење </w:t>
            </w:r>
          </w:p>
        </w:tc>
        <w:tc>
          <w:tcPr>
            <w:tcW w:w="1187" w:type="dxa"/>
            <w:tcBorders>
              <w:top w:val="single" w:sz="8" w:space="0" w:color="4F81BD"/>
              <w:left w:val="nil"/>
              <w:bottom w:val="nil"/>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План</w:t>
            </w:r>
          </w:p>
        </w:tc>
        <w:tc>
          <w:tcPr>
            <w:tcW w:w="1205" w:type="dxa"/>
            <w:tcBorders>
              <w:top w:val="single" w:sz="8" w:space="0" w:color="4F81BD"/>
              <w:left w:val="nil"/>
              <w:bottom w:val="nil"/>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Остварење</w:t>
            </w:r>
          </w:p>
        </w:tc>
        <w:tc>
          <w:tcPr>
            <w:tcW w:w="1205" w:type="dxa"/>
            <w:tcBorders>
              <w:top w:val="single" w:sz="8" w:space="0" w:color="4F81BD"/>
              <w:left w:val="nil"/>
              <w:bottom w:val="nil"/>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 xml:space="preserve">Остварење </w:t>
            </w:r>
          </w:p>
        </w:tc>
        <w:tc>
          <w:tcPr>
            <w:tcW w:w="1205" w:type="dxa"/>
            <w:tcBorders>
              <w:top w:val="single" w:sz="8" w:space="0" w:color="4F81BD"/>
              <w:left w:val="nil"/>
              <w:bottom w:val="nil"/>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 xml:space="preserve">План </w:t>
            </w:r>
          </w:p>
        </w:tc>
      </w:tr>
      <w:tr w:rsidR="003655C9" w:rsidRPr="003655C9" w:rsidTr="003655C9">
        <w:trPr>
          <w:trHeight w:val="301"/>
        </w:trPr>
        <w:tc>
          <w:tcPr>
            <w:tcW w:w="576" w:type="dxa"/>
            <w:vMerge/>
            <w:tcBorders>
              <w:top w:val="single" w:sz="8" w:space="0" w:color="4F81BD"/>
              <w:left w:val="nil"/>
              <w:bottom w:val="single" w:sz="8" w:space="0" w:color="4F81BD"/>
              <w:right w:val="nil"/>
            </w:tcBorders>
            <w:vAlign w:val="center"/>
            <w:hideMark/>
          </w:tcPr>
          <w:p w:rsidR="003655C9" w:rsidRPr="003655C9" w:rsidRDefault="003655C9" w:rsidP="003655C9">
            <w:pPr>
              <w:spacing w:after="0" w:line="240" w:lineRule="auto"/>
              <w:rPr>
                <w:rFonts w:ascii="Verdana" w:eastAsia="Times New Roman" w:hAnsi="Verdana" w:cs="Times New Roman"/>
                <w:b/>
                <w:bCs/>
                <w:color w:val="000000"/>
                <w:sz w:val="14"/>
                <w:szCs w:val="14"/>
                <w:lang w:val="sr-Latn-RS" w:eastAsia="sr-Latn-RS"/>
              </w:rPr>
            </w:pPr>
          </w:p>
        </w:tc>
        <w:tc>
          <w:tcPr>
            <w:tcW w:w="2470" w:type="dxa"/>
            <w:vMerge/>
            <w:tcBorders>
              <w:top w:val="single" w:sz="8" w:space="0" w:color="4F81BD"/>
              <w:left w:val="nil"/>
              <w:bottom w:val="single" w:sz="8" w:space="0" w:color="4F81BD"/>
              <w:right w:val="nil"/>
            </w:tcBorders>
            <w:vAlign w:val="center"/>
            <w:hideMark/>
          </w:tcPr>
          <w:p w:rsidR="003655C9" w:rsidRPr="003655C9" w:rsidRDefault="003655C9" w:rsidP="003655C9">
            <w:pPr>
              <w:spacing w:after="0" w:line="240" w:lineRule="auto"/>
              <w:rPr>
                <w:rFonts w:ascii="Verdana" w:eastAsia="Times New Roman" w:hAnsi="Verdana" w:cs="Times New Roman"/>
                <w:b/>
                <w:bCs/>
                <w:color w:val="000000"/>
                <w:sz w:val="14"/>
                <w:szCs w:val="14"/>
                <w:lang w:val="sr-Latn-RS" w:eastAsia="sr-Latn-RS"/>
              </w:rPr>
            </w:pPr>
          </w:p>
        </w:tc>
        <w:tc>
          <w:tcPr>
            <w:tcW w:w="1205" w:type="dxa"/>
            <w:tcBorders>
              <w:top w:val="nil"/>
              <w:left w:val="nil"/>
              <w:bottom w:val="single" w:sz="8" w:space="0" w:color="4F81B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2014</w:t>
            </w:r>
          </w:p>
        </w:tc>
        <w:tc>
          <w:tcPr>
            <w:tcW w:w="1187" w:type="dxa"/>
            <w:tcBorders>
              <w:top w:val="nil"/>
              <w:left w:val="nil"/>
              <w:bottom w:val="single" w:sz="8" w:space="0" w:color="4F81B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2015</w:t>
            </w:r>
          </w:p>
        </w:tc>
        <w:tc>
          <w:tcPr>
            <w:tcW w:w="1205" w:type="dxa"/>
            <w:tcBorders>
              <w:top w:val="nil"/>
              <w:left w:val="nil"/>
              <w:bottom w:val="single" w:sz="8" w:space="0" w:color="4F81B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2015</w:t>
            </w:r>
          </w:p>
        </w:tc>
        <w:tc>
          <w:tcPr>
            <w:tcW w:w="1205" w:type="dxa"/>
            <w:tcBorders>
              <w:top w:val="nil"/>
              <w:left w:val="nil"/>
              <w:bottom w:val="single" w:sz="8" w:space="0" w:color="4F81B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2015/2014</w:t>
            </w:r>
          </w:p>
        </w:tc>
        <w:tc>
          <w:tcPr>
            <w:tcW w:w="1205" w:type="dxa"/>
            <w:tcBorders>
              <w:top w:val="nil"/>
              <w:left w:val="nil"/>
              <w:bottom w:val="single" w:sz="8" w:space="0" w:color="4F81B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2015/2014</w:t>
            </w:r>
          </w:p>
        </w:tc>
      </w:tr>
      <w:tr w:rsidR="003655C9" w:rsidRPr="003655C9" w:rsidTr="003655C9">
        <w:trPr>
          <w:trHeight w:val="286"/>
        </w:trPr>
        <w:tc>
          <w:tcPr>
            <w:tcW w:w="576" w:type="dxa"/>
            <w:tcBorders>
              <w:top w:val="nil"/>
              <w:left w:val="nil"/>
              <w:bottom w:val="single" w:sz="4" w:space="0" w:color="1F497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 </w:t>
            </w:r>
          </w:p>
        </w:tc>
        <w:tc>
          <w:tcPr>
            <w:tcW w:w="2470" w:type="dxa"/>
            <w:tcBorders>
              <w:top w:val="nil"/>
              <w:left w:val="nil"/>
              <w:bottom w:val="single" w:sz="4" w:space="0" w:color="1F497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b/>
                <w:bCs/>
                <w:color w:val="000000"/>
                <w:sz w:val="14"/>
                <w:szCs w:val="14"/>
                <w:lang w:val="sr-Latn-RS" w:eastAsia="sr-Latn-RS"/>
              </w:rPr>
            </w:pPr>
            <w:r w:rsidRPr="003655C9">
              <w:rPr>
                <w:rFonts w:ascii="Verdana" w:eastAsia="Times New Roman" w:hAnsi="Verdana" w:cs="Times New Roman"/>
                <w:b/>
                <w:bCs/>
                <w:color w:val="000000"/>
                <w:sz w:val="14"/>
                <w:szCs w:val="14"/>
                <w:lang w:val="sr-Latn-RS" w:eastAsia="sr-Latn-RS"/>
              </w:rPr>
              <w:t>1</w:t>
            </w:r>
          </w:p>
        </w:tc>
        <w:tc>
          <w:tcPr>
            <w:tcW w:w="1205" w:type="dxa"/>
            <w:tcBorders>
              <w:top w:val="nil"/>
              <w:left w:val="nil"/>
              <w:bottom w:val="single" w:sz="4" w:space="0" w:color="1F497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color w:val="000000"/>
                <w:sz w:val="14"/>
                <w:szCs w:val="14"/>
                <w:lang w:val="sr-Latn-RS" w:eastAsia="sr-Latn-RS"/>
              </w:rPr>
            </w:pPr>
            <w:r w:rsidRPr="003655C9">
              <w:rPr>
                <w:rFonts w:ascii="Verdana" w:eastAsia="Times New Roman" w:hAnsi="Verdana" w:cs="Times New Roman"/>
                <w:color w:val="000000"/>
                <w:sz w:val="14"/>
                <w:szCs w:val="14"/>
                <w:lang w:val="sr-Latn-RS" w:eastAsia="sr-Latn-RS"/>
              </w:rPr>
              <w:t>2</w:t>
            </w:r>
          </w:p>
        </w:tc>
        <w:tc>
          <w:tcPr>
            <w:tcW w:w="1187" w:type="dxa"/>
            <w:tcBorders>
              <w:top w:val="nil"/>
              <w:left w:val="nil"/>
              <w:bottom w:val="single" w:sz="4" w:space="0" w:color="1F497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color w:val="000000"/>
                <w:sz w:val="14"/>
                <w:szCs w:val="14"/>
                <w:lang w:val="sr-Latn-RS" w:eastAsia="sr-Latn-RS"/>
              </w:rPr>
            </w:pPr>
            <w:r w:rsidRPr="003655C9">
              <w:rPr>
                <w:rFonts w:ascii="Verdana" w:eastAsia="Times New Roman" w:hAnsi="Verdana" w:cs="Times New Roman"/>
                <w:color w:val="000000"/>
                <w:sz w:val="14"/>
                <w:szCs w:val="14"/>
                <w:lang w:val="sr-Latn-RS" w:eastAsia="sr-Latn-RS"/>
              </w:rPr>
              <w:t>3</w:t>
            </w:r>
          </w:p>
        </w:tc>
        <w:tc>
          <w:tcPr>
            <w:tcW w:w="1205" w:type="dxa"/>
            <w:tcBorders>
              <w:top w:val="nil"/>
              <w:left w:val="nil"/>
              <w:bottom w:val="single" w:sz="4" w:space="0" w:color="1F497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color w:val="000000"/>
                <w:sz w:val="14"/>
                <w:szCs w:val="14"/>
                <w:lang w:val="sr-Latn-RS" w:eastAsia="sr-Latn-RS"/>
              </w:rPr>
            </w:pPr>
            <w:r w:rsidRPr="003655C9">
              <w:rPr>
                <w:rFonts w:ascii="Verdana" w:eastAsia="Times New Roman" w:hAnsi="Verdana" w:cs="Times New Roman"/>
                <w:color w:val="000000"/>
                <w:sz w:val="14"/>
                <w:szCs w:val="14"/>
                <w:lang w:val="sr-Latn-RS" w:eastAsia="sr-Latn-RS"/>
              </w:rPr>
              <w:t>4</w:t>
            </w:r>
          </w:p>
        </w:tc>
        <w:tc>
          <w:tcPr>
            <w:tcW w:w="1205" w:type="dxa"/>
            <w:tcBorders>
              <w:top w:val="nil"/>
              <w:left w:val="nil"/>
              <w:bottom w:val="single" w:sz="4" w:space="0" w:color="1F497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color w:val="000000"/>
                <w:sz w:val="14"/>
                <w:szCs w:val="14"/>
                <w:lang w:val="sr-Latn-RS" w:eastAsia="sr-Latn-RS"/>
              </w:rPr>
            </w:pPr>
            <w:r w:rsidRPr="003655C9">
              <w:rPr>
                <w:rFonts w:ascii="Verdana" w:eastAsia="Times New Roman" w:hAnsi="Verdana" w:cs="Times New Roman"/>
                <w:color w:val="000000"/>
                <w:sz w:val="14"/>
                <w:szCs w:val="14"/>
                <w:lang w:val="sr-Latn-RS" w:eastAsia="sr-Latn-RS"/>
              </w:rPr>
              <w:t>5(4/2)</w:t>
            </w:r>
          </w:p>
        </w:tc>
        <w:tc>
          <w:tcPr>
            <w:tcW w:w="1205" w:type="dxa"/>
            <w:tcBorders>
              <w:top w:val="nil"/>
              <w:left w:val="nil"/>
              <w:bottom w:val="single" w:sz="4" w:space="0" w:color="1F497D"/>
              <w:right w:val="nil"/>
            </w:tcBorders>
            <w:shd w:val="clear" w:color="auto" w:fill="auto"/>
            <w:vAlign w:val="center"/>
            <w:hideMark/>
          </w:tcPr>
          <w:p w:rsidR="003655C9" w:rsidRPr="003655C9" w:rsidRDefault="003655C9" w:rsidP="003655C9">
            <w:pPr>
              <w:spacing w:after="0" w:line="240" w:lineRule="auto"/>
              <w:jc w:val="center"/>
              <w:rPr>
                <w:rFonts w:ascii="Verdana" w:eastAsia="Times New Roman" w:hAnsi="Verdana" w:cs="Times New Roman"/>
                <w:color w:val="000000"/>
                <w:sz w:val="14"/>
                <w:szCs w:val="14"/>
                <w:lang w:val="sr-Latn-RS" w:eastAsia="sr-Latn-RS"/>
              </w:rPr>
            </w:pPr>
            <w:r w:rsidRPr="003655C9">
              <w:rPr>
                <w:rFonts w:ascii="Verdana" w:eastAsia="Times New Roman" w:hAnsi="Verdana" w:cs="Times New Roman"/>
                <w:color w:val="000000"/>
                <w:sz w:val="14"/>
                <w:szCs w:val="14"/>
                <w:lang w:val="sr-Latn-RS" w:eastAsia="sr-Latn-RS"/>
              </w:rPr>
              <w:t>6(4/3)</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530</w:t>
            </w: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Амортизација</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10.625</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10.540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11.253</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105,91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106,76</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535</w:t>
            </w: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Резервисања по МРС</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2.371</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6.624</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279,38</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331,20</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540</w:t>
            </w: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Трошкови материјала</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891</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1.241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1.374</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154,21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110,72</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541</w:t>
            </w: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Гориво и енергија</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777</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345</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328</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42,21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95,07</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542</w:t>
            </w: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Производне услуге</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14.244</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17.541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15.991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112,26</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91,16</w:t>
            </w:r>
          </w:p>
        </w:tc>
      </w:tr>
      <w:tr w:rsidR="003655C9" w:rsidRPr="00F46A33" w:rsidTr="003655C9">
        <w:trPr>
          <w:trHeight w:val="286"/>
        </w:trPr>
        <w:tc>
          <w:tcPr>
            <w:tcW w:w="576" w:type="dxa"/>
            <w:tcBorders>
              <w:top w:val="nil"/>
              <w:left w:val="nil"/>
              <w:bottom w:val="nil"/>
              <w:right w:val="nil"/>
            </w:tcBorders>
            <w:shd w:val="clear" w:color="auto" w:fill="auto"/>
            <w:noWrap/>
            <w:vAlign w:val="bottom"/>
            <w:hideMark/>
          </w:tcPr>
          <w:p w:rsidR="003655C9" w:rsidRPr="00F46A33" w:rsidRDefault="003655C9" w:rsidP="003655C9">
            <w:pPr>
              <w:spacing w:after="0" w:line="240" w:lineRule="auto"/>
              <w:jc w:val="center"/>
              <w:rPr>
                <w:rFonts w:ascii="Tahoma" w:eastAsia="Times New Roman" w:hAnsi="Tahoma" w:cs="Tahoma"/>
                <w:sz w:val="18"/>
                <w:szCs w:val="18"/>
                <w:lang w:val="sr-Latn-RS" w:eastAsia="sr-Latn-RS"/>
              </w:rPr>
            </w:pPr>
            <w:r w:rsidRPr="00F46A33">
              <w:rPr>
                <w:rFonts w:ascii="Tahoma" w:eastAsia="Times New Roman" w:hAnsi="Tahoma" w:cs="Tahoma"/>
                <w:sz w:val="18"/>
                <w:szCs w:val="18"/>
                <w:lang w:val="sr-Latn-RS" w:eastAsia="sr-Latn-RS"/>
              </w:rPr>
              <w:t>542</w:t>
            </w:r>
          </w:p>
        </w:tc>
        <w:tc>
          <w:tcPr>
            <w:tcW w:w="2470" w:type="dxa"/>
            <w:tcBorders>
              <w:top w:val="nil"/>
              <w:left w:val="nil"/>
              <w:bottom w:val="nil"/>
              <w:right w:val="nil"/>
            </w:tcBorders>
            <w:shd w:val="clear" w:color="auto" w:fill="auto"/>
            <w:noWrap/>
            <w:vAlign w:val="bottom"/>
            <w:hideMark/>
          </w:tcPr>
          <w:p w:rsidR="003655C9" w:rsidRPr="00F46A33" w:rsidRDefault="003655C9" w:rsidP="003655C9">
            <w:pPr>
              <w:spacing w:after="0" w:line="240" w:lineRule="auto"/>
              <w:rPr>
                <w:rFonts w:ascii="в" w:eastAsia="Times New Roman" w:hAnsi="в" w:cs="Times New Roman"/>
                <w:sz w:val="18"/>
                <w:szCs w:val="18"/>
                <w:lang w:val="sr-Latn-RS" w:eastAsia="sr-Latn-RS"/>
              </w:rPr>
            </w:pPr>
            <w:r w:rsidRPr="00F46A33">
              <w:rPr>
                <w:rFonts w:ascii="в" w:eastAsia="Times New Roman" w:hAnsi="в" w:cs="Times New Roman"/>
                <w:sz w:val="18"/>
                <w:szCs w:val="18"/>
                <w:lang w:val="sr-Latn-RS" w:eastAsia="sr-Latn-RS"/>
              </w:rPr>
              <w:t>Производне услуге (провизија</w:t>
            </w:r>
            <w:r w:rsidR="008021FF" w:rsidRPr="00F46A33">
              <w:rPr>
                <w:rFonts w:ascii="в" w:eastAsia="Times New Roman" w:hAnsi="в" w:cs="Times New Roman"/>
                <w:sz w:val="18"/>
                <w:szCs w:val="18"/>
                <w:lang w:val="sr-Cyrl-RS" w:eastAsia="sr-Latn-RS"/>
              </w:rPr>
              <w:t xml:space="preserve"> реосигурања</w:t>
            </w:r>
            <w:r w:rsidRPr="00F46A33">
              <w:rPr>
                <w:rFonts w:ascii="в" w:eastAsia="Times New Roman" w:hAnsi="в" w:cs="Times New Roman"/>
                <w:sz w:val="18"/>
                <w:szCs w:val="18"/>
                <w:lang w:val="sr-Latn-RS" w:eastAsia="sr-Latn-RS"/>
              </w:rPr>
              <w:t>)</w:t>
            </w:r>
          </w:p>
        </w:tc>
        <w:tc>
          <w:tcPr>
            <w:tcW w:w="1205" w:type="dxa"/>
            <w:tcBorders>
              <w:top w:val="nil"/>
              <w:left w:val="nil"/>
              <w:bottom w:val="nil"/>
              <w:right w:val="nil"/>
            </w:tcBorders>
            <w:shd w:val="clear" w:color="auto" w:fill="auto"/>
            <w:noWrap/>
            <w:vAlign w:val="bottom"/>
            <w:hideMark/>
          </w:tcPr>
          <w:p w:rsidR="003655C9" w:rsidRPr="00F46A33" w:rsidRDefault="003655C9" w:rsidP="003655C9">
            <w:pPr>
              <w:spacing w:after="0" w:line="240" w:lineRule="auto"/>
              <w:jc w:val="right"/>
              <w:rPr>
                <w:rFonts w:ascii="Tahoma" w:eastAsia="Times New Roman" w:hAnsi="Tahoma" w:cs="Tahoma"/>
                <w:sz w:val="16"/>
                <w:szCs w:val="16"/>
                <w:lang w:val="sr-Latn-RS" w:eastAsia="sr-Latn-RS"/>
              </w:rPr>
            </w:pPr>
            <w:r w:rsidRPr="00F46A33">
              <w:rPr>
                <w:rFonts w:ascii="Tahoma" w:eastAsia="Times New Roman" w:hAnsi="Tahoma" w:cs="Tahoma"/>
                <w:sz w:val="16"/>
                <w:szCs w:val="16"/>
                <w:lang w:val="sr-Latn-RS" w:eastAsia="sr-Latn-RS"/>
              </w:rPr>
              <w:t>264.035</w:t>
            </w:r>
          </w:p>
        </w:tc>
        <w:tc>
          <w:tcPr>
            <w:tcW w:w="1187" w:type="dxa"/>
            <w:tcBorders>
              <w:top w:val="nil"/>
              <w:left w:val="nil"/>
              <w:bottom w:val="nil"/>
              <w:right w:val="nil"/>
            </w:tcBorders>
            <w:shd w:val="clear" w:color="auto" w:fill="auto"/>
            <w:noWrap/>
            <w:vAlign w:val="bottom"/>
            <w:hideMark/>
          </w:tcPr>
          <w:p w:rsidR="003655C9" w:rsidRPr="00F46A33" w:rsidRDefault="003655C9" w:rsidP="003655C9">
            <w:pPr>
              <w:spacing w:after="0" w:line="240" w:lineRule="auto"/>
              <w:jc w:val="right"/>
              <w:rPr>
                <w:rFonts w:ascii="Tahoma" w:eastAsia="Times New Roman" w:hAnsi="Tahoma" w:cs="Tahoma"/>
                <w:sz w:val="16"/>
                <w:szCs w:val="16"/>
                <w:lang w:val="sr-Latn-RS" w:eastAsia="sr-Latn-RS"/>
              </w:rPr>
            </w:pPr>
            <w:r w:rsidRPr="00F46A33">
              <w:rPr>
                <w:rFonts w:ascii="Tahoma" w:eastAsia="Times New Roman" w:hAnsi="Tahoma" w:cs="Tahoma"/>
                <w:sz w:val="16"/>
                <w:szCs w:val="16"/>
                <w:lang w:val="sr-Latn-RS" w:eastAsia="sr-Latn-RS"/>
              </w:rPr>
              <w:t>266.031</w:t>
            </w:r>
          </w:p>
        </w:tc>
        <w:tc>
          <w:tcPr>
            <w:tcW w:w="1205" w:type="dxa"/>
            <w:tcBorders>
              <w:top w:val="nil"/>
              <w:left w:val="nil"/>
              <w:bottom w:val="nil"/>
              <w:right w:val="nil"/>
            </w:tcBorders>
            <w:shd w:val="clear" w:color="auto" w:fill="auto"/>
            <w:noWrap/>
            <w:vAlign w:val="bottom"/>
            <w:hideMark/>
          </w:tcPr>
          <w:p w:rsidR="003655C9" w:rsidRPr="00F46A33" w:rsidRDefault="003655C9" w:rsidP="003655C9">
            <w:pPr>
              <w:spacing w:after="0" w:line="240" w:lineRule="auto"/>
              <w:jc w:val="right"/>
              <w:rPr>
                <w:rFonts w:ascii="Tahoma" w:eastAsia="Times New Roman" w:hAnsi="Tahoma" w:cs="Tahoma"/>
                <w:sz w:val="16"/>
                <w:szCs w:val="16"/>
                <w:lang w:val="sr-Latn-RS" w:eastAsia="sr-Latn-RS"/>
              </w:rPr>
            </w:pPr>
            <w:r w:rsidRPr="00F46A33">
              <w:rPr>
                <w:rFonts w:ascii="Tahoma" w:eastAsia="Times New Roman" w:hAnsi="Tahoma" w:cs="Tahoma"/>
                <w:sz w:val="16"/>
                <w:szCs w:val="16"/>
                <w:lang w:val="sr-Latn-RS" w:eastAsia="sr-Latn-RS"/>
              </w:rPr>
              <w:t>309.014</w:t>
            </w:r>
          </w:p>
        </w:tc>
        <w:tc>
          <w:tcPr>
            <w:tcW w:w="1205" w:type="dxa"/>
            <w:tcBorders>
              <w:top w:val="nil"/>
              <w:left w:val="nil"/>
              <w:bottom w:val="nil"/>
              <w:right w:val="nil"/>
            </w:tcBorders>
            <w:shd w:val="clear" w:color="auto" w:fill="auto"/>
            <w:noWrap/>
            <w:vAlign w:val="bottom"/>
            <w:hideMark/>
          </w:tcPr>
          <w:p w:rsidR="003655C9" w:rsidRPr="00F46A33" w:rsidRDefault="003655C9" w:rsidP="003655C9">
            <w:pPr>
              <w:spacing w:after="0" w:line="240" w:lineRule="auto"/>
              <w:jc w:val="right"/>
              <w:rPr>
                <w:rFonts w:ascii="Tahoma" w:eastAsia="Times New Roman" w:hAnsi="Tahoma" w:cs="Tahoma"/>
                <w:sz w:val="16"/>
                <w:szCs w:val="16"/>
                <w:lang w:val="sr-Latn-RS" w:eastAsia="sr-Latn-RS"/>
              </w:rPr>
            </w:pPr>
            <w:r w:rsidRPr="00F46A33">
              <w:rPr>
                <w:rFonts w:ascii="Tahoma" w:eastAsia="Times New Roman" w:hAnsi="Tahoma" w:cs="Tahoma"/>
                <w:sz w:val="16"/>
                <w:szCs w:val="16"/>
                <w:lang w:val="sr-Latn-RS" w:eastAsia="sr-Latn-RS"/>
              </w:rPr>
              <w:t>117,04</w:t>
            </w:r>
          </w:p>
        </w:tc>
        <w:tc>
          <w:tcPr>
            <w:tcW w:w="1205" w:type="dxa"/>
            <w:tcBorders>
              <w:top w:val="nil"/>
              <w:left w:val="nil"/>
              <w:bottom w:val="nil"/>
              <w:right w:val="nil"/>
            </w:tcBorders>
            <w:shd w:val="clear" w:color="auto" w:fill="auto"/>
            <w:noWrap/>
            <w:vAlign w:val="bottom"/>
            <w:hideMark/>
          </w:tcPr>
          <w:p w:rsidR="003655C9" w:rsidRPr="00F46A33" w:rsidRDefault="003655C9" w:rsidP="003655C9">
            <w:pPr>
              <w:spacing w:after="0" w:line="240" w:lineRule="auto"/>
              <w:jc w:val="right"/>
              <w:rPr>
                <w:rFonts w:ascii="Tahoma" w:eastAsia="Times New Roman" w:hAnsi="Tahoma" w:cs="Tahoma"/>
                <w:sz w:val="16"/>
                <w:szCs w:val="16"/>
                <w:lang w:val="sr-Latn-RS" w:eastAsia="sr-Latn-RS"/>
              </w:rPr>
            </w:pPr>
            <w:r w:rsidRPr="00F46A33">
              <w:rPr>
                <w:rFonts w:ascii="Tahoma" w:eastAsia="Times New Roman" w:hAnsi="Tahoma" w:cs="Tahoma"/>
                <w:sz w:val="16"/>
                <w:szCs w:val="16"/>
                <w:lang w:val="sr-Latn-RS" w:eastAsia="sr-Latn-RS"/>
              </w:rPr>
              <w:t>116,16</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543</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Трошкови рекламе</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0</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24</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24,00</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544</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Репрезентација</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854</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1.605</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1.948</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228,10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121,37</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545</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Премија осигурања</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870</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1.630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1.263</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145,17</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77,48</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546</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Порези и доприноси</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5.236</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5.206</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3.099</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59,19</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59,53</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547</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Банкарске услуге</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1.406</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2.257</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3.331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236,91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147,59</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548</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Непроизводне услуге</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19.130</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23.335</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22.992</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120,19</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98,53</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549</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Остали нематеријални тр.</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2.975</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2.002</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1.873</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62,96</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93,56</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550</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Зараде и накнаде</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71.794</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58.000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66.131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92,11</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114,02</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551</w:t>
            </w:r>
          </w:p>
        </w:tc>
        <w:tc>
          <w:tcPr>
            <w:tcW w:w="2470" w:type="dxa"/>
            <w:tcBorders>
              <w:top w:val="nil"/>
              <w:left w:val="nil"/>
              <w:bottom w:val="nil"/>
              <w:right w:val="nil"/>
            </w:tcBorders>
            <w:shd w:val="clear" w:color="auto" w:fill="auto"/>
            <w:noWrap/>
            <w:vAlign w:val="center"/>
            <w:hideMark/>
          </w:tcPr>
          <w:p w:rsidR="003655C9" w:rsidRPr="003655C9" w:rsidRDefault="003655C9" w:rsidP="003655C9">
            <w:pPr>
              <w:spacing w:after="0" w:line="240" w:lineRule="auto"/>
              <w:rPr>
                <w:rFonts w:ascii="в" w:eastAsia="Times New Roman" w:hAnsi="в" w:cs="Times New Roman"/>
                <w:color w:val="000000"/>
                <w:sz w:val="18"/>
                <w:szCs w:val="18"/>
                <w:lang w:val="sr-Latn-RS" w:eastAsia="sr-Latn-RS"/>
              </w:rPr>
            </w:pPr>
            <w:r w:rsidRPr="003655C9">
              <w:rPr>
                <w:rFonts w:ascii="в" w:eastAsia="Times New Roman" w:hAnsi="в" w:cs="Times New Roman"/>
                <w:color w:val="000000"/>
                <w:sz w:val="18"/>
                <w:szCs w:val="18"/>
                <w:lang w:val="sr-Latn-RS" w:eastAsia="sr-Latn-RS"/>
              </w:rPr>
              <w:t>Доприноси на зараде</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12.255</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10.860,00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11.517,00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93,98</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106,05</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552</w:t>
            </w: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Уговори о делу</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4.617</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6.100,00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2.972,00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64,37</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48,72</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554</w:t>
            </w: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Уговори о повременим и привременим пословима</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184</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270,00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146,74</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0,00</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555</w:t>
            </w:r>
          </w:p>
        </w:tc>
        <w:tc>
          <w:tcPr>
            <w:tcW w:w="2470" w:type="dxa"/>
            <w:tcBorders>
              <w:top w:val="nil"/>
              <w:left w:val="nil"/>
              <w:bottom w:val="nil"/>
              <w:right w:val="nil"/>
            </w:tcBorders>
            <w:shd w:val="clear" w:color="auto" w:fill="auto"/>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Остали уговори</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3.306</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5.880,00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177,86</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0,00</w:t>
            </w:r>
          </w:p>
        </w:tc>
      </w:tr>
      <w:tr w:rsidR="003655C9" w:rsidRPr="003655C9" w:rsidTr="003655C9">
        <w:trPr>
          <w:trHeight w:val="286"/>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556</w:t>
            </w: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 xml:space="preserve">Чланови УО и НО </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6.344</w:t>
            </w: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5.376,00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5.324,00</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83,92</w:t>
            </w: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99,03</w:t>
            </w:r>
          </w:p>
        </w:tc>
      </w:tr>
      <w:tr w:rsidR="003655C9" w:rsidRPr="003655C9" w:rsidTr="003655C9">
        <w:trPr>
          <w:trHeight w:val="301"/>
        </w:trPr>
        <w:tc>
          <w:tcPr>
            <w:tcW w:w="576"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jc w:val="center"/>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559</w:t>
            </w:r>
          </w:p>
        </w:tc>
        <w:tc>
          <w:tcPr>
            <w:tcW w:w="2470"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rPr>
                <w:rFonts w:ascii="в" w:eastAsia="Times New Roman" w:hAnsi="в" w:cs="Times New Roman"/>
                <w:sz w:val="18"/>
                <w:szCs w:val="18"/>
                <w:lang w:val="sr-Latn-RS" w:eastAsia="sr-Latn-RS"/>
              </w:rPr>
            </w:pPr>
            <w:r w:rsidRPr="003655C9">
              <w:rPr>
                <w:rFonts w:ascii="в" w:eastAsia="Times New Roman" w:hAnsi="в" w:cs="Times New Roman"/>
                <w:sz w:val="18"/>
                <w:szCs w:val="18"/>
                <w:lang w:val="sr-Latn-RS" w:eastAsia="sr-Latn-RS"/>
              </w:rPr>
              <w:t>лични расходи и накнаде</w:t>
            </w:r>
          </w:p>
        </w:tc>
        <w:tc>
          <w:tcPr>
            <w:tcW w:w="1205"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4.921</w:t>
            </w:r>
          </w:p>
        </w:tc>
        <w:tc>
          <w:tcPr>
            <w:tcW w:w="1187"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6.081,00</w:t>
            </w:r>
          </w:p>
        </w:tc>
        <w:tc>
          <w:tcPr>
            <w:tcW w:w="1205"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7.988,00</w:t>
            </w:r>
          </w:p>
        </w:tc>
        <w:tc>
          <w:tcPr>
            <w:tcW w:w="1205"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162,32</w:t>
            </w:r>
          </w:p>
        </w:tc>
        <w:tc>
          <w:tcPr>
            <w:tcW w:w="1205"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131,36</w:t>
            </w:r>
          </w:p>
        </w:tc>
      </w:tr>
      <w:tr w:rsidR="003655C9" w:rsidRPr="003655C9" w:rsidTr="003655C9">
        <w:trPr>
          <w:trHeight w:val="315"/>
        </w:trPr>
        <w:tc>
          <w:tcPr>
            <w:tcW w:w="576"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center"/>
              <w:rPr>
                <w:rFonts w:ascii="Calibri" w:eastAsia="Times New Roman" w:hAnsi="Calibri" w:cs="Times New Roman"/>
                <w:b/>
                <w:bCs/>
                <w:color w:val="000000"/>
                <w:lang w:val="sr-Latn-RS" w:eastAsia="sr-Latn-RS"/>
              </w:rPr>
            </w:pPr>
            <w:r w:rsidRPr="003655C9">
              <w:rPr>
                <w:rFonts w:ascii="Calibri" w:eastAsia="Times New Roman" w:hAnsi="Calibri" w:cs="Times New Roman"/>
                <w:b/>
                <w:bCs/>
                <w:color w:val="000000"/>
                <w:lang w:val="sr-Latn-RS" w:eastAsia="sr-Latn-RS"/>
              </w:rPr>
              <w:t>I</w:t>
            </w:r>
          </w:p>
        </w:tc>
        <w:tc>
          <w:tcPr>
            <w:tcW w:w="2470"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rPr>
                <w:rFonts w:ascii="в" w:eastAsia="Times New Roman" w:hAnsi="в" w:cs="Times New Roman"/>
                <w:b/>
                <w:bCs/>
                <w:sz w:val="16"/>
                <w:szCs w:val="16"/>
                <w:lang w:val="sr-Latn-RS" w:eastAsia="sr-Latn-RS"/>
              </w:rPr>
            </w:pPr>
            <w:r w:rsidRPr="003655C9">
              <w:rPr>
                <w:rFonts w:ascii="в" w:eastAsia="Times New Roman" w:hAnsi="в" w:cs="Times New Roman"/>
                <w:b/>
                <w:bCs/>
                <w:sz w:val="16"/>
                <w:szCs w:val="16"/>
                <w:lang w:val="sr-Latn-RS" w:eastAsia="sr-Latn-RS"/>
              </w:rPr>
              <w:t>УКУПНИ ТРОШКОВИ</w:t>
            </w:r>
          </w:p>
        </w:tc>
        <w:tc>
          <w:tcPr>
            <w:tcW w:w="1205"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right"/>
              <w:rPr>
                <w:rFonts w:ascii="Calibri" w:eastAsia="Times New Roman" w:hAnsi="Calibri" w:cs="Times New Roman"/>
                <w:b/>
                <w:bCs/>
                <w:color w:val="000000"/>
                <w:lang w:val="sr-Latn-RS" w:eastAsia="sr-Latn-RS"/>
              </w:rPr>
            </w:pPr>
            <w:r w:rsidRPr="003655C9">
              <w:rPr>
                <w:rFonts w:ascii="Calibri" w:eastAsia="Times New Roman" w:hAnsi="Calibri" w:cs="Times New Roman"/>
                <w:b/>
                <w:bCs/>
                <w:color w:val="000000"/>
                <w:lang w:val="sr-Latn-RS" w:eastAsia="sr-Latn-RS"/>
              </w:rPr>
              <w:t>426.835</w:t>
            </w:r>
          </w:p>
        </w:tc>
        <w:tc>
          <w:tcPr>
            <w:tcW w:w="1187"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right"/>
              <w:rPr>
                <w:rFonts w:ascii="Calibri" w:eastAsia="Times New Roman" w:hAnsi="Calibri" w:cs="Times New Roman"/>
                <w:b/>
                <w:bCs/>
                <w:color w:val="000000"/>
                <w:lang w:val="sr-Latn-RS" w:eastAsia="sr-Latn-RS"/>
              </w:rPr>
            </w:pPr>
            <w:r w:rsidRPr="003655C9">
              <w:rPr>
                <w:rFonts w:ascii="Calibri" w:eastAsia="Times New Roman" w:hAnsi="Calibri" w:cs="Times New Roman"/>
                <w:b/>
                <w:bCs/>
                <w:color w:val="000000"/>
                <w:lang w:val="sr-Latn-RS" w:eastAsia="sr-Latn-RS"/>
              </w:rPr>
              <w:t>420.250</w:t>
            </w:r>
          </w:p>
        </w:tc>
        <w:tc>
          <w:tcPr>
            <w:tcW w:w="1205"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right"/>
              <w:rPr>
                <w:rFonts w:ascii="Calibri" w:eastAsia="Times New Roman" w:hAnsi="Calibri" w:cs="Times New Roman"/>
                <w:b/>
                <w:bCs/>
                <w:color w:val="000000"/>
                <w:lang w:val="sr-Latn-RS" w:eastAsia="sr-Latn-RS"/>
              </w:rPr>
            </w:pPr>
            <w:r w:rsidRPr="003655C9">
              <w:rPr>
                <w:rFonts w:ascii="Calibri" w:eastAsia="Times New Roman" w:hAnsi="Calibri" w:cs="Times New Roman"/>
                <w:b/>
                <w:bCs/>
                <w:color w:val="000000"/>
                <w:lang w:val="sr-Latn-RS" w:eastAsia="sr-Latn-RS"/>
              </w:rPr>
              <w:t>479.196</w:t>
            </w:r>
          </w:p>
        </w:tc>
        <w:tc>
          <w:tcPr>
            <w:tcW w:w="1205"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right"/>
              <w:rPr>
                <w:rFonts w:ascii="Tahoma" w:eastAsia="Times New Roman" w:hAnsi="Tahoma" w:cs="Tahoma"/>
                <w:b/>
                <w:bCs/>
                <w:sz w:val="16"/>
                <w:szCs w:val="16"/>
                <w:lang w:val="sr-Latn-RS" w:eastAsia="sr-Latn-RS"/>
              </w:rPr>
            </w:pPr>
            <w:r w:rsidRPr="003655C9">
              <w:rPr>
                <w:rFonts w:ascii="Tahoma" w:eastAsia="Times New Roman" w:hAnsi="Tahoma" w:cs="Tahoma"/>
                <w:b/>
                <w:bCs/>
                <w:sz w:val="16"/>
                <w:szCs w:val="16"/>
                <w:lang w:val="sr-Latn-RS" w:eastAsia="sr-Latn-RS"/>
              </w:rPr>
              <w:t>112,27</w:t>
            </w:r>
          </w:p>
        </w:tc>
        <w:tc>
          <w:tcPr>
            <w:tcW w:w="1205"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right"/>
              <w:rPr>
                <w:rFonts w:ascii="Tahoma" w:eastAsia="Times New Roman" w:hAnsi="Tahoma" w:cs="Tahoma"/>
                <w:b/>
                <w:bCs/>
                <w:sz w:val="16"/>
                <w:szCs w:val="16"/>
                <w:lang w:val="sr-Latn-RS" w:eastAsia="sr-Latn-RS"/>
              </w:rPr>
            </w:pPr>
            <w:r w:rsidRPr="003655C9">
              <w:rPr>
                <w:rFonts w:ascii="Tahoma" w:eastAsia="Times New Roman" w:hAnsi="Tahoma" w:cs="Tahoma"/>
                <w:b/>
                <w:bCs/>
                <w:sz w:val="16"/>
                <w:szCs w:val="16"/>
                <w:lang w:val="sr-Latn-RS" w:eastAsia="sr-Latn-RS"/>
              </w:rPr>
              <w:t>114,03</w:t>
            </w:r>
          </w:p>
        </w:tc>
      </w:tr>
      <w:tr w:rsidR="003655C9" w:rsidRPr="003655C9" w:rsidTr="003655C9">
        <w:trPr>
          <w:trHeight w:val="301"/>
        </w:trPr>
        <w:tc>
          <w:tcPr>
            <w:tcW w:w="576" w:type="dxa"/>
            <w:tcBorders>
              <w:top w:val="nil"/>
              <w:left w:val="nil"/>
              <w:bottom w:val="single" w:sz="4" w:space="0" w:color="1F497D"/>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r w:rsidRPr="003655C9">
              <w:rPr>
                <w:rFonts w:ascii="Calibri" w:eastAsia="Times New Roman" w:hAnsi="Calibri" w:cs="Times New Roman"/>
                <w:color w:val="000000"/>
                <w:lang w:val="sr-Latn-RS" w:eastAsia="sr-Latn-RS"/>
              </w:rPr>
              <w:t> </w:t>
            </w:r>
          </w:p>
        </w:tc>
        <w:tc>
          <w:tcPr>
            <w:tcW w:w="2470" w:type="dxa"/>
            <w:tcBorders>
              <w:top w:val="nil"/>
              <w:left w:val="nil"/>
              <w:bottom w:val="single" w:sz="4" w:space="0" w:color="1F497D"/>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r w:rsidRPr="003655C9">
              <w:rPr>
                <w:rFonts w:ascii="Calibri" w:eastAsia="Times New Roman" w:hAnsi="Calibri" w:cs="Times New Roman"/>
                <w:color w:val="000000"/>
                <w:lang w:val="sr-Latn-RS" w:eastAsia="sr-Latn-RS"/>
              </w:rPr>
              <w:t> </w:t>
            </w:r>
          </w:p>
        </w:tc>
        <w:tc>
          <w:tcPr>
            <w:tcW w:w="1205" w:type="dxa"/>
            <w:tcBorders>
              <w:top w:val="nil"/>
              <w:left w:val="nil"/>
              <w:bottom w:val="single" w:sz="4" w:space="0" w:color="1F497D"/>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r w:rsidRPr="003655C9">
              <w:rPr>
                <w:rFonts w:ascii="Calibri" w:eastAsia="Times New Roman" w:hAnsi="Calibri" w:cs="Times New Roman"/>
                <w:color w:val="000000"/>
                <w:lang w:val="sr-Latn-RS" w:eastAsia="sr-Latn-RS"/>
              </w:rPr>
              <w:t> </w:t>
            </w:r>
          </w:p>
        </w:tc>
        <w:tc>
          <w:tcPr>
            <w:tcW w:w="1187" w:type="dxa"/>
            <w:tcBorders>
              <w:top w:val="nil"/>
              <w:left w:val="nil"/>
              <w:bottom w:val="single" w:sz="4" w:space="0" w:color="1F497D"/>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r w:rsidRPr="003655C9">
              <w:rPr>
                <w:rFonts w:ascii="Calibri" w:eastAsia="Times New Roman" w:hAnsi="Calibri" w:cs="Times New Roman"/>
                <w:color w:val="000000"/>
                <w:lang w:val="sr-Latn-RS" w:eastAsia="sr-Latn-RS"/>
              </w:rPr>
              <w:t> </w:t>
            </w:r>
          </w:p>
        </w:tc>
        <w:tc>
          <w:tcPr>
            <w:tcW w:w="1205" w:type="dxa"/>
            <w:tcBorders>
              <w:top w:val="nil"/>
              <w:left w:val="nil"/>
              <w:bottom w:val="single" w:sz="4" w:space="0" w:color="1F497D"/>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r w:rsidRPr="003655C9">
              <w:rPr>
                <w:rFonts w:ascii="Calibri" w:eastAsia="Times New Roman" w:hAnsi="Calibri" w:cs="Times New Roman"/>
                <w:color w:val="000000"/>
                <w:lang w:val="sr-Latn-RS" w:eastAsia="sr-Latn-RS"/>
              </w:rPr>
              <w:t> </w:t>
            </w:r>
          </w:p>
        </w:tc>
        <w:tc>
          <w:tcPr>
            <w:tcW w:w="1205" w:type="dxa"/>
            <w:tcBorders>
              <w:top w:val="nil"/>
              <w:left w:val="nil"/>
              <w:bottom w:val="single" w:sz="4" w:space="0" w:color="1F497D"/>
              <w:right w:val="nil"/>
            </w:tcBorders>
            <w:shd w:val="clear" w:color="auto" w:fill="auto"/>
            <w:noWrap/>
            <w:vAlign w:val="bottom"/>
            <w:hideMark/>
          </w:tcPr>
          <w:p w:rsidR="003655C9" w:rsidRPr="003655C9" w:rsidRDefault="003655C9" w:rsidP="003655C9">
            <w:pPr>
              <w:spacing w:after="0" w:line="240" w:lineRule="auto"/>
              <w:jc w:val="right"/>
              <w:rPr>
                <w:rFonts w:ascii="Calibri" w:eastAsia="Times New Roman" w:hAnsi="Calibri" w:cs="Times New Roman"/>
                <w:color w:val="000000"/>
                <w:lang w:val="sr-Latn-RS" w:eastAsia="sr-Latn-RS"/>
              </w:rPr>
            </w:pPr>
            <w:r w:rsidRPr="003655C9">
              <w:rPr>
                <w:rFonts w:ascii="Calibri" w:eastAsia="Times New Roman" w:hAnsi="Calibri" w:cs="Times New Roman"/>
                <w:color w:val="000000"/>
                <w:lang w:val="sr-Latn-RS" w:eastAsia="sr-Latn-RS"/>
              </w:rPr>
              <w:t> </w:t>
            </w:r>
          </w:p>
        </w:tc>
        <w:tc>
          <w:tcPr>
            <w:tcW w:w="1205" w:type="dxa"/>
            <w:tcBorders>
              <w:top w:val="nil"/>
              <w:left w:val="nil"/>
              <w:bottom w:val="single" w:sz="4" w:space="0" w:color="1F497D"/>
              <w:right w:val="nil"/>
            </w:tcBorders>
            <w:shd w:val="clear" w:color="auto" w:fill="auto"/>
            <w:noWrap/>
            <w:vAlign w:val="bottom"/>
            <w:hideMark/>
          </w:tcPr>
          <w:p w:rsidR="003655C9" w:rsidRPr="003655C9" w:rsidRDefault="003655C9" w:rsidP="003655C9">
            <w:pPr>
              <w:spacing w:after="0" w:line="240" w:lineRule="auto"/>
              <w:jc w:val="right"/>
              <w:rPr>
                <w:rFonts w:ascii="Calibri" w:eastAsia="Times New Roman" w:hAnsi="Calibri" w:cs="Times New Roman"/>
                <w:color w:val="000000"/>
                <w:lang w:val="sr-Latn-RS" w:eastAsia="sr-Latn-RS"/>
              </w:rPr>
            </w:pPr>
            <w:r w:rsidRPr="003655C9">
              <w:rPr>
                <w:rFonts w:ascii="Calibri" w:eastAsia="Times New Roman" w:hAnsi="Calibri" w:cs="Times New Roman"/>
                <w:color w:val="000000"/>
                <w:lang w:val="sr-Latn-RS" w:eastAsia="sr-Latn-RS"/>
              </w:rPr>
              <w:t> </w:t>
            </w:r>
          </w:p>
        </w:tc>
      </w:tr>
      <w:tr w:rsidR="003655C9" w:rsidRPr="003655C9" w:rsidTr="003655C9">
        <w:trPr>
          <w:trHeight w:val="301"/>
        </w:trPr>
        <w:tc>
          <w:tcPr>
            <w:tcW w:w="576" w:type="dxa"/>
            <w:tcBorders>
              <w:top w:val="nil"/>
              <w:left w:val="nil"/>
              <w:bottom w:val="double" w:sz="6" w:space="0" w:color="1F497D"/>
              <w:right w:val="nil"/>
            </w:tcBorders>
            <w:shd w:val="clear" w:color="auto" w:fill="auto"/>
            <w:noWrap/>
            <w:vAlign w:val="center"/>
            <w:hideMark/>
          </w:tcPr>
          <w:p w:rsidR="003655C9" w:rsidRPr="003655C9" w:rsidRDefault="003655C9" w:rsidP="003655C9">
            <w:pPr>
              <w:spacing w:after="0" w:line="240" w:lineRule="auto"/>
              <w:jc w:val="center"/>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651/659</w:t>
            </w:r>
          </w:p>
        </w:tc>
        <w:tc>
          <w:tcPr>
            <w:tcW w:w="2470" w:type="dxa"/>
            <w:tcBorders>
              <w:top w:val="nil"/>
              <w:left w:val="nil"/>
              <w:bottom w:val="double" w:sz="6" w:space="0" w:color="1F497D"/>
              <w:right w:val="nil"/>
            </w:tcBorders>
            <w:shd w:val="clear" w:color="auto" w:fill="auto"/>
            <w:noWrap/>
            <w:vAlign w:val="center"/>
            <w:hideMark/>
          </w:tcPr>
          <w:p w:rsidR="003655C9" w:rsidRPr="003655C9" w:rsidRDefault="003655C9" w:rsidP="003655C9">
            <w:pPr>
              <w:spacing w:after="0" w:line="240" w:lineRule="auto"/>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Приходи од провизије реосигурања</w:t>
            </w:r>
          </w:p>
        </w:tc>
        <w:tc>
          <w:tcPr>
            <w:tcW w:w="1205" w:type="dxa"/>
            <w:tcBorders>
              <w:top w:val="nil"/>
              <w:left w:val="nil"/>
              <w:bottom w:val="double" w:sz="6" w:space="0" w:color="1F497D"/>
              <w:right w:val="nil"/>
            </w:tcBorders>
            <w:shd w:val="clear" w:color="auto" w:fill="auto"/>
            <w:noWrap/>
            <w:vAlign w:val="center"/>
            <w:hideMark/>
          </w:tcPr>
          <w:p w:rsidR="003655C9" w:rsidRPr="003655C9" w:rsidRDefault="003655C9" w:rsidP="003655C9">
            <w:pPr>
              <w:spacing w:after="0" w:line="240" w:lineRule="auto"/>
              <w:jc w:val="right"/>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278.393</w:t>
            </w:r>
          </w:p>
        </w:tc>
        <w:tc>
          <w:tcPr>
            <w:tcW w:w="1187" w:type="dxa"/>
            <w:tcBorders>
              <w:top w:val="nil"/>
              <w:left w:val="nil"/>
              <w:bottom w:val="double" w:sz="6" w:space="0" w:color="1F497D"/>
              <w:right w:val="nil"/>
            </w:tcBorders>
            <w:shd w:val="clear" w:color="auto" w:fill="auto"/>
            <w:noWrap/>
            <w:vAlign w:val="center"/>
            <w:hideMark/>
          </w:tcPr>
          <w:p w:rsidR="003655C9" w:rsidRPr="003655C9" w:rsidRDefault="003655C9" w:rsidP="003655C9">
            <w:pPr>
              <w:spacing w:after="0" w:line="240" w:lineRule="auto"/>
              <w:jc w:val="right"/>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281.031</w:t>
            </w:r>
          </w:p>
        </w:tc>
        <w:tc>
          <w:tcPr>
            <w:tcW w:w="1205" w:type="dxa"/>
            <w:tcBorders>
              <w:top w:val="nil"/>
              <w:left w:val="nil"/>
              <w:bottom w:val="double" w:sz="6" w:space="0" w:color="1F497D"/>
              <w:right w:val="nil"/>
            </w:tcBorders>
            <w:shd w:val="clear" w:color="auto" w:fill="auto"/>
            <w:noWrap/>
            <w:vAlign w:val="center"/>
            <w:hideMark/>
          </w:tcPr>
          <w:p w:rsidR="003655C9" w:rsidRPr="003655C9" w:rsidRDefault="003655C9" w:rsidP="003655C9">
            <w:pPr>
              <w:spacing w:after="0" w:line="240" w:lineRule="auto"/>
              <w:jc w:val="right"/>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353.116</w:t>
            </w:r>
          </w:p>
        </w:tc>
        <w:tc>
          <w:tcPr>
            <w:tcW w:w="1205"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8"/>
                <w:szCs w:val="18"/>
                <w:lang w:val="sr-Latn-RS" w:eastAsia="sr-Latn-RS"/>
              </w:rPr>
            </w:pPr>
            <w:r w:rsidRPr="003655C9">
              <w:rPr>
                <w:rFonts w:ascii="Tahoma" w:eastAsia="Times New Roman" w:hAnsi="Tahoma" w:cs="Tahoma"/>
                <w:sz w:val="18"/>
                <w:szCs w:val="18"/>
                <w:lang w:val="sr-Latn-RS" w:eastAsia="sr-Latn-RS"/>
              </w:rPr>
              <w:t>126,84</w:t>
            </w:r>
          </w:p>
        </w:tc>
        <w:tc>
          <w:tcPr>
            <w:tcW w:w="1205" w:type="dxa"/>
            <w:tcBorders>
              <w:top w:val="nil"/>
              <w:left w:val="nil"/>
              <w:bottom w:val="double" w:sz="6" w:space="0" w:color="1F497D"/>
              <w:right w:val="nil"/>
            </w:tcBorders>
            <w:shd w:val="clear" w:color="auto" w:fill="auto"/>
            <w:noWrap/>
            <w:vAlign w:val="bottom"/>
            <w:hideMark/>
          </w:tcPr>
          <w:p w:rsidR="003655C9" w:rsidRPr="003655C9" w:rsidRDefault="003655C9" w:rsidP="003655C9">
            <w:pPr>
              <w:spacing w:after="0" w:line="240" w:lineRule="auto"/>
              <w:jc w:val="right"/>
              <w:rPr>
                <w:rFonts w:ascii="Tahoma" w:eastAsia="Times New Roman" w:hAnsi="Tahoma" w:cs="Tahoma"/>
                <w:sz w:val="16"/>
                <w:szCs w:val="16"/>
                <w:lang w:val="sr-Latn-RS" w:eastAsia="sr-Latn-RS"/>
              </w:rPr>
            </w:pPr>
            <w:r w:rsidRPr="003655C9">
              <w:rPr>
                <w:rFonts w:ascii="Tahoma" w:eastAsia="Times New Roman" w:hAnsi="Tahoma" w:cs="Tahoma"/>
                <w:sz w:val="16"/>
                <w:szCs w:val="16"/>
                <w:lang w:val="sr-Latn-RS" w:eastAsia="sr-Latn-RS"/>
              </w:rPr>
              <w:t>125,65</w:t>
            </w:r>
          </w:p>
        </w:tc>
      </w:tr>
      <w:tr w:rsidR="003655C9" w:rsidRPr="003655C9" w:rsidTr="003655C9">
        <w:trPr>
          <w:trHeight w:val="315"/>
        </w:trPr>
        <w:tc>
          <w:tcPr>
            <w:tcW w:w="576" w:type="dxa"/>
            <w:tcBorders>
              <w:top w:val="nil"/>
              <w:left w:val="nil"/>
              <w:bottom w:val="double" w:sz="6" w:space="0" w:color="1F497D"/>
              <w:right w:val="nil"/>
            </w:tcBorders>
            <w:shd w:val="clear" w:color="000000" w:fill="DCE6F1"/>
            <w:noWrap/>
            <w:vAlign w:val="center"/>
            <w:hideMark/>
          </w:tcPr>
          <w:p w:rsidR="003655C9" w:rsidRPr="003655C9" w:rsidRDefault="003655C9" w:rsidP="003655C9">
            <w:pPr>
              <w:spacing w:after="0" w:line="240" w:lineRule="auto"/>
              <w:jc w:val="center"/>
              <w:rPr>
                <w:rFonts w:ascii="Tahoma" w:eastAsia="Times New Roman" w:hAnsi="Tahoma" w:cs="Tahoma"/>
                <w:b/>
                <w:bCs/>
                <w:sz w:val="18"/>
                <w:szCs w:val="18"/>
                <w:lang w:val="sr-Latn-RS" w:eastAsia="sr-Latn-RS"/>
              </w:rPr>
            </w:pPr>
            <w:r w:rsidRPr="003655C9">
              <w:rPr>
                <w:rFonts w:ascii="Tahoma" w:eastAsia="Times New Roman" w:hAnsi="Tahoma" w:cs="Tahoma"/>
                <w:b/>
                <w:bCs/>
                <w:sz w:val="18"/>
                <w:szCs w:val="18"/>
                <w:lang w:val="sr-Latn-RS" w:eastAsia="sr-Latn-RS"/>
              </w:rPr>
              <w:t>II</w:t>
            </w:r>
          </w:p>
        </w:tc>
        <w:tc>
          <w:tcPr>
            <w:tcW w:w="2470" w:type="dxa"/>
            <w:tcBorders>
              <w:top w:val="nil"/>
              <w:left w:val="nil"/>
              <w:bottom w:val="double" w:sz="6" w:space="0" w:color="1F497D"/>
              <w:right w:val="nil"/>
            </w:tcBorders>
            <w:shd w:val="clear" w:color="000000" w:fill="DCE6F1"/>
            <w:noWrap/>
            <w:vAlign w:val="center"/>
            <w:hideMark/>
          </w:tcPr>
          <w:p w:rsidR="003655C9" w:rsidRPr="003655C9" w:rsidRDefault="003655C9" w:rsidP="003655C9">
            <w:pPr>
              <w:spacing w:after="0" w:line="240" w:lineRule="auto"/>
              <w:rPr>
                <w:rFonts w:ascii="Tahoma" w:eastAsia="Times New Roman" w:hAnsi="Tahoma" w:cs="Tahoma"/>
                <w:b/>
                <w:bCs/>
                <w:sz w:val="18"/>
                <w:szCs w:val="18"/>
                <w:lang w:val="sr-Latn-RS" w:eastAsia="sr-Latn-RS"/>
              </w:rPr>
            </w:pPr>
            <w:r w:rsidRPr="003655C9">
              <w:rPr>
                <w:rFonts w:ascii="Tahoma" w:eastAsia="Times New Roman" w:hAnsi="Tahoma" w:cs="Tahoma"/>
                <w:b/>
                <w:bCs/>
                <w:sz w:val="18"/>
                <w:szCs w:val="18"/>
                <w:lang w:val="sr-Latn-RS" w:eastAsia="sr-Latn-RS"/>
              </w:rPr>
              <w:t>ПРИХОД</w:t>
            </w:r>
          </w:p>
        </w:tc>
        <w:tc>
          <w:tcPr>
            <w:tcW w:w="1205" w:type="dxa"/>
            <w:tcBorders>
              <w:top w:val="nil"/>
              <w:left w:val="nil"/>
              <w:bottom w:val="double" w:sz="6" w:space="0" w:color="1F497D"/>
              <w:right w:val="nil"/>
            </w:tcBorders>
            <w:shd w:val="clear" w:color="000000" w:fill="DCE6F1"/>
            <w:noWrap/>
            <w:vAlign w:val="center"/>
            <w:hideMark/>
          </w:tcPr>
          <w:p w:rsidR="003655C9" w:rsidRPr="003655C9" w:rsidRDefault="003655C9" w:rsidP="003655C9">
            <w:pPr>
              <w:spacing w:after="0" w:line="240" w:lineRule="auto"/>
              <w:jc w:val="right"/>
              <w:rPr>
                <w:rFonts w:ascii="Tahoma" w:eastAsia="Times New Roman" w:hAnsi="Tahoma" w:cs="Tahoma"/>
                <w:b/>
                <w:bCs/>
                <w:sz w:val="18"/>
                <w:szCs w:val="18"/>
                <w:lang w:val="sr-Latn-RS" w:eastAsia="sr-Latn-RS"/>
              </w:rPr>
            </w:pPr>
            <w:r w:rsidRPr="003655C9">
              <w:rPr>
                <w:rFonts w:ascii="Tahoma" w:eastAsia="Times New Roman" w:hAnsi="Tahoma" w:cs="Tahoma"/>
                <w:b/>
                <w:bCs/>
                <w:sz w:val="18"/>
                <w:szCs w:val="18"/>
                <w:lang w:val="sr-Latn-RS" w:eastAsia="sr-Latn-RS"/>
              </w:rPr>
              <w:t>278.393</w:t>
            </w:r>
          </w:p>
        </w:tc>
        <w:tc>
          <w:tcPr>
            <w:tcW w:w="1187" w:type="dxa"/>
            <w:tcBorders>
              <w:top w:val="nil"/>
              <w:left w:val="nil"/>
              <w:bottom w:val="double" w:sz="6" w:space="0" w:color="1F497D"/>
              <w:right w:val="nil"/>
            </w:tcBorders>
            <w:shd w:val="clear" w:color="000000" w:fill="DCE6F1"/>
            <w:noWrap/>
            <w:vAlign w:val="center"/>
            <w:hideMark/>
          </w:tcPr>
          <w:p w:rsidR="003655C9" w:rsidRPr="003655C9" w:rsidRDefault="003655C9" w:rsidP="003655C9">
            <w:pPr>
              <w:spacing w:after="0" w:line="240" w:lineRule="auto"/>
              <w:jc w:val="right"/>
              <w:rPr>
                <w:rFonts w:ascii="Tahoma" w:eastAsia="Times New Roman" w:hAnsi="Tahoma" w:cs="Tahoma"/>
                <w:b/>
                <w:bCs/>
                <w:sz w:val="18"/>
                <w:szCs w:val="18"/>
                <w:lang w:val="sr-Latn-RS" w:eastAsia="sr-Latn-RS"/>
              </w:rPr>
            </w:pPr>
            <w:r w:rsidRPr="003655C9">
              <w:rPr>
                <w:rFonts w:ascii="Tahoma" w:eastAsia="Times New Roman" w:hAnsi="Tahoma" w:cs="Tahoma"/>
                <w:b/>
                <w:bCs/>
                <w:sz w:val="18"/>
                <w:szCs w:val="18"/>
                <w:lang w:val="sr-Latn-RS" w:eastAsia="sr-Latn-RS"/>
              </w:rPr>
              <w:t>281.031</w:t>
            </w:r>
          </w:p>
        </w:tc>
        <w:tc>
          <w:tcPr>
            <w:tcW w:w="1205"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right"/>
              <w:rPr>
                <w:rFonts w:ascii="Tahoma" w:eastAsia="Times New Roman" w:hAnsi="Tahoma" w:cs="Tahoma"/>
                <w:b/>
                <w:bCs/>
                <w:sz w:val="18"/>
                <w:szCs w:val="18"/>
                <w:lang w:val="sr-Latn-RS" w:eastAsia="sr-Latn-RS"/>
              </w:rPr>
            </w:pPr>
            <w:r w:rsidRPr="003655C9">
              <w:rPr>
                <w:rFonts w:ascii="Tahoma" w:eastAsia="Times New Roman" w:hAnsi="Tahoma" w:cs="Tahoma"/>
                <w:b/>
                <w:bCs/>
                <w:sz w:val="18"/>
                <w:szCs w:val="18"/>
                <w:lang w:val="sr-Latn-RS" w:eastAsia="sr-Latn-RS"/>
              </w:rPr>
              <w:t>353.116</w:t>
            </w:r>
          </w:p>
        </w:tc>
        <w:tc>
          <w:tcPr>
            <w:tcW w:w="1205"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right"/>
              <w:rPr>
                <w:rFonts w:ascii="Tahoma" w:eastAsia="Times New Roman" w:hAnsi="Tahoma" w:cs="Tahoma"/>
                <w:b/>
                <w:bCs/>
                <w:sz w:val="16"/>
                <w:szCs w:val="16"/>
                <w:lang w:val="sr-Latn-RS" w:eastAsia="sr-Latn-RS"/>
              </w:rPr>
            </w:pPr>
            <w:r w:rsidRPr="003655C9">
              <w:rPr>
                <w:rFonts w:ascii="Tahoma" w:eastAsia="Times New Roman" w:hAnsi="Tahoma" w:cs="Tahoma"/>
                <w:b/>
                <w:bCs/>
                <w:sz w:val="16"/>
                <w:szCs w:val="16"/>
                <w:lang w:val="sr-Latn-RS" w:eastAsia="sr-Latn-RS"/>
              </w:rPr>
              <w:t>126,84</w:t>
            </w:r>
          </w:p>
        </w:tc>
        <w:tc>
          <w:tcPr>
            <w:tcW w:w="1205" w:type="dxa"/>
            <w:tcBorders>
              <w:top w:val="nil"/>
              <w:left w:val="nil"/>
              <w:bottom w:val="double" w:sz="6" w:space="0" w:color="1F497D"/>
              <w:right w:val="nil"/>
            </w:tcBorders>
            <w:shd w:val="clear" w:color="000000" w:fill="DCE6F1"/>
            <w:noWrap/>
            <w:vAlign w:val="bottom"/>
            <w:hideMark/>
          </w:tcPr>
          <w:p w:rsidR="003655C9" w:rsidRPr="003655C9" w:rsidRDefault="003655C9" w:rsidP="003655C9">
            <w:pPr>
              <w:spacing w:after="0" w:line="240" w:lineRule="auto"/>
              <w:jc w:val="right"/>
              <w:rPr>
                <w:rFonts w:ascii="Calibri" w:eastAsia="Times New Roman" w:hAnsi="Calibri" w:cs="Times New Roman"/>
                <w:b/>
                <w:bCs/>
                <w:color w:val="000000"/>
                <w:lang w:val="sr-Latn-RS" w:eastAsia="sr-Latn-RS"/>
              </w:rPr>
            </w:pPr>
            <w:r w:rsidRPr="003655C9">
              <w:rPr>
                <w:rFonts w:ascii="Calibri" w:eastAsia="Times New Roman" w:hAnsi="Calibri" w:cs="Times New Roman"/>
                <w:b/>
                <w:bCs/>
                <w:color w:val="000000"/>
                <w:lang w:val="sr-Latn-RS" w:eastAsia="sr-Latn-RS"/>
              </w:rPr>
              <w:t>125,65</w:t>
            </w:r>
          </w:p>
        </w:tc>
      </w:tr>
      <w:tr w:rsidR="003655C9" w:rsidRPr="003655C9" w:rsidTr="003655C9">
        <w:trPr>
          <w:trHeight w:val="315"/>
        </w:trPr>
        <w:tc>
          <w:tcPr>
            <w:tcW w:w="576"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p>
        </w:tc>
        <w:tc>
          <w:tcPr>
            <w:tcW w:w="2470"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p>
        </w:tc>
        <w:tc>
          <w:tcPr>
            <w:tcW w:w="1187"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rPr>
                <w:rFonts w:ascii="Calibri" w:eastAsia="Times New Roman" w:hAnsi="Calibri" w:cs="Times New Roman"/>
                <w:color w:val="000000"/>
                <w:lang w:val="sr-Latn-RS" w:eastAsia="sr-Latn-RS"/>
              </w:rPr>
            </w:pP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Calibri" w:eastAsia="Times New Roman" w:hAnsi="Calibri" w:cs="Times New Roman"/>
                <w:color w:val="000000"/>
                <w:lang w:val="sr-Latn-RS" w:eastAsia="sr-Latn-RS"/>
              </w:rPr>
            </w:pPr>
          </w:p>
        </w:tc>
        <w:tc>
          <w:tcPr>
            <w:tcW w:w="1205" w:type="dxa"/>
            <w:tcBorders>
              <w:top w:val="nil"/>
              <w:left w:val="nil"/>
              <w:bottom w:val="nil"/>
              <w:right w:val="nil"/>
            </w:tcBorders>
            <w:shd w:val="clear" w:color="auto" w:fill="auto"/>
            <w:noWrap/>
            <w:vAlign w:val="bottom"/>
            <w:hideMark/>
          </w:tcPr>
          <w:p w:rsidR="003655C9" w:rsidRPr="003655C9" w:rsidRDefault="003655C9" w:rsidP="003655C9">
            <w:pPr>
              <w:spacing w:after="0" w:line="240" w:lineRule="auto"/>
              <w:jc w:val="right"/>
              <w:rPr>
                <w:rFonts w:ascii="Calibri" w:eastAsia="Times New Roman" w:hAnsi="Calibri" w:cs="Times New Roman"/>
                <w:color w:val="000000"/>
                <w:lang w:val="sr-Latn-RS" w:eastAsia="sr-Latn-RS"/>
              </w:rPr>
            </w:pPr>
          </w:p>
        </w:tc>
      </w:tr>
      <w:tr w:rsidR="003655C9" w:rsidRPr="003655C9" w:rsidTr="003655C9">
        <w:trPr>
          <w:trHeight w:val="301"/>
        </w:trPr>
        <w:tc>
          <w:tcPr>
            <w:tcW w:w="576" w:type="dxa"/>
            <w:tcBorders>
              <w:top w:val="single" w:sz="8" w:space="0" w:color="4F81BD"/>
              <w:left w:val="nil"/>
              <w:bottom w:val="single" w:sz="8" w:space="0" w:color="4F81BD"/>
              <w:right w:val="nil"/>
            </w:tcBorders>
            <w:shd w:val="clear" w:color="000000" w:fill="B8CCE4"/>
            <w:noWrap/>
            <w:vAlign w:val="center"/>
            <w:hideMark/>
          </w:tcPr>
          <w:p w:rsidR="003655C9" w:rsidRPr="003655C9" w:rsidRDefault="003655C9" w:rsidP="003655C9">
            <w:pPr>
              <w:spacing w:after="0" w:line="240" w:lineRule="auto"/>
              <w:rPr>
                <w:rFonts w:ascii="Verdana" w:eastAsia="Times New Roman" w:hAnsi="Verdana" w:cs="Times New Roman"/>
                <w:color w:val="365F91"/>
                <w:lang w:val="sr-Latn-RS" w:eastAsia="sr-Latn-RS"/>
              </w:rPr>
            </w:pPr>
            <w:r w:rsidRPr="003655C9">
              <w:rPr>
                <w:rFonts w:ascii="Verdana" w:eastAsia="Times New Roman" w:hAnsi="Verdana" w:cs="Times New Roman"/>
                <w:color w:val="365F91"/>
                <w:lang w:val="sr-Latn-RS" w:eastAsia="sr-Latn-RS"/>
              </w:rPr>
              <w:t> </w:t>
            </w:r>
          </w:p>
        </w:tc>
        <w:tc>
          <w:tcPr>
            <w:tcW w:w="2470" w:type="dxa"/>
            <w:tcBorders>
              <w:top w:val="single" w:sz="8" w:space="0" w:color="4F81BD"/>
              <w:left w:val="nil"/>
              <w:bottom w:val="single" w:sz="8" w:space="0" w:color="4F81BD"/>
              <w:right w:val="nil"/>
            </w:tcBorders>
            <w:shd w:val="clear" w:color="000000" w:fill="B8CCE4"/>
            <w:vAlign w:val="center"/>
            <w:hideMark/>
          </w:tcPr>
          <w:p w:rsidR="003655C9" w:rsidRPr="003655C9" w:rsidRDefault="003655C9" w:rsidP="003655C9">
            <w:pPr>
              <w:spacing w:after="0" w:line="240" w:lineRule="auto"/>
              <w:rPr>
                <w:rFonts w:ascii="Verdana" w:eastAsia="Times New Roman" w:hAnsi="Verdana" w:cs="Times New Roman"/>
                <w:b/>
                <w:bCs/>
                <w:color w:val="000000"/>
                <w:sz w:val="18"/>
                <w:szCs w:val="18"/>
                <w:lang w:val="sr-Latn-RS" w:eastAsia="sr-Latn-RS"/>
              </w:rPr>
            </w:pPr>
            <w:r w:rsidRPr="003655C9">
              <w:rPr>
                <w:rFonts w:ascii="Verdana" w:eastAsia="Times New Roman" w:hAnsi="Verdana" w:cs="Times New Roman"/>
                <w:b/>
                <w:bCs/>
                <w:color w:val="000000"/>
                <w:sz w:val="18"/>
                <w:szCs w:val="18"/>
                <w:lang w:val="sr-Latn-RS" w:eastAsia="sr-Latn-RS"/>
              </w:rPr>
              <w:t>Укупно (I - II)</w:t>
            </w:r>
          </w:p>
        </w:tc>
        <w:tc>
          <w:tcPr>
            <w:tcW w:w="1205" w:type="dxa"/>
            <w:tcBorders>
              <w:top w:val="single" w:sz="8" w:space="0" w:color="4F81BD"/>
              <w:left w:val="nil"/>
              <w:bottom w:val="single" w:sz="8" w:space="0" w:color="4F81BD"/>
              <w:right w:val="nil"/>
            </w:tcBorders>
            <w:shd w:val="clear" w:color="000000" w:fill="B8CCE4"/>
            <w:noWrap/>
            <w:vAlign w:val="center"/>
            <w:hideMark/>
          </w:tcPr>
          <w:p w:rsidR="003655C9" w:rsidRPr="003655C9" w:rsidRDefault="003655C9" w:rsidP="003655C9">
            <w:pPr>
              <w:spacing w:after="0" w:line="240" w:lineRule="auto"/>
              <w:jc w:val="right"/>
              <w:rPr>
                <w:rFonts w:ascii="Verdana" w:eastAsia="Times New Roman" w:hAnsi="Verdana" w:cs="Times New Roman"/>
                <w:b/>
                <w:bCs/>
                <w:color w:val="000000"/>
                <w:sz w:val="18"/>
                <w:szCs w:val="18"/>
                <w:lang w:val="sr-Latn-RS" w:eastAsia="sr-Latn-RS"/>
              </w:rPr>
            </w:pPr>
            <w:r w:rsidRPr="003655C9">
              <w:rPr>
                <w:rFonts w:ascii="Verdana" w:eastAsia="Times New Roman" w:hAnsi="Verdana" w:cs="Times New Roman"/>
                <w:b/>
                <w:bCs/>
                <w:color w:val="000000"/>
                <w:sz w:val="18"/>
                <w:szCs w:val="18"/>
                <w:lang w:val="sr-Latn-RS" w:eastAsia="sr-Latn-RS"/>
              </w:rPr>
              <w:t>148.442</w:t>
            </w:r>
          </w:p>
        </w:tc>
        <w:tc>
          <w:tcPr>
            <w:tcW w:w="1187" w:type="dxa"/>
            <w:tcBorders>
              <w:top w:val="single" w:sz="8" w:space="0" w:color="4F81BD"/>
              <w:left w:val="nil"/>
              <w:bottom w:val="single" w:sz="8" w:space="0" w:color="4F81BD"/>
              <w:right w:val="nil"/>
            </w:tcBorders>
            <w:shd w:val="clear" w:color="000000" w:fill="B8CCE4"/>
            <w:noWrap/>
            <w:vAlign w:val="center"/>
            <w:hideMark/>
          </w:tcPr>
          <w:p w:rsidR="003655C9" w:rsidRPr="003655C9" w:rsidRDefault="003655C9" w:rsidP="003655C9">
            <w:pPr>
              <w:spacing w:after="0" w:line="240" w:lineRule="auto"/>
              <w:jc w:val="right"/>
              <w:rPr>
                <w:rFonts w:ascii="Verdana" w:eastAsia="Times New Roman" w:hAnsi="Verdana" w:cs="Times New Roman"/>
                <w:b/>
                <w:bCs/>
                <w:color w:val="000000"/>
                <w:sz w:val="18"/>
                <w:szCs w:val="18"/>
                <w:lang w:val="sr-Latn-RS" w:eastAsia="sr-Latn-RS"/>
              </w:rPr>
            </w:pPr>
            <w:r w:rsidRPr="003655C9">
              <w:rPr>
                <w:rFonts w:ascii="Verdana" w:eastAsia="Times New Roman" w:hAnsi="Verdana" w:cs="Times New Roman"/>
                <w:b/>
                <w:bCs/>
                <w:color w:val="000000"/>
                <w:sz w:val="18"/>
                <w:szCs w:val="18"/>
                <w:lang w:val="sr-Latn-RS" w:eastAsia="sr-Latn-RS"/>
              </w:rPr>
              <w:t>139.219</w:t>
            </w:r>
          </w:p>
        </w:tc>
        <w:tc>
          <w:tcPr>
            <w:tcW w:w="1205" w:type="dxa"/>
            <w:tcBorders>
              <w:top w:val="single" w:sz="8" w:space="0" w:color="4F81BD"/>
              <w:left w:val="nil"/>
              <w:bottom w:val="single" w:sz="8" w:space="0" w:color="4F81BD"/>
              <w:right w:val="nil"/>
            </w:tcBorders>
            <w:shd w:val="clear" w:color="000000" w:fill="B8CCE4"/>
            <w:noWrap/>
            <w:vAlign w:val="center"/>
            <w:hideMark/>
          </w:tcPr>
          <w:p w:rsidR="003655C9" w:rsidRPr="003655C9" w:rsidRDefault="003655C9" w:rsidP="003655C9">
            <w:pPr>
              <w:spacing w:after="0" w:line="240" w:lineRule="auto"/>
              <w:jc w:val="right"/>
              <w:rPr>
                <w:rFonts w:ascii="Verdana" w:eastAsia="Times New Roman" w:hAnsi="Verdana" w:cs="Times New Roman"/>
                <w:b/>
                <w:bCs/>
                <w:color w:val="000000"/>
                <w:sz w:val="18"/>
                <w:szCs w:val="18"/>
                <w:lang w:val="sr-Latn-RS" w:eastAsia="sr-Latn-RS"/>
              </w:rPr>
            </w:pPr>
            <w:r w:rsidRPr="003655C9">
              <w:rPr>
                <w:rFonts w:ascii="Verdana" w:eastAsia="Times New Roman" w:hAnsi="Verdana" w:cs="Times New Roman"/>
                <w:b/>
                <w:bCs/>
                <w:color w:val="000000"/>
                <w:sz w:val="18"/>
                <w:szCs w:val="18"/>
                <w:lang w:val="sr-Latn-RS" w:eastAsia="sr-Latn-RS"/>
              </w:rPr>
              <w:t>126.080</w:t>
            </w:r>
          </w:p>
        </w:tc>
        <w:tc>
          <w:tcPr>
            <w:tcW w:w="1205" w:type="dxa"/>
            <w:tcBorders>
              <w:top w:val="single" w:sz="8" w:space="0" w:color="4F81BD"/>
              <w:left w:val="nil"/>
              <w:bottom w:val="single" w:sz="8" w:space="0" w:color="4F81BD"/>
              <w:right w:val="nil"/>
            </w:tcBorders>
            <w:shd w:val="clear" w:color="000000" w:fill="B8CCE4"/>
            <w:noWrap/>
            <w:vAlign w:val="bottom"/>
            <w:hideMark/>
          </w:tcPr>
          <w:p w:rsidR="003655C9" w:rsidRPr="003655C9" w:rsidRDefault="003655C9" w:rsidP="003655C9">
            <w:pPr>
              <w:spacing w:after="0" w:line="240" w:lineRule="auto"/>
              <w:jc w:val="right"/>
              <w:rPr>
                <w:rFonts w:ascii="Verdana" w:eastAsia="Times New Roman" w:hAnsi="Verdana" w:cs="Times New Roman"/>
                <w:b/>
                <w:bCs/>
                <w:color w:val="000000"/>
                <w:sz w:val="18"/>
                <w:szCs w:val="18"/>
                <w:lang w:val="sr-Latn-RS" w:eastAsia="sr-Latn-RS"/>
              </w:rPr>
            </w:pPr>
            <w:r w:rsidRPr="003655C9">
              <w:rPr>
                <w:rFonts w:ascii="Verdana" w:eastAsia="Times New Roman" w:hAnsi="Verdana" w:cs="Times New Roman"/>
                <w:b/>
                <w:bCs/>
                <w:color w:val="000000"/>
                <w:sz w:val="18"/>
                <w:szCs w:val="18"/>
                <w:lang w:val="sr-Latn-RS" w:eastAsia="sr-Latn-RS"/>
              </w:rPr>
              <w:t>84,94</w:t>
            </w:r>
          </w:p>
        </w:tc>
        <w:tc>
          <w:tcPr>
            <w:tcW w:w="1205" w:type="dxa"/>
            <w:tcBorders>
              <w:top w:val="single" w:sz="8" w:space="0" w:color="4F81BD"/>
              <w:left w:val="nil"/>
              <w:bottom w:val="single" w:sz="8" w:space="0" w:color="4F81BD"/>
              <w:right w:val="nil"/>
            </w:tcBorders>
            <w:shd w:val="clear" w:color="000000" w:fill="B8CCE4"/>
            <w:noWrap/>
            <w:vAlign w:val="bottom"/>
            <w:hideMark/>
          </w:tcPr>
          <w:p w:rsidR="003655C9" w:rsidRPr="003655C9" w:rsidRDefault="003655C9" w:rsidP="003655C9">
            <w:pPr>
              <w:spacing w:after="0" w:line="240" w:lineRule="auto"/>
              <w:jc w:val="right"/>
              <w:rPr>
                <w:rFonts w:ascii="Verdana" w:eastAsia="Times New Roman" w:hAnsi="Verdana" w:cs="Times New Roman"/>
                <w:b/>
                <w:bCs/>
                <w:color w:val="000000"/>
                <w:sz w:val="18"/>
                <w:szCs w:val="18"/>
                <w:lang w:val="sr-Latn-RS" w:eastAsia="sr-Latn-RS"/>
              </w:rPr>
            </w:pPr>
            <w:r w:rsidRPr="003655C9">
              <w:rPr>
                <w:rFonts w:ascii="Verdana" w:eastAsia="Times New Roman" w:hAnsi="Verdana" w:cs="Times New Roman"/>
                <w:b/>
                <w:bCs/>
                <w:color w:val="000000"/>
                <w:sz w:val="18"/>
                <w:szCs w:val="18"/>
                <w:lang w:val="sr-Latn-RS" w:eastAsia="sr-Latn-RS"/>
              </w:rPr>
              <w:t>90,56</w:t>
            </w:r>
          </w:p>
        </w:tc>
      </w:tr>
    </w:tbl>
    <w:p w:rsidR="004A6D9D" w:rsidRPr="00BF3CDE" w:rsidRDefault="004A6D9D" w:rsidP="00D85921">
      <w:pPr>
        <w:jc w:val="center"/>
        <w:rPr>
          <w:b/>
          <w:i/>
          <w:noProof/>
          <w:color w:val="4F81BD" w:themeColor="accent1"/>
          <w:sz w:val="20"/>
          <w:szCs w:val="20"/>
          <w:lang w:val="sr-Cyrl-CS" w:eastAsia="ar-SA"/>
        </w:rPr>
      </w:pPr>
    </w:p>
    <w:p w:rsidR="00F36245" w:rsidRPr="00F46A33" w:rsidRDefault="00E35037" w:rsidP="00F36245">
      <w:pPr>
        <w:pStyle w:val="NoSpacing"/>
        <w:spacing w:before="120" w:after="120" w:line="276" w:lineRule="auto"/>
        <w:ind w:firstLine="284"/>
        <w:jc w:val="both"/>
        <w:rPr>
          <w:rFonts w:ascii="Verdana" w:eastAsia="Calibri" w:hAnsi="Verdana"/>
          <w:noProof/>
          <w:sz w:val="20"/>
          <w:lang w:val="sr-Cyrl-CS" w:eastAsia="en-US"/>
        </w:rPr>
      </w:pPr>
      <w:r w:rsidRPr="00F46A33">
        <w:rPr>
          <w:rFonts w:ascii="Verdana" w:eastAsia="Calibri" w:hAnsi="Verdana"/>
          <w:noProof/>
          <w:sz w:val="20"/>
          <w:lang w:val="sr-Cyrl-CS" w:eastAsia="en-US"/>
        </w:rPr>
        <w:t>У</w:t>
      </w:r>
      <w:r w:rsidR="00F36245" w:rsidRPr="00F46A33">
        <w:rPr>
          <w:rFonts w:ascii="Verdana" w:eastAsia="Calibri" w:hAnsi="Verdana"/>
          <w:noProof/>
          <w:sz w:val="20"/>
          <w:lang w:val="sr-Cyrl-CS" w:eastAsia="en-US"/>
        </w:rPr>
        <w:t>купни трошкови пословањ</w:t>
      </w:r>
      <w:r w:rsidR="003655C9" w:rsidRPr="00F46A33">
        <w:rPr>
          <w:rFonts w:ascii="Verdana" w:eastAsia="Calibri" w:hAnsi="Verdana"/>
          <w:noProof/>
          <w:sz w:val="20"/>
          <w:lang w:val="sr-Cyrl-CS" w:eastAsia="en-US"/>
        </w:rPr>
        <w:t xml:space="preserve">а у </w:t>
      </w:r>
      <w:r w:rsidR="00F36245" w:rsidRPr="00F46A33">
        <w:rPr>
          <w:rFonts w:ascii="Verdana" w:eastAsia="Calibri" w:hAnsi="Verdana"/>
          <w:noProof/>
          <w:sz w:val="20"/>
          <w:lang w:val="sr-Cyrl-CS" w:eastAsia="en-US"/>
        </w:rPr>
        <w:t xml:space="preserve">2015. године  </w:t>
      </w:r>
      <w:r w:rsidR="003655C9" w:rsidRPr="00F46A33">
        <w:rPr>
          <w:rFonts w:ascii="Verdana" w:eastAsia="Calibri" w:hAnsi="Verdana"/>
          <w:noProof/>
          <w:sz w:val="20"/>
          <w:lang w:val="sr-Cyrl-CS" w:eastAsia="en-US"/>
        </w:rPr>
        <w:t xml:space="preserve">износе </w:t>
      </w:r>
      <w:r w:rsidR="00F46A33">
        <w:rPr>
          <w:rFonts w:ascii="Verdana" w:eastAsia="Calibri" w:hAnsi="Verdana"/>
          <w:noProof/>
          <w:sz w:val="20"/>
          <w:lang w:val="sr-Cyrl-CS" w:eastAsia="en-US"/>
        </w:rPr>
        <w:t>126.080</w:t>
      </w:r>
      <w:r w:rsidR="003655C9" w:rsidRPr="00F46A33">
        <w:rPr>
          <w:rFonts w:ascii="Verdana" w:eastAsia="Calibri" w:hAnsi="Verdana"/>
          <w:noProof/>
          <w:sz w:val="20"/>
          <w:lang w:val="sr-Cyrl-CS" w:eastAsia="en-US"/>
        </w:rPr>
        <w:t xml:space="preserve"> хиљада динара, а у 2014. години </w:t>
      </w:r>
      <w:r w:rsidR="008021FF" w:rsidRPr="00F46A33">
        <w:rPr>
          <w:rFonts w:ascii="Verdana" w:eastAsia="Calibri" w:hAnsi="Verdana"/>
          <w:noProof/>
          <w:sz w:val="20"/>
          <w:lang w:val="sr-Cyrl-CS" w:eastAsia="en-US"/>
        </w:rPr>
        <w:t>су</w:t>
      </w:r>
      <w:r w:rsidRPr="00F46A33">
        <w:rPr>
          <w:rFonts w:ascii="Verdana" w:eastAsia="Calibri" w:hAnsi="Verdana"/>
          <w:noProof/>
          <w:sz w:val="20"/>
          <w:lang w:val="sr-Cyrl-CS" w:eastAsia="en-US"/>
        </w:rPr>
        <w:t xml:space="preserve"> износили</w:t>
      </w:r>
      <w:r w:rsidR="003655C9" w:rsidRPr="00F46A33">
        <w:rPr>
          <w:rFonts w:ascii="Verdana" w:eastAsia="Calibri" w:hAnsi="Verdana"/>
          <w:noProof/>
          <w:sz w:val="20"/>
          <w:lang w:val="sr-Cyrl-CS" w:eastAsia="en-US"/>
        </w:rPr>
        <w:t xml:space="preserve"> </w:t>
      </w:r>
      <w:r w:rsidR="00F46A33">
        <w:rPr>
          <w:rFonts w:ascii="Verdana" w:eastAsia="Calibri" w:hAnsi="Verdana"/>
          <w:noProof/>
          <w:sz w:val="20"/>
          <w:lang w:val="sr-Cyrl-CS" w:eastAsia="en-US"/>
        </w:rPr>
        <w:t>148.442</w:t>
      </w:r>
      <w:r w:rsidR="003655C9" w:rsidRPr="00F46A33">
        <w:rPr>
          <w:rFonts w:ascii="Verdana" w:eastAsia="Calibri" w:hAnsi="Verdana"/>
          <w:noProof/>
          <w:sz w:val="20"/>
          <w:lang w:val="sr-Cyrl-CS" w:eastAsia="en-US"/>
        </w:rPr>
        <w:t xml:space="preserve">, што је </w:t>
      </w:r>
      <w:r w:rsidR="00F46A33">
        <w:rPr>
          <w:rFonts w:ascii="Verdana" w:eastAsia="Calibri" w:hAnsi="Verdana"/>
          <w:noProof/>
          <w:sz w:val="20"/>
          <w:lang w:val="sr-Cyrl-CS" w:eastAsia="en-US"/>
        </w:rPr>
        <w:t xml:space="preserve">мае </w:t>
      </w:r>
      <w:r w:rsidR="00F36245" w:rsidRPr="00F46A33">
        <w:rPr>
          <w:rFonts w:ascii="Verdana" w:eastAsia="Calibri" w:hAnsi="Verdana"/>
          <w:noProof/>
          <w:sz w:val="20"/>
          <w:lang w:val="sr-Cyrl-CS" w:eastAsia="en-US"/>
        </w:rPr>
        <w:t xml:space="preserve">од остварених у претходној години за </w:t>
      </w:r>
      <w:r w:rsidR="00F46A33">
        <w:rPr>
          <w:rFonts w:ascii="Verdana" w:eastAsia="Calibri" w:hAnsi="Verdana"/>
          <w:noProof/>
          <w:sz w:val="20"/>
          <w:lang w:val="sr-Cyrl-CS" w:eastAsia="en-US"/>
        </w:rPr>
        <w:t>13,4</w:t>
      </w:r>
      <w:r w:rsidR="00F36245" w:rsidRPr="00F46A33">
        <w:rPr>
          <w:rFonts w:ascii="Verdana" w:eastAsia="Calibri" w:hAnsi="Verdana"/>
          <w:noProof/>
          <w:sz w:val="20"/>
          <w:lang w:val="sr-Cyrl-CS" w:eastAsia="en-US"/>
        </w:rPr>
        <w:t xml:space="preserve">%, а од планираних за </w:t>
      </w:r>
      <w:r w:rsidR="003655C9" w:rsidRPr="00F46A33">
        <w:rPr>
          <w:rFonts w:ascii="Verdana" w:eastAsia="Calibri" w:hAnsi="Verdana"/>
          <w:noProof/>
          <w:sz w:val="20"/>
          <w:lang w:val="sr-Cyrl-CS" w:eastAsia="en-US"/>
        </w:rPr>
        <w:t>9,</w:t>
      </w:r>
      <w:r w:rsidR="00F46A33">
        <w:rPr>
          <w:rFonts w:ascii="Verdana" w:eastAsia="Calibri" w:hAnsi="Verdana"/>
          <w:noProof/>
          <w:sz w:val="20"/>
          <w:lang w:val="sr-Cyrl-CS" w:eastAsia="en-US"/>
        </w:rPr>
        <w:t>42</w:t>
      </w:r>
      <w:r w:rsidR="00F36245" w:rsidRPr="00F46A33">
        <w:rPr>
          <w:rFonts w:ascii="Verdana" w:eastAsia="Calibri" w:hAnsi="Verdana"/>
          <w:noProof/>
          <w:sz w:val="20"/>
          <w:lang w:val="sr-Cyrl-CS" w:eastAsia="en-US"/>
        </w:rPr>
        <w:t>%.</w:t>
      </w:r>
    </w:p>
    <w:p w:rsidR="00F36245" w:rsidRPr="00F97C6A" w:rsidRDefault="00F36245" w:rsidP="00F36245">
      <w:pPr>
        <w:keepNext/>
        <w:keepLines/>
        <w:spacing w:before="200" w:line="20" w:lineRule="atLeast"/>
        <w:outlineLvl w:val="3"/>
        <w:rPr>
          <w:rFonts w:ascii="Cambria" w:hAnsi="Cambria"/>
          <w:b/>
          <w:bCs/>
          <w:i/>
          <w:iCs/>
          <w:noProof/>
          <w:color w:val="4F81BD"/>
          <w:lang w:val="sr-Cyrl-RS"/>
        </w:rPr>
      </w:pPr>
      <w:r w:rsidRPr="00F97C6A">
        <w:rPr>
          <w:rFonts w:ascii="Cambria" w:hAnsi="Cambria"/>
          <w:b/>
          <w:bCs/>
          <w:i/>
          <w:iCs/>
          <w:noProof/>
          <w:color w:val="4F81BD"/>
          <w:lang w:val="sr-Cyrl-RS"/>
        </w:rPr>
        <w:t>530</w:t>
      </w:r>
      <w:r w:rsidRPr="00F97C6A">
        <w:rPr>
          <w:rFonts w:ascii="Cambria" w:hAnsi="Cambria"/>
          <w:b/>
          <w:bCs/>
          <w:i/>
          <w:iCs/>
          <w:noProof/>
          <w:color w:val="4F81BD"/>
          <w:lang w:val="sr-Cyrl-RS"/>
        </w:rPr>
        <w:tab/>
        <w:t>Трошкови амортизације</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Укупни трошкови амортизације у 2015. године износе 11,252 хиљада динара и већи су од планираних за 6,76%, а већи од остварења у истом периоду 2014. години за 5,91%, из разлога што је у овом периоду, набављена додатна ИТ опрема.</w:t>
      </w:r>
    </w:p>
    <w:p w:rsidR="00F36245" w:rsidRPr="00F97C6A" w:rsidRDefault="00F36245" w:rsidP="00F36245">
      <w:pPr>
        <w:keepNext/>
        <w:keepLines/>
        <w:spacing w:before="200" w:line="20" w:lineRule="atLeast"/>
        <w:outlineLvl w:val="3"/>
        <w:rPr>
          <w:rFonts w:ascii="Cambria" w:hAnsi="Cambria"/>
          <w:b/>
          <w:bCs/>
          <w:i/>
          <w:iCs/>
          <w:noProof/>
          <w:color w:val="4F81BD"/>
          <w:lang w:val="sr-Cyrl-RS"/>
        </w:rPr>
      </w:pPr>
      <w:r w:rsidRPr="00F97C6A">
        <w:rPr>
          <w:rFonts w:ascii="Cambria" w:hAnsi="Cambria"/>
          <w:b/>
          <w:bCs/>
          <w:i/>
          <w:iCs/>
          <w:noProof/>
          <w:color w:val="4F81BD"/>
          <w:lang w:val="sr-Cyrl-RS"/>
        </w:rPr>
        <w:t>540</w:t>
      </w:r>
      <w:r w:rsidRPr="00F97C6A">
        <w:rPr>
          <w:rFonts w:ascii="Cambria" w:hAnsi="Cambria"/>
          <w:b/>
          <w:bCs/>
          <w:i/>
          <w:iCs/>
          <w:noProof/>
          <w:color w:val="4F81BD"/>
          <w:lang w:val="sr-Cyrl-RS"/>
        </w:rPr>
        <w:tab/>
        <w:t>Трошкови материјала</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 xml:space="preserve">Укупни трошкови материјала у 2015. години износе 1.374 хиљаде динара у односу на планиране већи су за 10,69%, а од остварења за исти период  претходне године за 54,19%. </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Пораст ове групе трошкова у односу на претходну годину последица је набавке ИТ материјала и опреме која се класификује као ситан инвентар.</w:t>
      </w:r>
    </w:p>
    <w:p w:rsidR="00F36245" w:rsidRPr="00F97C6A" w:rsidRDefault="00F36245" w:rsidP="00F36245">
      <w:pPr>
        <w:keepNext/>
        <w:keepLines/>
        <w:spacing w:before="200" w:line="20" w:lineRule="atLeast"/>
        <w:outlineLvl w:val="3"/>
        <w:rPr>
          <w:rFonts w:ascii="Cambria" w:hAnsi="Cambria"/>
          <w:b/>
          <w:bCs/>
          <w:i/>
          <w:iCs/>
          <w:noProof/>
          <w:color w:val="4F81BD"/>
          <w:lang w:val="sr-Cyrl-RS"/>
        </w:rPr>
      </w:pPr>
      <w:r w:rsidRPr="00F97C6A">
        <w:rPr>
          <w:rFonts w:ascii="Cambria" w:hAnsi="Cambria"/>
          <w:b/>
          <w:bCs/>
          <w:i/>
          <w:iCs/>
          <w:noProof/>
          <w:color w:val="4F81BD"/>
          <w:lang w:val="sr-Cyrl-RS"/>
        </w:rPr>
        <w:t>541</w:t>
      </w:r>
      <w:r w:rsidRPr="00F97C6A">
        <w:rPr>
          <w:rFonts w:ascii="Cambria" w:hAnsi="Cambria"/>
          <w:b/>
          <w:bCs/>
          <w:i/>
          <w:iCs/>
          <w:noProof/>
          <w:color w:val="4F81BD"/>
          <w:lang w:val="sr-Cyrl-RS"/>
        </w:rPr>
        <w:tab/>
        <w:t>Трошкови горива и енергије</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 xml:space="preserve">Укупни остварени трошкови горива и енергије у 2015. години износе 328 хиљада динара и мањи су од планираних трошкова за 4,92%, а од остварења у истом периоду 2014. године за 57,77%. </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Тако значајан пад ових трошкова у односу на остварење у истом периоду претходне године последица је измене Уговора о закупу пословног простора, којим је почевши од 01.05.2014. године утврђена већа цена закупа пословног простора, с тим што су у уговорену цену укључени и споредни трошкови закупа (елктрична енергија, вода, чишћење, грејање, смеће и друге комуналне услуге).</w:t>
      </w:r>
    </w:p>
    <w:p w:rsidR="00F36245" w:rsidRPr="00F97C6A" w:rsidRDefault="00F36245" w:rsidP="00F36245">
      <w:pPr>
        <w:keepNext/>
        <w:keepLines/>
        <w:spacing w:before="120" w:line="20" w:lineRule="atLeast"/>
        <w:outlineLvl w:val="3"/>
        <w:rPr>
          <w:rFonts w:ascii="Cambria" w:hAnsi="Cambria"/>
          <w:b/>
          <w:bCs/>
          <w:i/>
          <w:iCs/>
          <w:noProof/>
          <w:color w:val="4F81BD"/>
          <w:lang w:val="sr-Cyrl-RS"/>
        </w:rPr>
      </w:pPr>
      <w:r w:rsidRPr="00F97C6A">
        <w:rPr>
          <w:rFonts w:ascii="Cambria" w:hAnsi="Cambria"/>
          <w:b/>
          <w:bCs/>
          <w:i/>
          <w:iCs/>
          <w:noProof/>
          <w:color w:val="4F81BD"/>
          <w:lang w:val="sr-Cyrl-RS"/>
        </w:rPr>
        <w:t>542</w:t>
      </w:r>
      <w:r w:rsidRPr="00F97C6A">
        <w:rPr>
          <w:rFonts w:ascii="Cambria" w:hAnsi="Cambria"/>
          <w:b/>
          <w:bCs/>
          <w:i/>
          <w:iCs/>
          <w:noProof/>
          <w:color w:val="4F81BD"/>
          <w:lang w:val="sr-Cyrl-RS"/>
        </w:rPr>
        <w:tab/>
        <w:t>Трошкови производних</w:t>
      </w:r>
      <w:r w:rsidR="00402D73">
        <w:rPr>
          <w:rFonts w:ascii="Cambria" w:hAnsi="Cambria"/>
          <w:b/>
          <w:bCs/>
          <w:i/>
          <w:iCs/>
          <w:noProof/>
          <w:color w:val="4F81BD"/>
          <w:lang w:val="sr-Cyrl-RS"/>
        </w:rPr>
        <w:t xml:space="preserve"> </w:t>
      </w:r>
      <w:r w:rsidRPr="00F97C6A">
        <w:rPr>
          <w:rFonts w:ascii="Cambria" w:hAnsi="Cambria"/>
          <w:b/>
          <w:bCs/>
          <w:i/>
          <w:iCs/>
          <w:noProof/>
          <w:color w:val="4F81BD"/>
          <w:lang w:val="sr-Cyrl-RS"/>
        </w:rPr>
        <w:t xml:space="preserve"> услуга</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 xml:space="preserve">Укупно остварени трошкови производних услуга у 2015. године износе 325.005  хиљада динара и већи су за 14,61 % од планираних трошкова, односно 16,79% од остварења у истом периоду претходне године. </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Изменом контног оквира и начина исказивања укупих трошкова пословања у ове трошкове су укључени и трошкови провизије остварени по основу уговора о реосигурању, па трошкове производних услуга сада чине: Трошкови ПТТ услуга, одржавања, закупнина, проивизија реосигурања и остали трошкови производних услуга.</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 xml:space="preserve">Највеће учешће у трошковима прозиводних услуга чине провизије из послова реосигурања које укупно износе 309.014 хиљада динара и већи су за 17,04% од остварених  у истом периоду претходне године, а у односу на план  већи су за 16,16%. </w:t>
      </w:r>
    </w:p>
    <w:p w:rsidR="00F36245" w:rsidRPr="00436014" w:rsidRDefault="00F36245" w:rsidP="00F36245">
      <w:pPr>
        <w:keepNext/>
        <w:keepLines/>
        <w:spacing w:before="120" w:after="120" w:line="20" w:lineRule="atLeast"/>
        <w:outlineLvl w:val="3"/>
        <w:rPr>
          <w:rFonts w:ascii="Cambria" w:hAnsi="Cambria"/>
          <w:b/>
          <w:bCs/>
          <w:i/>
          <w:iCs/>
          <w:noProof/>
          <w:color w:val="4F81BD"/>
          <w:lang w:val="sr-Cyrl-RS"/>
        </w:rPr>
      </w:pPr>
      <w:r w:rsidRPr="00436014">
        <w:rPr>
          <w:rFonts w:ascii="Cambria" w:hAnsi="Cambria"/>
          <w:b/>
          <w:bCs/>
          <w:i/>
          <w:iCs/>
          <w:noProof/>
          <w:color w:val="4F81BD"/>
          <w:lang w:val="sr-Cyrl-RS"/>
        </w:rPr>
        <w:t>544</w:t>
      </w:r>
      <w:r w:rsidRPr="00436014">
        <w:rPr>
          <w:rFonts w:ascii="Cambria" w:hAnsi="Cambria"/>
          <w:b/>
          <w:bCs/>
          <w:i/>
          <w:iCs/>
          <w:noProof/>
          <w:color w:val="4F81BD"/>
          <w:lang w:val="sr-Cyrl-RS"/>
        </w:rPr>
        <w:tab/>
        <w:t>Трошкови репрезентације</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Укупни трошкови репрезентације у 2015. години износе 1.948 хиљада динара и већи су од  планираних трошкова за 21,38%, док су у односу на остварење претходне године већи за 128,03%.</w:t>
      </w:r>
    </w:p>
    <w:p w:rsidR="00F36245" w:rsidRDefault="00F36245" w:rsidP="00F36245">
      <w:pPr>
        <w:pStyle w:val="NoSpacing"/>
        <w:spacing w:before="120" w:after="120" w:line="276" w:lineRule="auto"/>
        <w:ind w:firstLine="284"/>
        <w:jc w:val="both"/>
        <w:rPr>
          <w:rFonts w:ascii="Calibri" w:eastAsia="Calibri" w:hAnsi="Calibri"/>
          <w:noProof/>
          <w:lang w:val="sr-Cyrl-RS" w:eastAsia="en-US"/>
        </w:rPr>
      </w:pPr>
      <w:r w:rsidRPr="00F36245">
        <w:rPr>
          <w:rFonts w:ascii="Verdana" w:eastAsia="Calibri" w:hAnsi="Verdana"/>
          <w:noProof/>
          <w:sz w:val="20"/>
          <w:lang w:val="sr-Cyrl-CS" w:eastAsia="en-US"/>
        </w:rPr>
        <w:t>Повећање ових трошкова условљено је већим обимом посета пословних партнера у циљу упознавања са новим менадџментом и пословном стратегијом Друштва</w:t>
      </w:r>
      <w:r w:rsidRPr="00836B2C">
        <w:rPr>
          <w:rFonts w:ascii="Calibri" w:eastAsia="Calibri" w:hAnsi="Calibri"/>
          <w:noProof/>
          <w:lang w:val="sr-Cyrl-RS" w:eastAsia="en-US"/>
        </w:rPr>
        <w:t>.</w:t>
      </w:r>
      <w:r w:rsidRPr="00836B2C">
        <w:rPr>
          <w:rFonts w:ascii="Calibri" w:eastAsia="Calibri" w:hAnsi="Calibri"/>
          <w:noProof/>
          <w:lang w:eastAsia="en-US"/>
        </w:rPr>
        <w:t xml:space="preserve"> </w:t>
      </w:r>
    </w:p>
    <w:p w:rsidR="00F36245" w:rsidRPr="001D5053" w:rsidRDefault="00F36245" w:rsidP="00F36245">
      <w:pPr>
        <w:jc w:val="both"/>
        <w:rPr>
          <w:rFonts w:ascii="Calibri" w:eastAsia="Calibri" w:hAnsi="Calibri"/>
          <w:noProof/>
          <w:lang w:val="sr-Cyrl-RS"/>
        </w:rPr>
      </w:pPr>
      <w:r w:rsidRPr="00436014">
        <w:rPr>
          <w:rFonts w:ascii="Cambria" w:hAnsi="Cambria"/>
          <w:b/>
          <w:bCs/>
          <w:i/>
          <w:iCs/>
          <w:noProof/>
          <w:color w:val="4F81BD"/>
          <w:lang w:val="sr-Cyrl-RS"/>
        </w:rPr>
        <w:t>545</w:t>
      </w:r>
      <w:r w:rsidRPr="00436014">
        <w:rPr>
          <w:rFonts w:ascii="Cambria" w:hAnsi="Cambria"/>
          <w:b/>
          <w:bCs/>
          <w:i/>
          <w:iCs/>
          <w:noProof/>
          <w:color w:val="4F81BD"/>
          <w:lang w:val="sr-Cyrl-RS"/>
        </w:rPr>
        <w:tab/>
        <w:t>Трошкови премије осигурања</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 xml:space="preserve">Трошкови премије осигурања у 2015. години износе 1.263 хиљада динара и мањи су од планираних за 22,49%, док  су од остварења  у истом периоду претходне године већи за 45,26%.  </w:t>
      </w:r>
    </w:p>
    <w:p w:rsidR="00F36245" w:rsidRPr="00436014" w:rsidRDefault="00F36245" w:rsidP="00F36245">
      <w:pPr>
        <w:keepNext/>
        <w:keepLines/>
        <w:spacing w:before="240" w:after="240" w:line="20" w:lineRule="atLeast"/>
        <w:outlineLvl w:val="3"/>
        <w:rPr>
          <w:rFonts w:ascii="Cambria" w:hAnsi="Cambria"/>
          <w:b/>
          <w:bCs/>
          <w:i/>
          <w:iCs/>
          <w:noProof/>
          <w:color w:val="4F81BD"/>
          <w:lang w:val="sr-Cyrl-RS"/>
        </w:rPr>
      </w:pPr>
      <w:r w:rsidRPr="00436014">
        <w:rPr>
          <w:rFonts w:ascii="Cambria" w:hAnsi="Cambria"/>
          <w:b/>
          <w:bCs/>
          <w:i/>
          <w:iCs/>
          <w:noProof/>
          <w:color w:val="4F81BD"/>
          <w:lang w:val="sr-Cyrl-RS"/>
        </w:rPr>
        <w:t>546</w:t>
      </w:r>
      <w:r w:rsidRPr="00436014">
        <w:rPr>
          <w:rFonts w:ascii="Cambria" w:hAnsi="Cambria"/>
          <w:b/>
          <w:bCs/>
          <w:i/>
          <w:iCs/>
          <w:noProof/>
          <w:color w:val="4F81BD"/>
          <w:lang w:val="sr-Cyrl-RS"/>
        </w:rPr>
        <w:tab/>
        <w:t>Трошкови пореза и доприноса</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 xml:space="preserve">Укупни трошкови у 2015. години износе 3.099 хиљада динара и односе се на републичку таксу на фирму и остале порезе који терете трошкове пословања (највећи део се односи на порез за додату вредност на накнаде арбитрима у арбитражном поступку по штети ЕОС). </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Остварење трошкова је мање за 40,72% од остварења у истом периоду , а у односу на план мањи за 40,77%.</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 xml:space="preserve">Друштво је приликом планирања осталих пореза који терете трошкове пословање имало у виду да је у другој половини 2014. године евидентиран значајан износ обрачунатих и уплаћених пореза по одбитку по стопи од 25% по основу исплаћених накнада за услуге које је пружило нерезидентно правно лице из јурисдикције са преференцијалним пореским системом. </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 xml:space="preserve">Имајући у виду значајне трошкове који оптерећују пословање са правним лицима из јурисдикције са преференцијалним пореским системом у периоду од 01.01. до 31.12.2015. године није било трансакција са осигуравајућим друштвима са седиштем у земљама пореског раја (World Wide Insurance Hong Kong, Baloise Insurance Company ltd Bermuda, Trust Re Bahrein, Uniqa Versicherung VaduLihtenstei, и сл.).  </w:t>
      </w:r>
    </w:p>
    <w:p w:rsidR="00F36245" w:rsidRPr="006F3D0C" w:rsidRDefault="00F36245" w:rsidP="00F36245">
      <w:pPr>
        <w:spacing w:before="240" w:after="240" w:line="20" w:lineRule="atLeast"/>
        <w:rPr>
          <w:rFonts w:ascii="Calibri" w:eastAsia="Calibri" w:hAnsi="Calibri"/>
          <w:noProof/>
          <w:sz w:val="2"/>
          <w:szCs w:val="2"/>
          <w:lang w:val="sr-Cyrl-RS"/>
        </w:rPr>
      </w:pPr>
      <w:r w:rsidRPr="006F3D0C">
        <w:rPr>
          <w:rFonts w:ascii="Cambria" w:hAnsi="Cambria"/>
          <w:b/>
          <w:bCs/>
          <w:i/>
          <w:iCs/>
          <w:noProof/>
          <w:color w:val="4F81BD"/>
          <w:lang w:val="sr-Cyrl-RS"/>
        </w:rPr>
        <w:t>547</w:t>
      </w:r>
      <w:r w:rsidRPr="006F3D0C">
        <w:rPr>
          <w:rFonts w:ascii="Cambria" w:hAnsi="Cambria"/>
          <w:b/>
          <w:bCs/>
          <w:i/>
          <w:iCs/>
          <w:noProof/>
          <w:color w:val="4F81BD"/>
          <w:lang w:val="sr-Cyrl-RS"/>
        </w:rPr>
        <w:tab/>
        <w:t>Накнаде за банкарске услуге</w:t>
      </w:r>
    </w:p>
    <w:p w:rsid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Укупни трошкови у 2015. години настали по основу накнаде за банкарске услуге износе 3.331 хиљада динара и већи су од планираних за 47,60%, а у односу на исти период претходне године за 136,85%.  Раст трошкова је последица већег броја трансакција са државним хартијама од вредности и девизних трансфера са рачуна једне банке на рачун друге банке, које су биле неопходне ради дисперзије ризика инвестирања I повећање промета због исплате штете Макиш.</w:t>
      </w:r>
    </w:p>
    <w:p w:rsidR="00CE7015" w:rsidRDefault="00CE7015" w:rsidP="00F36245">
      <w:pPr>
        <w:pStyle w:val="NoSpacing"/>
        <w:spacing w:before="120" w:after="120" w:line="276" w:lineRule="auto"/>
        <w:ind w:firstLine="284"/>
        <w:jc w:val="both"/>
        <w:rPr>
          <w:rFonts w:ascii="Verdana" w:eastAsia="Calibri" w:hAnsi="Verdana"/>
          <w:noProof/>
          <w:sz w:val="20"/>
          <w:lang w:val="sr-Cyrl-CS" w:eastAsia="en-US"/>
        </w:rPr>
      </w:pPr>
    </w:p>
    <w:p w:rsidR="00CE7015" w:rsidRDefault="00CE7015" w:rsidP="00F36245">
      <w:pPr>
        <w:pStyle w:val="NoSpacing"/>
        <w:spacing w:before="120" w:after="120" w:line="276" w:lineRule="auto"/>
        <w:ind w:firstLine="284"/>
        <w:jc w:val="both"/>
        <w:rPr>
          <w:rFonts w:ascii="Verdana" w:eastAsia="Calibri" w:hAnsi="Verdana"/>
          <w:noProof/>
          <w:sz w:val="20"/>
          <w:lang w:val="sr-Cyrl-CS" w:eastAsia="en-US"/>
        </w:rPr>
      </w:pPr>
    </w:p>
    <w:p w:rsidR="00CE7015" w:rsidRPr="00F36245" w:rsidRDefault="00CE7015" w:rsidP="00F36245">
      <w:pPr>
        <w:pStyle w:val="NoSpacing"/>
        <w:spacing w:before="120" w:after="120" w:line="276" w:lineRule="auto"/>
        <w:ind w:firstLine="284"/>
        <w:jc w:val="both"/>
        <w:rPr>
          <w:rFonts w:ascii="Verdana" w:eastAsia="Calibri" w:hAnsi="Verdana"/>
          <w:noProof/>
          <w:sz w:val="20"/>
          <w:lang w:val="sr-Cyrl-CS" w:eastAsia="en-US"/>
        </w:rPr>
      </w:pPr>
    </w:p>
    <w:p w:rsidR="00F36245" w:rsidRPr="006F3D0C" w:rsidRDefault="00F36245" w:rsidP="00F36245">
      <w:pPr>
        <w:spacing w:before="240" w:after="240" w:line="20" w:lineRule="atLeast"/>
        <w:jc w:val="both"/>
        <w:rPr>
          <w:rFonts w:ascii="Calibri" w:eastAsia="Calibri" w:hAnsi="Calibri"/>
          <w:noProof/>
          <w:sz w:val="2"/>
          <w:szCs w:val="2"/>
          <w:lang w:val="sr-Cyrl-RS"/>
        </w:rPr>
      </w:pPr>
      <w:r w:rsidRPr="006F3D0C">
        <w:rPr>
          <w:rFonts w:ascii="Cambria" w:hAnsi="Cambria"/>
          <w:b/>
          <w:bCs/>
          <w:i/>
          <w:iCs/>
          <w:noProof/>
          <w:color w:val="4F81BD"/>
          <w:lang w:val="sr-Cyrl-RS"/>
        </w:rPr>
        <w:t>548</w:t>
      </w:r>
      <w:r w:rsidRPr="006F3D0C">
        <w:rPr>
          <w:rFonts w:ascii="Cambria" w:hAnsi="Cambria"/>
          <w:b/>
          <w:bCs/>
          <w:i/>
          <w:iCs/>
          <w:noProof/>
          <w:color w:val="4F81BD"/>
          <w:lang w:val="sr-Cyrl-RS"/>
        </w:rPr>
        <w:tab/>
        <w:t>Трошкови непроизводних услуга</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Укупни непроизводних услуга у 2015. години износе 22.993 хиљада динара и мањи су у односу на план за 1,47%, док су у односу на остварење у истом периоду претходне године већи за 120,19%.</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У структури трошкова из ове групе адвокатске услуге износе 8.496 хиљада динара, накнада према НБС и екстерном ревизору 10.663 хиљада динара и остали трошкови 3.832 хиљада динара.</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Трошкови адвокатских услуга односе се на арбитражни поступак по штети на броду ЕОС,  Мидланд  и на спорове по којим смо тужени или умешач као што су Триглав осигурање, Комерцијална банка, АС осигурање, као и на радне спорове са Браниславом Савићем, Филипом Пејовићем и Јеленом Стефановић.</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550</w:t>
      </w:r>
      <w:r w:rsidRPr="00B93B93">
        <w:rPr>
          <w:rFonts w:ascii="Cambria" w:hAnsi="Cambria"/>
          <w:b/>
          <w:bCs/>
          <w:i/>
          <w:iCs/>
          <w:noProof/>
          <w:color w:val="4F81BD"/>
          <w:lang w:val="sr-Cyrl-RS"/>
        </w:rPr>
        <w:tab/>
        <w:t>Трошкови зарада - бруто</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Укупни трошкови зарада (бруто) износе 66.131 хиљаду динара и већи су од планираних за 14,02%, а мањи од остварења у истом периоду претходне године за 7,89%.</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Друштво је спровело усклађивање Колективни уговор са Законом о раду и истовремено утврдило следеће мере за смањење зарада: смањена је  цена рада, право на увећање зараде по основу  минулог рада смањено је са 0,7% на 0,4%, права на накнаду зараде за време одсуствовања са рада због привремене сперечности за рад до 30 дана смањена су на 65% уместо ранијих 85% од остварене просечне зараде претходних 12 месеци и смањена су права на нето накнаду трошкова  на име исхране у току рада на 200 РСД по радном дану уместо 20% од остварене просечне зараде у Републици Србији.</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Како су мере за смањење зарада ступиле на снагу у марту 2015. године у првом кварталу није забележено значајно одступање у зарадама у односу на претходну годину.</w:t>
      </w:r>
    </w:p>
    <w:p w:rsidR="00F36245" w:rsidRDefault="00F36245" w:rsidP="00F36245">
      <w:pPr>
        <w:pStyle w:val="NoSpacing"/>
        <w:spacing w:before="120" w:after="120" w:line="276" w:lineRule="auto"/>
        <w:ind w:firstLine="284"/>
        <w:jc w:val="both"/>
        <w:rPr>
          <w:noProof/>
          <w:lang w:val="sr-Cyrl-RS"/>
        </w:rPr>
      </w:pPr>
      <w:r w:rsidRPr="00F36245">
        <w:rPr>
          <w:rFonts w:ascii="Verdana" w:eastAsia="Calibri" w:hAnsi="Verdana"/>
          <w:noProof/>
          <w:sz w:val="20"/>
          <w:lang w:val="sr-Cyrl-CS" w:eastAsia="en-US"/>
        </w:rPr>
        <w:t>У другом и трећем кварталу забележен је раст боловања, и коришћење годишњих одмора за 2014. годину и 2015. годину, што је условило повећање трошкова, јер се накнаде обарчунавају на основицу која чини просек у птретходних 12 месеци</w:t>
      </w:r>
      <w:r w:rsidRPr="00C76233">
        <w:rPr>
          <w:noProof/>
          <w:lang w:val="sr-Cyrl-RS"/>
        </w:rPr>
        <w:t>.</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551</w:t>
      </w:r>
      <w:r w:rsidRPr="00B93B93">
        <w:rPr>
          <w:rFonts w:ascii="Cambria" w:hAnsi="Cambria"/>
          <w:b/>
          <w:bCs/>
          <w:i/>
          <w:iCs/>
          <w:noProof/>
          <w:color w:val="4F81BD"/>
          <w:lang w:val="sr-Cyrl-RS"/>
        </w:rPr>
        <w:tab/>
      </w:r>
      <w:r w:rsidRPr="00836B2C">
        <w:rPr>
          <w:rFonts w:ascii="Cambria" w:hAnsi="Cambria"/>
          <w:b/>
          <w:bCs/>
          <w:i/>
          <w:iCs/>
          <w:noProof/>
          <w:color w:val="4F81BD"/>
          <w:lang w:val="sr-Cyrl-RS"/>
        </w:rPr>
        <w:t>Доприноси на терет послодавца - зараде и надокнаде</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Трошкови доприноса из зараде и накнаде зарада на терет послодавца у 2015. години износе 11.517  хиљада динара и већи су од планираних трошкова за 6,05% а од остварења у истом периоду претходне године мањи су за 6,02%</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552</w:t>
      </w:r>
      <w:r w:rsidRPr="00B93B93">
        <w:rPr>
          <w:rFonts w:ascii="Cambria" w:hAnsi="Cambria"/>
          <w:b/>
          <w:bCs/>
          <w:i/>
          <w:iCs/>
          <w:noProof/>
          <w:color w:val="4F81BD"/>
          <w:lang w:val="sr-Cyrl-RS"/>
        </w:rPr>
        <w:tab/>
        <w:t>Трошкови накнада по уговору о делу</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Трошкови настали по основу трошкова накнада по уговору о делу односе се пре свега на накнаде актуару, а у 2015. години износе 2.972 хиљада динара. У односу на план мањи су за 51,28%, а у односу на исти период претходне године за 35,63%</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554</w:t>
      </w:r>
      <w:r w:rsidRPr="00B93B93">
        <w:rPr>
          <w:rFonts w:ascii="Cambria" w:hAnsi="Cambria"/>
          <w:b/>
          <w:bCs/>
          <w:i/>
          <w:iCs/>
          <w:noProof/>
          <w:color w:val="4F81BD"/>
          <w:lang w:val="sr-Cyrl-RS"/>
        </w:rPr>
        <w:tab/>
        <w:t>Трошак накнаде по уговору о привременим и повременим пословима</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Трошак накнаде по уговору о привременим и повременим пословима односе се на ангажовање везано за ангажовање кафе куварице у првом кварталу и износе 269 хиљада динара.</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w:t>
      </w:r>
      <w:r>
        <w:rPr>
          <w:rFonts w:ascii="Cambria" w:hAnsi="Cambria"/>
          <w:b/>
          <w:bCs/>
          <w:i/>
          <w:iCs/>
          <w:noProof/>
          <w:color w:val="4F81BD"/>
          <w:lang w:val="sr-Cyrl-RS"/>
        </w:rPr>
        <w:t>5</w:t>
      </w:r>
      <w:r w:rsidRPr="00B93B93">
        <w:rPr>
          <w:rFonts w:ascii="Cambria" w:hAnsi="Cambria"/>
          <w:b/>
          <w:bCs/>
          <w:i/>
          <w:iCs/>
          <w:noProof/>
          <w:color w:val="4F81BD"/>
          <w:lang w:val="sr-Cyrl-RS"/>
        </w:rPr>
        <w:tab/>
        <w:t xml:space="preserve">Трошак накнаде по </w:t>
      </w:r>
      <w:r>
        <w:rPr>
          <w:rFonts w:ascii="Cambria" w:hAnsi="Cambria"/>
          <w:b/>
          <w:bCs/>
          <w:i/>
          <w:iCs/>
          <w:noProof/>
          <w:color w:val="4F81BD"/>
          <w:lang w:val="sr-Cyrl-RS"/>
        </w:rPr>
        <w:t xml:space="preserve">осталим </w:t>
      </w:r>
      <w:r w:rsidRPr="00B93B93">
        <w:rPr>
          <w:rFonts w:ascii="Cambria" w:hAnsi="Cambria"/>
          <w:b/>
          <w:bCs/>
          <w:i/>
          <w:iCs/>
          <w:noProof/>
          <w:color w:val="4F81BD"/>
          <w:lang w:val="sr-Cyrl-RS"/>
        </w:rPr>
        <w:t>уговор</w:t>
      </w:r>
      <w:r>
        <w:rPr>
          <w:rFonts w:ascii="Cambria" w:hAnsi="Cambria"/>
          <w:b/>
          <w:bCs/>
          <w:i/>
          <w:iCs/>
          <w:noProof/>
          <w:color w:val="4F81BD"/>
          <w:lang w:val="sr-Cyrl-RS"/>
        </w:rPr>
        <w:t>има</w:t>
      </w:r>
      <w:r w:rsidRPr="00B93B93">
        <w:rPr>
          <w:rFonts w:ascii="Cambria" w:hAnsi="Cambria"/>
          <w:b/>
          <w:bCs/>
          <w:i/>
          <w:iCs/>
          <w:noProof/>
          <w:color w:val="4F81BD"/>
          <w:lang w:val="sr-Cyrl-RS"/>
        </w:rPr>
        <w:t xml:space="preserve"> </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Трошак накнаде по осталим уговорима износе 5.880 хиљада динара и односе се на накнаде арбитрима у арбитражном поступку по штети на броду ЕОС.</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556</w:t>
      </w:r>
      <w:r w:rsidRPr="00B93B93">
        <w:rPr>
          <w:rFonts w:ascii="Cambria" w:hAnsi="Cambria"/>
          <w:b/>
          <w:bCs/>
          <w:i/>
          <w:iCs/>
          <w:noProof/>
          <w:color w:val="4F81BD"/>
          <w:lang w:val="sr-Cyrl-RS"/>
        </w:rPr>
        <w:tab/>
        <w:t>Трошкови накнада члановима Надзорног одбора и Комисије за ревизију</w:t>
      </w:r>
    </w:p>
    <w:p w:rsidR="00F36245" w:rsidRP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F36245">
        <w:rPr>
          <w:rFonts w:ascii="Verdana" w:eastAsia="Calibri" w:hAnsi="Verdana"/>
          <w:noProof/>
          <w:sz w:val="20"/>
          <w:lang w:val="sr-Cyrl-CS" w:eastAsia="en-US"/>
        </w:rPr>
        <w:t>Трошкови у 2015. години настали по основу накнада чланова Надзорног одбора и Комисије за ревизију износе 5.324 хиљада динара једнаки су планираним,  а од остварења претходне године су мањи за 16,09%.</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w:t>
      </w:r>
      <w:r>
        <w:rPr>
          <w:rFonts w:ascii="Cambria" w:hAnsi="Cambria"/>
          <w:b/>
          <w:bCs/>
          <w:i/>
          <w:iCs/>
          <w:noProof/>
          <w:color w:val="4F81BD"/>
          <w:lang w:val="sr-Cyrl-RS"/>
        </w:rPr>
        <w:t>9</w:t>
      </w:r>
      <w:r w:rsidRPr="00B93B93">
        <w:rPr>
          <w:rFonts w:ascii="Cambria" w:hAnsi="Cambria"/>
          <w:b/>
          <w:bCs/>
          <w:i/>
          <w:iCs/>
          <w:noProof/>
          <w:color w:val="4F81BD"/>
          <w:lang w:val="sr-Cyrl-RS"/>
        </w:rPr>
        <w:tab/>
        <w:t>Остали лични расходи</w:t>
      </w:r>
    </w:p>
    <w:p w:rsidR="00F36245" w:rsidRPr="00F36245" w:rsidRDefault="00F36245" w:rsidP="00F36245">
      <w:pPr>
        <w:pStyle w:val="NoSpacing"/>
        <w:spacing w:before="120" w:after="120" w:line="276" w:lineRule="auto"/>
        <w:ind w:firstLine="284"/>
        <w:jc w:val="both"/>
        <w:rPr>
          <w:rFonts w:ascii="Verdana" w:hAnsi="Verdana"/>
          <w:sz w:val="20"/>
          <w:lang w:val="sr-Cyrl-CS"/>
        </w:rPr>
      </w:pPr>
      <w:r w:rsidRPr="00F36245">
        <w:rPr>
          <w:rFonts w:ascii="Verdana" w:eastAsia="Calibri" w:hAnsi="Verdana"/>
          <w:noProof/>
          <w:sz w:val="20"/>
          <w:lang w:val="sr-Cyrl-CS" w:eastAsia="en-US"/>
        </w:rPr>
        <w:t>Остали лични расходи у 2015. години износе 7.988 хиљада динара и већи су од планираних за 31,36%, а у односу на исти период претходне године већи су за 62,32%. На раст ових трошкова највећим делом су утицала  службена путовања поводом решавања штете Мидланд и штете на броду ЕОС.</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Остварени укупни трошкови пословања без провизије реосигурања су  у периоду од 01.01. до 31.12.2015. године  већи од остварених у претходној години за 4,53%, а од планираних за 10,35%.</w:t>
      </w:r>
    </w:p>
    <w:p w:rsidR="00F36245" w:rsidRPr="00F97C6A" w:rsidRDefault="00F36245" w:rsidP="00F36245">
      <w:pPr>
        <w:keepNext/>
        <w:keepLines/>
        <w:spacing w:before="200" w:line="20" w:lineRule="atLeast"/>
        <w:outlineLvl w:val="3"/>
        <w:rPr>
          <w:rFonts w:ascii="Cambria" w:hAnsi="Cambria"/>
          <w:b/>
          <w:bCs/>
          <w:i/>
          <w:iCs/>
          <w:noProof/>
          <w:color w:val="4F81BD"/>
          <w:lang w:val="sr-Cyrl-RS"/>
        </w:rPr>
      </w:pPr>
      <w:r w:rsidRPr="00F97C6A">
        <w:rPr>
          <w:rFonts w:ascii="Cambria" w:hAnsi="Cambria"/>
          <w:b/>
          <w:bCs/>
          <w:i/>
          <w:iCs/>
          <w:noProof/>
          <w:color w:val="4F81BD"/>
          <w:lang w:val="sr-Cyrl-RS"/>
        </w:rPr>
        <w:t>530</w:t>
      </w:r>
      <w:r w:rsidRPr="00F97C6A">
        <w:rPr>
          <w:rFonts w:ascii="Cambria" w:hAnsi="Cambria"/>
          <w:b/>
          <w:bCs/>
          <w:i/>
          <w:iCs/>
          <w:noProof/>
          <w:color w:val="4F81BD"/>
          <w:lang w:val="sr-Cyrl-RS"/>
        </w:rPr>
        <w:tab/>
        <w:t>Трошкови амортизације</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Укупни трошкови амортизације у 2015. године износе 11,252 хиљада динара и већи су од планираних за 6,76%, а већи од остварења у истом периоду 2014. години за 5,91%, из разлога што је у овом периоду, набављена додатна ИТ опрема.</w:t>
      </w:r>
    </w:p>
    <w:p w:rsidR="00F36245" w:rsidRPr="00F97C6A" w:rsidRDefault="00F36245" w:rsidP="00F36245">
      <w:pPr>
        <w:keepNext/>
        <w:keepLines/>
        <w:spacing w:before="200" w:line="20" w:lineRule="atLeast"/>
        <w:outlineLvl w:val="3"/>
        <w:rPr>
          <w:rFonts w:ascii="Cambria" w:hAnsi="Cambria"/>
          <w:b/>
          <w:bCs/>
          <w:i/>
          <w:iCs/>
          <w:noProof/>
          <w:color w:val="4F81BD"/>
          <w:lang w:val="sr-Cyrl-RS"/>
        </w:rPr>
      </w:pPr>
      <w:r w:rsidRPr="00F97C6A">
        <w:rPr>
          <w:rFonts w:ascii="Cambria" w:hAnsi="Cambria"/>
          <w:b/>
          <w:bCs/>
          <w:i/>
          <w:iCs/>
          <w:noProof/>
          <w:color w:val="4F81BD"/>
          <w:lang w:val="sr-Cyrl-RS"/>
        </w:rPr>
        <w:t>540</w:t>
      </w:r>
      <w:r w:rsidRPr="00F97C6A">
        <w:rPr>
          <w:rFonts w:ascii="Cambria" w:hAnsi="Cambria"/>
          <w:b/>
          <w:bCs/>
          <w:i/>
          <w:iCs/>
          <w:noProof/>
          <w:color w:val="4F81BD"/>
          <w:lang w:val="sr-Cyrl-RS"/>
        </w:rPr>
        <w:tab/>
        <w:t>Трошкови материјала</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 xml:space="preserve">Укупни трошкови материјала у 2015. години износе 1.374 хиљаде динара у односу на планиране већи су за 10,69%, а од остварења за исти период  претходне године за 54,19%. </w:t>
      </w:r>
    </w:p>
    <w:p w:rsidR="00F36245" w:rsidRPr="001D5053" w:rsidRDefault="00F36245" w:rsidP="00F36245">
      <w:pPr>
        <w:pStyle w:val="NoSpacing"/>
        <w:spacing w:before="120" w:after="120" w:line="276" w:lineRule="auto"/>
        <w:ind w:firstLine="284"/>
        <w:jc w:val="both"/>
        <w:rPr>
          <w:noProof/>
          <w:lang w:val="sr-Cyrl-RS"/>
        </w:rPr>
      </w:pPr>
      <w:r w:rsidRPr="00523193">
        <w:rPr>
          <w:rFonts w:ascii="Verdana" w:eastAsia="Calibri" w:hAnsi="Verdana"/>
          <w:noProof/>
          <w:sz w:val="20"/>
          <w:lang w:val="sr-Cyrl-CS" w:eastAsia="en-US"/>
        </w:rPr>
        <w:t>Пораст ове групе трошкова у односу на претходну годину последица је набавке ИТ материјала и опреме која се класификује као ситан инвентар</w:t>
      </w:r>
      <w:r w:rsidRPr="001D5053">
        <w:rPr>
          <w:noProof/>
          <w:lang w:val="sr-Cyrl-RS"/>
        </w:rPr>
        <w:t>.</w:t>
      </w:r>
    </w:p>
    <w:p w:rsidR="00F36245" w:rsidRPr="00F97C6A" w:rsidRDefault="00F36245" w:rsidP="00F36245">
      <w:pPr>
        <w:keepNext/>
        <w:keepLines/>
        <w:spacing w:before="200" w:line="20" w:lineRule="atLeast"/>
        <w:outlineLvl w:val="3"/>
        <w:rPr>
          <w:rFonts w:ascii="Cambria" w:hAnsi="Cambria"/>
          <w:b/>
          <w:bCs/>
          <w:i/>
          <w:iCs/>
          <w:noProof/>
          <w:color w:val="4F81BD"/>
          <w:lang w:val="sr-Cyrl-RS"/>
        </w:rPr>
      </w:pPr>
      <w:r w:rsidRPr="00F97C6A">
        <w:rPr>
          <w:rFonts w:ascii="Cambria" w:hAnsi="Cambria"/>
          <w:b/>
          <w:bCs/>
          <w:i/>
          <w:iCs/>
          <w:noProof/>
          <w:color w:val="4F81BD"/>
          <w:lang w:val="sr-Cyrl-RS"/>
        </w:rPr>
        <w:t>541</w:t>
      </w:r>
      <w:r w:rsidRPr="00F97C6A">
        <w:rPr>
          <w:rFonts w:ascii="Cambria" w:hAnsi="Cambria"/>
          <w:b/>
          <w:bCs/>
          <w:i/>
          <w:iCs/>
          <w:noProof/>
          <w:color w:val="4F81BD"/>
          <w:lang w:val="sr-Cyrl-RS"/>
        </w:rPr>
        <w:tab/>
        <w:t>Трошкови горива и енергије</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 xml:space="preserve">Укупни остварени трошкови горива и енергије у 2015. години износе 328 хиљада динара и мањи су од планираних трошкова за 4,92%, а од остварења у истом периоду 2014. године за 57,77%. </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Тако значајан пад ових трошкова у односу на остварење у истом периоду претходне године последица је измене Уговора о закупу пословног простора, којим је почевши од 01.05.2014. године утврђена већа цена закупа пословног простора, с тим што су у уговорену цену укључени и споредни трошкови закупа (елктрична енергија, вода, чишћење, грејање, смеће и друге комуналне услуге).</w:t>
      </w:r>
    </w:p>
    <w:p w:rsidR="00F36245" w:rsidRPr="00F97C6A" w:rsidRDefault="00F36245" w:rsidP="00F36245">
      <w:pPr>
        <w:keepNext/>
        <w:keepLines/>
        <w:spacing w:before="120" w:line="20" w:lineRule="atLeast"/>
        <w:outlineLvl w:val="3"/>
        <w:rPr>
          <w:rFonts w:ascii="Cambria" w:hAnsi="Cambria"/>
          <w:b/>
          <w:bCs/>
          <w:i/>
          <w:iCs/>
          <w:noProof/>
          <w:color w:val="4F81BD"/>
          <w:lang w:val="sr-Cyrl-RS"/>
        </w:rPr>
      </w:pPr>
      <w:r w:rsidRPr="00F97C6A">
        <w:rPr>
          <w:rFonts w:ascii="Cambria" w:hAnsi="Cambria"/>
          <w:b/>
          <w:bCs/>
          <w:i/>
          <w:iCs/>
          <w:noProof/>
          <w:color w:val="4F81BD"/>
          <w:lang w:val="sr-Cyrl-RS"/>
        </w:rPr>
        <w:t>542</w:t>
      </w:r>
      <w:r w:rsidRPr="00F97C6A">
        <w:rPr>
          <w:rFonts w:ascii="Cambria" w:hAnsi="Cambria"/>
          <w:b/>
          <w:bCs/>
          <w:i/>
          <w:iCs/>
          <w:noProof/>
          <w:color w:val="4F81BD"/>
          <w:lang w:val="sr-Cyrl-RS"/>
        </w:rPr>
        <w:tab/>
        <w:t>Трошкови производних услуга</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 xml:space="preserve">Укупно остварени трошкови производних услуга у 2015. године износе 325.005  хиљада динара и већи су за 14,61 % од планираних трошкова, односно 16,79% од остварења у истом периоду претходне године. </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Изменом контног оквира и начина исказивања укупих трошкова пословања у ове трошкове су укључени и трошкови провизије остварени по основу уговора о реосигурању, па трошкове производних услуга сада чине: Трошкови ПТТ услуга, одржавања, закупнина, проивизија реосигурања и остали трошкови производних услуга.</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 xml:space="preserve">Највеће учешће у трошковима прозиводних услуга чине провизије из послова реосигурања које укупно износе 309.014 хиљада динара и већи су за 17,04% од остварених  у истом периоду претходне године, а у односу на план  већи су за 16,16%. </w:t>
      </w:r>
    </w:p>
    <w:p w:rsidR="00F36245" w:rsidRPr="00436014" w:rsidRDefault="00F36245" w:rsidP="00F36245">
      <w:pPr>
        <w:keepNext/>
        <w:keepLines/>
        <w:spacing w:before="120" w:after="120" w:line="20" w:lineRule="atLeast"/>
        <w:outlineLvl w:val="3"/>
        <w:rPr>
          <w:rFonts w:ascii="Cambria" w:hAnsi="Cambria"/>
          <w:b/>
          <w:bCs/>
          <w:i/>
          <w:iCs/>
          <w:noProof/>
          <w:color w:val="4F81BD"/>
          <w:lang w:val="sr-Cyrl-RS"/>
        </w:rPr>
      </w:pPr>
      <w:r w:rsidRPr="00436014">
        <w:rPr>
          <w:rFonts w:ascii="Cambria" w:hAnsi="Cambria"/>
          <w:b/>
          <w:bCs/>
          <w:i/>
          <w:iCs/>
          <w:noProof/>
          <w:color w:val="4F81BD"/>
          <w:lang w:val="sr-Cyrl-RS"/>
        </w:rPr>
        <w:t>544</w:t>
      </w:r>
      <w:r w:rsidRPr="00436014">
        <w:rPr>
          <w:rFonts w:ascii="Cambria" w:hAnsi="Cambria"/>
          <w:b/>
          <w:bCs/>
          <w:i/>
          <w:iCs/>
          <w:noProof/>
          <w:color w:val="4F81BD"/>
          <w:lang w:val="sr-Cyrl-RS"/>
        </w:rPr>
        <w:tab/>
        <w:t>Трошкови репрезентације</w:t>
      </w:r>
    </w:p>
    <w:p w:rsidR="00F36245" w:rsidRPr="00523193" w:rsidRDefault="00F36245" w:rsidP="00523193">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Укупни трошкови репрезентације у 2015. години износе 1.948 хиљада динара и већи су од  планираних трошкова за 21,38%, док су у односу на остварење претходне године већи за 128,03%.</w:t>
      </w:r>
    </w:p>
    <w:p w:rsidR="00F36245" w:rsidRDefault="00F36245" w:rsidP="00523193">
      <w:pPr>
        <w:pStyle w:val="NoSpacing"/>
        <w:spacing w:before="120" w:after="120" w:line="276" w:lineRule="auto"/>
        <w:ind w:firstLine="284"/>
        <w:jc w:val="both"/>
        <w:rPr>
          <w:rFonts w:ascii="Calibri" w:eastAsia="Calibri" w:hAnsi="Calibri"/>
          <w:noProof/>
          <w:lang w:val="sr-Cyrl-RS" w:eastAsia="en-US"/>
        </w:rPr>
      </w:pPr>
      <w:r w:rsidRPr="00523193">
        <w:rPr>
          <w:rFonts w:ascii="Verdana" w:eastAsia="Calibri" w:hAnsi="Verdana"/>
          <w:noProof/>
          <w:sz w:val="20"/>
          <w:lang w:val="sr-Cyrl-CS" w:eastAsia="en-US"/>
        </w:rPr>
        <w:t>Повећање ових трошкова условљено је већим обимом посета пословних партнера у циљу упознавања са новим менадџментом и пословном стратегијом Друштва</w:t>
      </w:r>
      <w:r w:rsidRPr="00836B2C">
        <w:rPr>
          <w:rFonts w:ascii="Calibri" w:eastAsia="Calibri" w:hAnsi="Calibri"/>
          <w:noProof/>
          <w:lang w:val="sr-Cyrl-RS" w:eastAsia="en-US"/>
        </w:rPr>
        <w:t>.</w:t>
      </w:r>
      <w:r w:rsidRPr="00836B2C">
        <w:rPr>
          <w:rFonts w:ascii="Calibri" w:eastAsia="Calibri" w:hAnsi="Calibri"/>
          <w:noProof/>
          <w:lang w:eastAsia="en-US"/>
        </w:rPr>
        <w:t xml:space="preserve"> </w:t>
      </w:r>
    </w:p>
    <w:p w:rsidR="00F36245" w:rsidRPr="001D5053" w:rsidRDefault="00F36245" w:rsidP="00F36245">
      <w:pPr>
        <w:jc w:val="both"/>
        <w:rPr>
          <w:rFonts w:ascii="Calibri" w:eastAsia="Calibri" w:hAnsi="Calibri"/>
          <w:noProof/>
          <w:lang w:val="sr-Cyrl-RS"/>
        </w:rPr>
      </w:pPr>
      <w:r w:rsidRPr="00436014">
        <w:rPr>
          <w:rFonts w:ascii="Cambria" w:hAnsi="Cambria"/>
          <w:b/>
          <w:bCs/>
          <w:i/>
          <w:iCs/>
          <w:noProof/>
          <w:color w:val="4F81BD"/>
          <w:lang w:val="sr-Cyrl-RS"/>
        </w:rPr>
        <w:t>545</w:t>
      </w:r>
      <w:r w:rsidRPr="00436014">
        <w:rPr>
          <w:rFonts w:ascii="Cambria" w:hAnsi="Cambria"/>
          <w:b/>
          <w:bCs/>
          <w:i/>
          <w:iCs/>
          <w:noProof/>
          <w:color w:val="4F81BD"/>
          <w:lang w:val="sr-Cyrl-RS"/>
        </w:rPr>
        <w:tab/>
        <w:t>Трошкови премије осигурања</w:t>
      </w:r>
    </w:p>
    <w:p w:rsidR="00F36245" w:rsidRPr="00523193" w:rsidRDefault="00F36245" w:rsidP="00F36245">
      <w:pPr>
        <w:ind w:firstLine="284"/>
        <w:jc w:val="both"/>
        <w:rPr>
          <w:rFonts w:ascii="Verdana" w:eastAsia="Calibri" w:hAnsi="Verdana"/>
          <w:noProof/>
          <w:sz w:val="20"/>
          <w:lang w:val="sr-Cyrl-CS"/>
        </w:rPr>
      </w:pPr>
      <w:r w:rsidRPr="00523193">
        <w:rPr>
          <w:rFonts w:ascii="Verdana" w:eastAsia="Calibri" w:hAnsi="Verdana"/>
          <w:noProof/>
          <w:sz w:val="20"/>
          <w:lang w:val="sr-Cyrl-CS"/>
        </w:rPr>
        <w:t xml:space="preserve">Трошкови премије осигурања у 2015. години износе 1.263 хиљада динара и мањи су од планираних за 22,49%, док  су од остварења  у истом периоду претходне године већи за 45,26%.  </w:t>
      </w:r>
    </w:p>
    <w:p w:rsidR="00F36245" w:rsidRPr="00436014" w:rsidRDefault="00F36245" w:rsidP="00F36245">
      <w:pPr>
        <w:keepNext/>
        <w:keepLines/>
        <w:spacing w:before="240" w:after="240" w:line="20" w:lineRule="atLeast"/>
        <w:outlineLvl w:val="3"/>
        <w:rPr>
          <w:rFonts w:ascii="Cambria" w:hAnsi="Cambria"/>
          <w:b/>
          <w:bCs/>
          <w:i/>
          <w:iCs/>
          <w:noProof/>
          <w:color w:val="4F81BD"/>
          <w:lang w:val="sr-Cyrl-RS"/>
        </w:rPr>
      </w:pPr>
      <w:r w:rsidRPr="00436014">
        <w:rPr>
          <w:rFonts w:ascii="Cambria" w:hAnsi="Cambria"/>
          <w:b/>
          <w:bCs/>
          <w:i/>
          <w:iCs/>
          <w:noProof/>
          <w:color w:val="4F81BD"/>
          <w:lang w:val="sr-Cyrl-RS"/>
        </w:rPr>
        <w:t>546</w:t>
      </w:r>
      <w:r w:rsidRPr="00436014">
        <w:rPr>
          <w:rFonts w:ascii="Cambria" w:hAnsi="Cambria"/>
          <w:b/>
          <w:bCs/>
          <w:i/>
          <w:iCs/>
          <w:noProof/>
          <w:color w:val="4F81BD"/>
          <w:lang w:val="sr-Cyrl-RS"/>
        </w:rPr>
        <w:tab/>
        <w:t>Трошкови пореза и доприноса</w:t>
      </w:r>
    </w:p>
    <w:p w:rsidR="00F36245" w:rsidRPr="00523193" w:rsidRDefault="00F36245" w:rsidP="00523193">
      <w:pPr>
        <w:ind w:firstLine="284"/>
        <w:jc w:val="both"/>
        <w:rPr>
          <w:rFonts w:ascii="Verdana" w:eastAsia="Calibri" w:hAnsi="Verdana"/>
          <w:noProof/>
          <w:sz w:val="20"/>
          <w:lang w:val="sr-Cyrl-CS"/>
        </w:rPr>
      </w:pPr>
      <w:r w:rsidRPr="00523193">
        <w:rPr>
          <w:rFonts w:ascii="Verdana" w:eastAsia="Calibri" w:hAnsi="Verdana"/>
          <w:noProof/>
          <w:sz w:val="20"/>
          <w:lang w:val="sr-Cyrl-CS"/>
        </w:rPr>
        <w:t xml:space="preserve">Укупни трошкови у 2015. години износе 3.099 хиљада динара и односе се на републичку таксу на фирму и остале порезе који терете трошкове пословања (највећи део се односи на порез за додату вредност на накнаде арбитрима у арбитражном поступку по штети ЕОС). </w:t>
      </w:r>
    </w:p>
    <w:p w:rsidR="00F36245" w:rsidRPr="00523193" w:rsidRDefault="00F36245" w:rsidP="00523193">
      <w:pPr>
        <w:ind w:firstLine="284"/>
        <w:jc w:val="both"/>
        <w:rPr>
          <w:rFonts w:ascii="Verdana" w:eastAsia="Calibri" w:hAnsi="Verdana"/>
          <w:noProof/>
          <w:sz w:val="20"/>
          <w:lang w:val="sr-Cyrl-CS"/>
        </w:rPr>
      </w:pPr>
      <w:r w:rsidRPr="00523193">
        <w:rPr>
          <w:rFonts w:ascii="Verdana" w:eastAsia="Calibri" w:hAnsi="Verdana"/>
          <w:noProof/>
          <w:sz w:val="20"/>
          <w:lang w:val="sr-Cyrl-CS"/>
        </w:rPr>
        <w:t>Остварење трошкова је мање за 40,72% од остварења у истом периоду , а у односу на план мањи за 40,77%.</w:t>
      </w:r>
    </w:p>
    <w:p w:rsidR="00F36245" w:rsidRPr="00523193" w:rsidRDefault="00F36245" w:rsidP="00523193">
      <w:pPr>
        <w:ind w:firstLine="284"/>
        <w:jc w:val="both"/>
        <w:rPr>
          <w:rFonts w:ascii="Verdana" w:eastAsia="Calibri" w:hAnsi="Verdana"/>
          <w:noProof/>
          <w:sz w:val="20"/>
          <w:lang w:val="sr-Cyrl-CS"/>
        </w:rPr>
      </w:pPr>
      <w:r w:rsidRPr="00523193">
        <w:rPr>
          <w:rFonts w:ascii="Verdana" w:eastAsia="Calibri" w:hAnsi="Verdana"/>
          <w:noProof/>
          <w:sz w:val="20"/>
          <w:lang w:val="sr-Cyrl-CS"/>
        </w:rPr>
        <w:t xml:space="preserve">Друштво је приликом планирања осталих пореза који терете трошкове пословање имало у виду да је у другој половини 2014. године евидентиран значајан износ обрачунатих и уплаћених пореза по одбитку по стопи од 25% по основу исплаћених накнада за услуге које је пружило нерезидентно правно лице из јурисдикције са преференцијалним пореским системом. </w:t>
      </w:r>
    </w:p>
    <w:p w:rsidR="00F36245" w:rsidRPr="00523193" w:rsidRDefault="00F36245" w:rsidP="00523193">
      <w:pPr>
        <w:ind w:firstLine="284"/>
        <w:jc w:val="both"/>
        <w:rPr>
          <w:rFonts w:ascii="Verdana" w:eastAsia="Calibri" w:hAnsi="Verdana"/>
          <w:noProof/>
          <w:sz w:val="20"/>
          <w:lang w:val="sr-Cyrl-CS"/>
        </w:rPr>
      </w:pPr>
      <w:r w:rsidRPr="00523193">
        <w:rPr>
          <w:rFonts w:ascii="Verdana" w:eastAsia="Calibri" w:hAnsi="Verdana"/>
          <w:noProof/>
          <w:sz w:val="20"/>
          <w:lang w:val="sr-Cyrl-CS"/>
        </w:rPr>
        <w:t xml:space="preserve">Имајући у виду значајне трошкове који оптерећују пословање са правним лицима из јурисдикције са преференцијалним пореским системом у периоду од 01.01. до 31.12.2015. године није било трансакција са осигуравајућим друштвима са седиштем у земљама пореског раја (World Wide Insurance Hong Kong, Baloise Insurance Company ltd Bermuda, Trust Re Bahrein, Uniqa Versicherung VaduLihtenstei, и сл.).  </w:t>
      </w:r>
    </w:p>
    <w:p w:rsidR="00F36245" w:rsidRPr="006F3D0C" w:rsidRDefault="00F36245" w:rsidP="00F36245">
      <w:pPr>
        <w:spacing w:before="240" w:after="240" w:line="20" w:lineRule="atLeast"/>
        <w:rPr>
          <w:rFonts w:ascii="Calibri" w:eastAsia="Calibri" w:hAnsi="Calibri"/>
          <w:noProof/>
          <w:sz w:val="2"/>
          <w:szCs w:val="2"/>
          <w:lang w:val="sr-Cyrl-RS"/>
        </w:rPr>
      </w:pPr>
      <w:r w:rsidRPr="006F3D0C">
        <w:rPr>
          <w:rFonts w:ascii="Cambria" w:hAnsi="Cambria"/>
          <w:b/>
          <w:bCs/>
          <w:i/>
          <w:iCs/>
          <w:noProof/>
          <w:color w:val="4F81BD"/>
          <w:lang w:val="sr-Cyrl-RS"/>
        </w:rPr>
        <w:t>547</w:t>
      </w:r>
      <w:r w:rsidRPr="006F3D0C">
        <w:rPr>
          <w:rFonts w:ascii="Cambria" w:hAnsi="Cambria"/>
          <w:b/>
          <w:bCs/>
          <w:i/>
          <w:iCs/>
          <w:noProof/>
          <w:color w:val="4F81BD"/>
          <w:lang w:val="sr-Cyrl-RS"/>
        </w:rPr>
        <w:tab/>
        <w:t>Накнаде за банкарске услуге</w:t>
      </w:r>
    </w:p>
    <w:p w:rsidR="00F36245" w:rsidRPr="00523193" w:rsidRDefault="00F36245" w:rsidP="00523193">
      <w:pPr>
        <w:ind w:firstLine="284"/>
        <w:jc w:val="both"/>
        <w:rPr>
          <w:rFonts w:ascii="Verdana" w:eastAsia="Calibri" w:hAnsi="Verdana"/>
          <w:noProof/>
          <w:sz w:val="20"/>
          <w:lang w:val="sr-Cyrl-CS"/>
        </w:rPr>
      </w:pPr>
      <w:r w:rsidRPr="00523193">
        <w:rPr>
          <w:rFonts w:ascii="Verdana" w:eastAsia="Calibri" w:hAnsi="Verdana"/>
          <w:noProof/>
          <w:sz w:val="20"/>
          <w:lang w:val="sr-Cyrl-CS"/>
        </w:rPr>
        <w:t>Укупни трошкови у 2015. години настали по основу накнаде за банкарске услуге износе 3.331 хиљада динара и већи су од планираних за 47,60%, а у односу на исти период претходне године за 136,85%.  Раст трошкова је последица већег броја трансакција са државним хартијама од вредности и девизних трансфера са рачуна једне банке на рачун друге банке, које су биле неопходне ради дисперзије ризика инвестирања I повећање промета због исплате штете Макиш.</w:t>
      </w:r>
    </w:p>
    <w:p w:rsidR="00F36245" w:rsidRPr="006F3D0C" w:rsidRDefault="00F36245" w:rsidP="00F36245">
      <w:pPr>
        <w:spacing w:before="240" w:after="240" w:line="20" w:lineRule="atLeast"/>
        <w:jc w:val="both"/>
        <w:rPr>
          <w:rFonts w:ascii="Calibri" w:eastAsia="Calibri" w:hAnsi="Calibri"/>
          <w:noProof/>
          <w:sz w:val="2"/>
          <w:szCs w:val="2"/>
          <w:lang w:val="sr-Cyrl-RS"/>
        </w:rPr>
      </w:pPr>
      <w:r w:rsidRPr="006F3D0C">
        <w:rPr>
          <w:rFonts w:ascii="Cambria" w:hAnsi="Cambria"/>
          <w:b/>
          <w:bCs/>
          <w:i/>
          <w:iCs/>
          <w:noProof/>
          <w:color w:val="4F81BD"/>
          <w:lang w:val="sr-Cyrl-RS"/>
        </w:rPr>
        <w:t>548</w:t>
      </w:r>
      <w:r w:rsidRPr="006F3D0C">
        <w:rPr>
          <w:rFonts w:ascii="Cambria" w:hAnsi="Cambria"/>
          <w:b/>
          <w:bCs/>
          <w:i/>
          <w:iCs/>
          <w:noProof/>
          <w:color w:val="4F81BD"/>
          <w:lang w:val="sr-Cyrl-RS"/>
        </w:rPr>
        <w:tab/>
        <w:t>Трошкови непроизводних услуга</w:t>
      </w:r>
    </w:p>
    <w:p w:rsidR="00F36245" w:rsidRPr="00523193" w:rsidRDefault="00F36245" w:rsidP="00523193">
      <w:pPr>
        <w:ind w:firstLine="284"/>
        <w:jc w:val="both"/>
        <w:rPr>
          <w:rFonts w:ascii="Verdana" w:eastAsia="Calibri" w:hAnsi="Verdana"/>
          <w:noProof/>
          <w:sz w:val="20"/>
          <w:lang w:val="sr-Cyrl-CS"/>
        </w:rPr>
      </w:pPr>
      <w:r w:rsidRPr="00523193">
        <w:rPr>
          <w:rFonts w:ascii="Verdana" w:eastAsia="Calibri" w:hAnsi="Verdana"/>
          <w:noProof/>
          <w:sz w:val="20"/>
          <w:lang w:val="sr-Cyrl-CS"/>
        </w:rPr>
        <w:t>Укупни непроизводних услуга у 2015. години износе 22.993 хиљада динара и мањи су у односу на план за 1,47%, док су у односу на остварење у истом периоду претходне године већи за 120,19%.</w:t>
      </w:r>
    </w:p>
    <w:p w:rsidR="00F36245" w:rsidRPr="00523193" w:rsidRDefault="00F36245" w:rsidP="00523193">
      <w:pPr>
        <w:ind w:firstLine="284"/>
        <w:jc w:val="both"/>
        <w:rPr>
          <w:rFonts w:ascii="Verdana" w:eastAsia="Calibri" w:hAnsi="Verdana"/>
          <w:noProof/>
          <w:sz w:val="20"/>
          <w:lang w:val="sr-Cyrl-CS"/>
        </w:rPr>
      </w:pPr>
      <w:r w:rsidRPr="00523193">
        <w:rPr>
          <w:rFonts w:ascii="Verdana" w:eastAsia="Calibri" w:hAnsi="Verdana"/>
          <w:noProof/>
          <w:sz w:val="20"/>
          <w:lang w:val="sr-Cyrl-CS"/>
        </w:rPr>
        <w:t>У структури трошкова из ове групе адвокатске услуге износе 8.496 хиљада динара, накнада према НБС и екстерном ревизору 10.663 хиљада динара и остали трошкови 3.832 хиљада динара.</w:t>
      </w:r>
    </w:p>
    <w:p w:rsidR="00F36245" w:rsidRPr="00C76233" w:rsidRDefault="00F36245" w:rsidP="00523193">
      <w:pPr>
        <w:ind w:firstLine="284"/>
        <w:jc w:val="both"/>
        <w:rPr>
          <w:noProof/>
          <w:lang w:val="sr-Cyrl-RS"/>
        </w:rPr>
      </w:pPr>
      <w:r w:rsidRPr="00523193">
        <w:rPr>
          <w:rFonts w:ascii="Verdana" w:eastAsia="Calibri" w:hAnsi="Verdana"/>
          <w:noProof/>
          <w:sz w:val="20"/>
          <w:lang w:val="sr-Cyrl-CS"/>
        </w:rPr>
        <w:t>Трошкови адвокатских услуга односе се на арбитражни поступак по штети на броду ЕОС,  Мидланд  и на спорове по којим смо тужени или умешач као што су Триглав осигурање, Комерцијална банка, АС осигурање, као и на радне спорове са</w:t>
      </w:r>
      <w:r w:rsidRPr="00C76233">
        <w:rPr>
          <w:noProof/>
          <w:lang w:val="sr-Cyrl-RS"/>
        </w:rPr>
        <w:t xml:space="preserve"> </w:t>
      </w:r>
      <w:r w:rsidRPr="00523193">
        <w:rPr>
          <w:rFonts w:ascii="Verdana" w:eastAsia="Calibri" w:hAnsi="Verdana"/>
          <w:noProof/>
          <w:sz w:val="20"/>
          <w:lang w:val="sr-Cyrl-CS"/>
        </w:rPr>
        <w:t>Браниславом Савићем, Филипом Пејовићем и Јеленом Стефановић.</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550</w:t>
      </w:r>
      <w:r w:rsidRPr="00B93B93">
        <w:rPr>
          <w:rFonts w:ascii="Cambria" w:hAnsi="Cambria"/>
          <w:b/>
          <w:bCs/>
          <w:i/>
          <w:iCs/>
          <w:noProof/>
          <w:color w:val="4F81BD"/>
          <w:lang w:val="sr-Cyrl-RS"/>
        </w:rPr>
        <w:tab/>
        <w:t>Трошкови зарада - бруто</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Укупни трошкови зарада (бруто) износе 66.131 хиљаду динара и већи су од планираних за 14,02%, а мањи од остварења у истом периоду претходне године за 7,89%.</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Друштво је спровело усклађивање Колективни уговор са Законом о раду и истовремено утврдило следеће мере за смањење зарада: смањена је  цена рада, право на увећање зараде по основу  минулог рада смањено је са 0,7% на 0,4%, права на накнаду зараде за време одсуствовања са рада због привремене сперечности за рад до 30 дана смањена су на 65% уместо ранијих 85% од остварене просечне зараде претходних 12 месеци и смањена су права на нето накнаду трошкова  на име исхране у току рада на 200 РСД по радном дану уместо 20% од остварене просечне зараде у Републици Србији.</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Како су мере за смањење зарада ступиле на снагу у марту 2015. године у првом кварталу није забележено значајно одступање у зарадама у односу на претходну годину.</w:t>
      </w:r>
    </w:p>
    <w:p w:rsidR="00F36245"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У другом и трећем кварталу забележен је раст боловања, и коришћење годишњих одмора за 2014. годину и 2015. годину, што је условило повећање трошкова, јер се накнаде обарчунавају на основицу која чини просек у птретходних 12 месеци.</w:t>
      </w:r>
    </w:p>
    <w:p w:rsidR="005F78E3" w:rsidRPr="00523193" w:rsidRDefault="005F78E3" w:rsidP="00F36245">
      <w:pPr>
        <w:pStyle w:val="NoSpacing"/>
        <w:spacing w:before="120" w:after="120" w:line="276" w:lineRule="auto"/>
        <w:ind w:firstLine="284"/>
        <w:jc w:val="both"/>
        <w:rPr>
          <w:rFonts w:ascii="Verdana" w:eastAsia="Calibri" w:hAnsi="Verdana"/>
          <w:noProof/>
          <w:sz w:val="20"/>
          <w:lang w:val="sr-Cyrl-CS" w:eastAsia="en-US"/>
        </w:rPr>
      </w:pP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551</w:t>
      </w:r>
      <w:r w:rsidRPr="00B93B93">
        <w:rPr>
          <w:rFonts w:ascii="Cambria" w:hAnsi="Cambria"/>
          <w:b/>
          <w:bCs/>
          <w:i/>
          <w:iCs/>
          <w:noProof/>
          <w:color w:val="4F81BD"/>
          <w:lang w:val="sr-Cyrl-RS"/>
        </w:rPr>
        <w:tab/>
      </w:r>
      <w:r w:rsidRPr="00836B2C">
        <w:rPr>
          <w:rFonts w:ascii="Cambria" w:hAnsi="Cambria"/>
          <w:b/>
          <w:bCs/>
          <w:i/>
          <w:iCs/>
          <w:noProof/>
          <w:color w:val="4F81BD"/>
          <w:lang w:val="sr-Cyrl-RS"/>
        </w:rPr>
        <w:t>Доприноси на терет послодавца - зараде и надокнаде</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Трошкови доприноса из зараде и накнаде зарада на терет послодавца у 2015. години износе 11.517  хиљада динара и већи су од планираних трошкова за 6,05% а од остварења у истом периоду претходне године мањи су за 6,02%</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552</w:t>
      </w:r>
      <w:r w:rsidRPr="00B93B93">
        <w:rPr>
          <w:rFonts w:ascii="Cambria" w:hAnsi="Cambria"/>
          <w:b/>
          <w:bCs/>
          <w:i/>
          <w:iCs/>
          <w:noProof/>
          <w:color w:val="4F81BD"/>
          <w:lang w:val="sr-Cyrl-RS"/>
        </w:rPr>
        <w:tab/>
        <w:t>Трошкови накнада по уговору о делу</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Трошкови настали по основу трошкова накнада по уговору о делу односе се пре свега на накнаде актуару, а у 2015. години износе 2.972 хиљада динара. У односу на план мањи су за 51,28%, а у односу на исти период претходне године за 35,63%</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554</w:t>
      </w:r>
      <w:r w:rsidRPr="00B93B93">
        <w:rPr>
          <w:rFonts w:ascii="Cambria" w:hAnsi="Cambria"/>
          <w:b/>
          <w:bCs/>
          <w:i/>
          <w:iCs/>
          <w:noProof/>
          <w:color w:val="4F81BD"/>
          <w:lang w:val="sr-Cyrl-RS"/>
        </w:rPr>
        <w:tab/>
        <w:t>Трошак накнаде по уговору о привременим и повременим пословима</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Трошак накнаде по уговору о привременим и повременим пословима односе се на ангажовање везано за ангажовање кафе куварице у првом кварталу и износе 269 хиљада динара.</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w:t>
      </w:r>
      <w:r>
        <w:rPr>
          <w:rFonts w:ascii="Cambria" w:hAnsi="Cambria"/>
          <w:b/>
          <w:bCs/>
          <w:i/>
          <w:iCs/>
          <w:noProof/>
          <w:color w:val="4F81BD"/>
          <w:lang w:val="sr-Cyrl-RS"/>
        </w:rPr>
        <w:t>5</w:t>
      </w:r>
      <w:r w:rsidRPr="00B93B93">
        <w:rPr>
          <w:rFonts w:ascii="Cambria" w:hAnsi="Cambria"/>
          <w:b/>
          <w:bCs/>
          <w:i/>
          <w:iCs/>
          <w:noProof/>
          <w:color w:val="4F81BD"/>
          <w:lang w:val="sr-Cyrl-RS"/>
        </w:rPr>
        <w:tab/>
        <w:t xml:space="preserve">Трошак накнаде по </w:t>
      </w:r>
      <w:r>
        <w:rPr>
          <w:rFonts w:ascii="Cambria" w:hAnsi="Cambria"/>
          <w:b/>
          <w:bCs/>
          <w:i/>
          <w:iCs/>
          <w:noProof/>
          <w:color w:val="4F81BD"/>
          <w:lang w:val="sr-Cyrl-RS"/>
        </w:rPr>
        <w:t xml:space="preserve">осталим </w:t>
      </w:r>
      <w:r w:rsidRPr="00B93B93">
        <w:rPr>
          <w:rFonts w:ascii="Cambria" w:hAnsi="Cambria"/>
          <w:b/>
          <w:bCs/>
          <w:i/>
          <w:iCs/>
          <w:noProof/>
          <w:color w:val="4F81BD"/>
          <w:lang w:val="sr-Cyrl-RS"/>
        </w:rPr>
        <w:t>уговор</w:t>
      </w:r>
      <w:r>
        <w:rPr>
          <w:rFonts w:ascii="Cambria" w:hAnsi="Cambria"/>
          <w:b/>
          <w:bCs/>
          <w:i/>
          <w:iCs/>
          <w:noProof/>
          <w:color w:val="4F81BD"/>
          <w:lang w:val="sr-Cyrl-RS"/>
        </w:rPr>
        <w:t>има</w:t>
      </w:r>
      <w:r w:rsidRPr="00B93B93">
        <w:rPr>
          <w:rFonts w:ascii="Cambria" w:hAnsi="Cambria"/>
          <w:b/>
          <w:bCs/>
          <w:i/>
          <w:iCs/>
          <w:noProof/>
          <w:color w:val="4F81BD"/>
          <w:lang w:val="sr-Cyrl-RS"/>
        </w:rPr>
        <w:t xml:space="preserve"> </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Трошак накнаде по осталим уговорима износе 5.880 хиљада динара и односе се на накнаде арбитрима у арбитражном поступку по штети на броду ЕОС.</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556</w:t>
      </w:r>
      <w:r w:rsidRPr="00B93B93">
        <w:rPr>
          <w:rFonts w:ascii="Cambria" w:hAnsi="Cambria"/>
          <w:b/>
          <w:bCs/>
          <w:i/>
          <w:iCs/>
          <w:noProof/>
          <w:color w:val="4F81BD"/>
          <w:lang w:val="sr-Cyrl-RS"/>
        </w:rPr>
        <w:tab/>
        <w:t>Трошкови накнада члановима Надзорног одбора и Комисије за ревизију</w:t>
      </w:r>
    </w:p>
    <w:p w:rsidR="00F36245" w:rsidRPr="00523193" w:rsidRDefault="00F36245" w:rsidP="00F36245">
      <w:pPr>
        <w:pStyle w:val="NoSpacing"/>
        <w:spacing w:before="120" w:after="120" w:line="276" w:lineRule="auto"/>
        <w:ind w:firstLine="284"/>
        <w:jc w:val="both"/>
        <w:rPr>
          <w:rFonts w:ascii="Verdana" w:eastAsia="Calibri" w:hAnsi="Verdana"/>
          <w:noProof/>
          <w:sz w:val="20"/>
          <w:lang w:val="sr-Cyrl-CS" w:eastAsia="en-US"/>
        </w:rPr>
      </w:pPr>
      <w:r w:rsidRPr="00523193">
        <w:rPr>
          <w:rFonts w:ascii="Verdana" w:eastAsia="Calibri" w:hAnsi="Verdana"/>
          <w:noProof/>
          <w:sz w:val="20"/>
          <w:lang w:val="sr-Cyrl-CS" w:eastAsia="en-US"/>
        </w:rPr>
        <w:t>Трошкови у 2015. години настали по основу накнада чланова Надзорног одбора и Комисије за ревизију износе 5.324 хиљада динара једнаки су планираним,  а од остварења претходне године су мањи за 16,09%.</w:t>
      </w:r>
    </w:p>
    <w:p w:rsidR="00F36245" w:rsidRPr="00B93B93" w:rsidRDefault="00F36245" w:rsidP="00F36245">
      <w:pPr>
        <w:spacing w:before="240" w:after="240" w:line="20" w:lineRule="atLeast"/>
        <w:jc w:val="both"/>
        <w:rPr>
          <w:rFonts w:ascii="Cambria" w:hAnsi="Cambria"/>
          <w:b/>
          <w:bCs/>
          <w:i/>
          <w:iCs/>
          <w:noProof/>
          <w:color w:val="4F81BD"/>
          <w:lang w:val="sr-Cyrl-RS"/>
        </w:rPr>
      </w:pPr>
      <w:r w:rsidRPr="00B93B93">
        <w:rPr>
          <w:rFonts w:ascii="Cambria" w:hAnsi="Cambria"/>
          <w:b/>
          <w:bCs/>
          <w:i/>
          <w:iCs/>
          <w:noProof/>
          <w:color w:val="4F81BD"/>
          <w:lang w:val="sr-Cyrl-RS"/>
        </w:rPr>
        <w:t>55</w:t>
      </w:r>
      <w:r>
        <w:rPr>
          <w:rFonts w:ascii="Cambria" w:hAnsi="Cambria"/>
          <w:b/>
          <w:bCs/>
          <w:i/>
          <w:iCs/>
          <w:noProof/>
          <w:color w:val="4F81BD"/>
          <w:lang w:val="sr-Cyrl-RS"/>
        </w:rPr>
        <w:t>9</w:t>
      </w:r>
      <w:r w:rsidRPr="00B93B93">
        <w:rPr>
          <w:rFonts w:ascii="Cambria" w:hAnsi="Cambria"/>
          <w:b/>
          <w:bCs/>
          <w:i/>
          <w:iCs/>
          <w:noProof/>
          <w:color w:val="4F81BD"/>
          <w:lang w:val="sr-Cyrl-RS"/>
        </w:rPr>
        <w:tab/>
        <w:t>Остали лични расходи</w:t>
      </w:r>
    </w:p>
    <w:p w:rsidR="00F36245" w:rsidRDefault="00F36245" w:rsidP="00F36245">
      <w:pPr>
        <w:spacing w:line="20" w:lineRule="atLeast"/>
        <w:ind w:firstLine="284"/>
        <w:jc w:val="both"/>
        <w:rPr>
          <w:rFonts w:ascii="Calibri" w:eastAsia="Calibri" w:hAnsi="Calibri"/>
          <w:noProof/>
          <w:lang w:val="sr-Cyrl-RS"/>
        </w:rPr>
      </w:pPr>
      <w:r w:rsidRPr="00B93B93">
        <w:rPr>
          <w:rFonts w:ascii="Calibri" w:eastAsia="Calibri" w:hAnsi="Calibri"/>
          <w:noProof/>
          <w:lang w:val="sr-Cyrl-RS"/>
        </w:rPr>
        <w:t>Остали лични расходи у 2015. годин</w:t>
      </w:r>
      <w:r>
        <w:rPr>
          <w:rFonts w:ascii="Calibri" w:eastAsia="Calibri" w:hAnsi="Calibri"/>
          <w:noProof/>
          <w:lang w:val="sr-Cyrl-RS"/>
        </w:rPr>
        <w:t>и</w:t>
      </w:r>
      <w:r w:rsidRPr="00B93B93">
        <w:rPr>
          <w:rFonts w:ascii="Calibri" w:eastAsia="Calibri" w:hAnsi="Calibri"/>
          <w:noProof/>
          <w:lang w:val="sr-Cyrl-RS"/>
        </w:rPr>
        <w:t xml:space="preserve"> износе </w:t>
      </w:r>
      <w:r>
        <w:rPr>
          <w:rFonts w:ascii="Calibri" w:eastAsia="Calibri" w:hAnsi="Calibri"/>
          <w:noProof/>
          <w:lang w:val="sr-Cyrl-RS"/>
        </w:rPr>
        <w:t>7.988</w:t>
      </w:r>
      <w:r w:rsidRPr="00B93B93">
        <w:rPr>
          <w:rFonts w:ascii="Calibri" w:eastAsia="Calibri" w:hAnsi="Calibri"/>
          <w:noProof/>
          <w:lang w:val="sr-Cyrl-RS"/>
        </w:rPr>
        <w:t xml:space="preserve"> хиљада динара и </w:t>
      </w:r>
      <w:r>
        <w:rPr>
          <w:rFonts w:ascii="Calibri" w:eastAsia="Calibri" w:hAnsi="Calibri"/>
          <w:noProof/>
          <w:lang w:val="sr-Cyrl-RS"/>
        </w:rPr>
        <w:t>већи</w:t>
      </w:r>
      <w:r w:rsidRPr="00B93B93">
        <w:rPr>
          <w:rFonts w:ascii="Calibri" w:eastAsia="Calibri" w:hAnsi="Calibri"/>
          <w:noProof/>
          <w:lang w:val="sr-Cyrl-RS"/>
        </w:rPr>
        <w:t xml:space="preserve"> су од планираних за </w:t>
      </w:r>
      <w:r>
        <w:rPr>
          <w:rFonts w:ascii="Calibri" w:eastAsia="Calibri" w:hAnsi="Calibri"/>
          <w:noProof/>
          <w:lang w:val="sr-Cyrl-RS"/>
        </w:rPr>
        <w:t>31,36</w:t>
      </w:r>
      <w:r w:rsidRPr="00B93B93">
        <w:rPr>
          <w:rFonts w:ascii="Calibri" w:eastAsia="Calibri" w:hAnsi="Calibri"/>
          <w:noProof/>
          <w:lang w:val="sr-Cyrl-RS"/>
        </w:rPr>
        <w:t xml:space="preserve">%, а у односу на исти период претходне године већи су за </w:t>
      </w:r>
      <w:r>
        <w:rPr>
          <w:rFonts w:ascii="Calibri" w:eastAsia="Calibri" w:hAnsi="Calibri"/>
          <w:noProof/>
          <w:lang w:val="sr-Cyrl-RS"/>
        </w:rPr>
        <w:t>62,32%. На раст ових трошкова највећим делом су утицала  службена путовања поводом решавања штете Мидланд и штете на броду ЕОС.</w:t>
      </w:r>
    </w:p>
    <w:p w:rsidR="00523193" w:rsidRPr="00BF3CDE" w:rsidRDefault="00523193" w:rsidP="00860C32">
      <w:pPr>
        <w:pStyle w:val="Heading1"/>
        <w:numPr>
          <w:ilvl w:val="2"/>
          <w:numId w:val="6"/>
        </w:numPr>
      </w:pPr>
      <w:bookmarkStart w:id="61" w:name="_Toc445975045"/>
      <w:r w:rsidRPr="00BF3CDE">
        <w:t>Трошкови спровођења реосигурарња ТСР</w:t>
      </w:r>
      <w:bookmarkEnd w:id="61"/>
    </w:p>
    <w:p w:rsidR="00523193" w:rsidRDefault="00523193" w:rsidP="00523193">
      <w:pPr>
        <w:spacing w:before="120" w:after="120"/>
        <w:ind w:firstLine="284"/>
        <w:jc w:val="both"/>
        <w:rPr>
          <w:rFonts w:ascii="Verdana" w:eastAsia="Calibri" w:hAnsi="Verdana"/>
          <w:noProof/>
          <w:sz w:val="20"/>
          <w:lang w:val="sr-Cyrl-CS"/>
        </w:rPr>
      </w:pPr>
      <w:r w:rsidRPr="00F36245">
        <w:rPr>
          <w:rFonts w:ascii="Verdana" w:eastAsia="Calibri" w:hAnsi="Verdana"/>
          <w:noProof/>
          <w:sz w:val="20"/>
          <w:lang w:val="sr-Cyrl-CS"/>
        </w:rPr>
        <w:t xml:space="preserve">Остварени трошкови спровођења реосигурања који се покривају из режијског додатка износе 100.625 хиљада динара и мањи су односу на претходну годину за 19,93%, а у односу на план за 14,86%. Највећи утицај на  смањење трошкова је имао резултат између прихода и расхода по основу провизије реосигурања. </w:t>
      </w:r>
    </w:p>
    <w:p w:rsidR="00523193" w:rsidRPr="00C76233" w:rsidRDefault="00523193" w:rsidP="00F36245">
      <w:pPr>
        <w:spacing w:line="20" w:lineRule="atLeast"/>
        <w:ind w:firstLine="284"/>
        <w:jc w:val="both"/>
        <w:rPr>
          <w:rStyle w:val="IntenseEmphasis"/>
          <w:rFonts w:ascii="Calibri" w:eastAsia="Calibri" w:hAnsi="Calibri"/>
          <w:b w:val="0"/>
          <w:bCs w:val="0"/>
          <w:i w:val="0"/>
          <w:iCs w:val="0"/>
          <w:noProof/>
          <w:lang w:val="sr-Cyrl-RS"/>
        </w:rPr>
      </w:pPr>
    </w:p>
    <w:p w:rsidR="00840EF6" w:rsidRPr="00F36245" w:rsidRDefault="00840EF6" w:rsidP="00860C32">
      <w:pPr>
        <w:pStyle w:val="Heading1"/>
        <w:numPr>
          <w:ilvl w:val="2"/>
          <w:numId w:val="6"/>
        </w:numPr>
      </w:pPr>
      <w:bookmarkStart w:id="62" w:name="_Toc445975046"/>
      <w:r w:rsidRPr="00F36245">
        <w:t>Трошкови  извиђаја ликвидације и процене штета</w:t>
      </w:r>
      <w:bookmarkEnd w:id="62"/>
    </w:p>
    <w:p w:rsidR="00840EF6" w:rsidRPr="00523193" w:rsidRDefault="00840EF6" w:rsidP="00523193">
      <w:pPr>
        <w:pStyle w:val="NoSpacing"/>
        <w:spacing w:before="120" w:after="120" w:line="276" w:lineRule="auto"/>
        <w:ind w:firstLine="284"/>
        <w:jc w:val="both"/>
        <w:rPr>
          <w:rFonts w:cs="Tahoma"/>
          <w:noProof/>
          <w:sz w:val="20"/>
          <w:lang w:val="sr-Cyrl-CS"/>
        </w:rPr>
      </w:pPr>
      <w:r w:rsidRPr="00523193">
        <w:rPr>
          <w:rFonts w:cs="Tahoma"/>
          <w:noProof/>
          <w:sz w:val="20"/>
          <w:lang w:val="sr-Cyrl-CS"/>
        </w:rPr>
        <w:t xml:space="preserve">     Трошкови  извиђаја ликвидације и процене штета остварени су у </w:t>
      </w:r>
      <w:r w:rsidR="00BD6C71" w:rsidRPr="00523193">
        <w:rPr>
          <w:rFonts w:cs="Tahoma"/>
          <w:noProof/>
          <w:sz w:val="20"/>
          <w:lang w:val="sr-Cyrl-CS"/>
        </w:rPr>
        <w:t>и</w:t>
      </w:r>
      <w:r w:rsidRPr="00523193">
        <w:rPr>
          <w:rFonts w:cs="Tahoma"/>
          <w:noProof/>
          <w:sz w:val="20"/>
          <w:lang w:val="sr-Cyrl-CS"/>
        </w:rPr>
        <w:t xml:space="preserve">зносу </w:t>
      </w:r>
      <w:r w:rsidR="00523193" w:rsidRPr="00523193">
        <w:rPr>
          <w:rFonts w:cs="Tahoma"/>
          <w:noProof/>
          <w:sz w:val="20"/>
          <w:lang w:val="sr-Cyrl-CS"/>
        </w:rPr>
        <w:t>21.253</w:t>
      </w:r>
      <w:r w:rsidRPr="00523193">
        <w:rPr>
          <w:rFonts w:cs="Tahoma"/>
          <w:noProof/>
          <w:sz w:val="20"/>
          <w:lang w:val="sr-Cyrl-CS"/>
        </w:rPr>
        <w:t xml:space="preserve"> хиљада динара и већи су од остварења у претходној години</w:t>
      </w:r>
      <w:r w:rsidR="00752387" w:rsidRPr="00523193">
        <w:rPr>
          <w:rFonts w:cs="Tahoma"/>
          <w:noProof/>
          <w:sz w:val="20"/>
          <w:lang w:val="sr-Cyrl-CS"/>
        </w:rPr>
        <w:t xml:space="preserve"> за </w:t>
      </w:r>
      <w:r w:rsidR="00523193" w:rsidRPr="00523193">
        <w:rPr>
          <w:rFonts w:cs="Tahoma"/>
          <w:noProof/>
          <w:sz w:val="20"/>
          <w:lang w:val="sr-Cyrl-CS"/>
        </w:rPr>
        <w:t>16,29</w:t>
      </w:r>
      <w:r w:rsidR="00752387" w:rsidRPr="00523193">
        <w:rPr>
          <w:rFonts w:cs="Tahoma"/>
          <w:noProof/>
          <w:sz w:val="20"/>
          <w:lang w:val="sr-Cyrl-CS"/>
        </w:rPr>
        <w:t xml:space="preserve"> %, а у односу на планиране за </w:t>
      </w:r>
      <w:r w:rsidR="00523193" w:rsidRPr="00523193">
        <w:rPr>
          <w:rFonts w:cs="Tahoma"/>
          <w:noProof/>
          <w:sz w:val="20"/>
          <w:lang w:val="sr-Cyrl-CS"/>
        </w:rPr>
        <w:t>13,26</w:t>
      </w:r>
      <w:r w:rsidR="00752387" w:rsidRPr="00523193">
        <w:rPr>
          <w:rFonts w:cs="Tahoma"/>
          <w:noProof/>
          <w:sz w:val="20"/>
          <w:lang w:val="sr-Cyrl-CS"/>
        </w:rPr>
        <w:t xml:space="preserve">%. </w:t>
      </w:r>
    </w:p>
    <w:p w:rsidR="00792B25" w:rsidRPr="00523193" w:rsidRDefault="00752387" w:rsidP="00D95BED">
      <w:pPr>
        <w:spacing w:after="240"/>
        <w:jc w:val="both"/>
        <w:rPr>
          <w:rFonts w:eastAsiaTheme="minorEastAsia" w:cs="Tahoma"/>
          <w:noProof/>
          <w:sz w:val="20"/>
          <w:lang w:val="sr-Cyrl-CS" w:eastAsia="ja-JP"/>
        </w:rPr>
      </w:pPr>
      <w:r w:rsidRPr="00523193">
        <w:rPr>
          <w:rFonts w:eastAsiaTheme="minorEastAsia" w:cs="Tahoma"/>
          <w:noProof/>
          <w:sz w:val="20"/>
          <w:lang w:val="sr-Cyrl-CS" w:eastAsia="ja-JP"/>
        </w:rPr>
        <w:t xml:space="preserve">     На повећање ових трошкова су највећим делом утицали адвокатски трошкови, трошкови арбитра, </w:t>
      </w:r>
      <w:r w:rsidR="00792B25" w:rsidRPr="00523193">
        <w:rPr>
          <w:rFonts w:eastAsiaTheme="minorEastAsia" w:cs="Tahoma"/>
          <w:noProof/>
          <w:sz w:val="20"/>
          <w:lang w:val="sr-Cyrl-CS" w:eastAsia="ja-JP"/>
        </w:rPr>
        <w:t xml:space="preserve">судски трошкови </w:t>
      </w:r>
      <w:r w:rsidRPr="00523193">
        <w:rPr>
          <w:rFonts w:eastAsiaTheme="minorEastAsia" w:cs="Tahoma"/>
          <w:noProof/>
          <w:sz w:val="20"/>
          <w:lang w:val="sr-Cyrl-CS" w:eastAsia="ja-JP"/>
        </w:rPr>
        <w:t>и трошкови консултанстск</w:t>
      </w:r>
      <w:r w:rsidR="00792B25" w:rsidRPr="00523193">
        <w:rPr>
          <w:rFonts w:eastAsiaTheme="minorEastAsia" w:cs="Tahoma"/>
          <w:noProof/>
          <w:sz w:val="20"/>
          <w:lang w:val="sr-Cyrl-CS" w:eastAsia="ja-JP"/>
        </w:rPr>
        <w:t>их</w:t>
      </w:r>
      <w:r w:rsidRPr="00523193">
        <w:rPr>
          <w:rFonts w:eastAsiaTheme="minorEastAsia" w:cs="Tahoma"/>
          <w:noProof/>
          <w:sz w:val="20"/>
          <w:lang w:val="sr-Cyrl-CS" w:eastAsia="ja-JP"/>
        </w:rPr>
        <w:t xml:space="preserve"> услуга, који су везани за спорове које Друштво води</w:t>
      </w:r>
      <w:r w:rsidR="00792B25" w:rsidRPr="00523193">
        <w:rPr>
          <w:rFonts w:eastAsiaTheme="minorEastAsia" w:cs="Tahoma"/>
          <w:noProof/>
          <w:sz w:val="20"/>
          <w:lang w:val="sr-Cyrl-CS" w:eastAsia="ja-JP"/>
        </w:rPr>
        <w:t xml:space="preserve">. </w:t>
      </w:r>
    </w:p>
    <w:p w:rsidR="00752387" w:rsidRPr="00523193" w:rsidRDefault="00792B25" w:rsidP="00D95BED">
      <w:pPr>
        <w:spacing w:after="240"/>
        <w:jc w:val="both"/>
        <w:rPr>
          <w:rFonts w:eastAsiaTheme="minorEastAsia" w:cs="Tahoma"/>
          <w:noProof/>
          <w:sz w:val="20"/>
          <w:lang w:val="sr-Cyrl-CS" w:eastAsia="ja-JP"/>
        </w:rPr>
      </w:pPr>
      <w:r w:rsidRPr="00523193">
        <w:rPr>
          <w:rFonts w:eastAsiaTheme="minorEastAsia" w:cs="Tahoma"/>
          <w:noProof/>
          <w:sz w:val="20"/>
          <w:lang w:val="sr-Cyrl-CS" w:eastAsia="ja-JP"/>
        </w:rPr>
        <w:t xml:space="preserve">    Друштво учествује у два судска  са Триглавом по штети „Колзец“ и са Таковом по штети „Левоб“ док се </w:t>
      </w:r>
      <w:r w:rsidR="00BD6C71" w:rsidRPr="00523193">
        <w:rPr>
          <w:rFonts w:eastAsiaTheme="minorEastAsia" w:cs="Tahoma"/>
          <w:noProof/>
          <w:sz w:val="20"/>
          <w:lang w:val="sr-Cyrl-CS" w:eastAsia="ja-JP"/>
        </w:rPr>
        <w:t>са</w:t>
      </w:r>
      <w:r w:rsidRPr="00523193">
        <w:rPr>
          <w:rFonts w:eastAsiaTheme="minorEastAsia" w:cs="Tahoma"/>
          <w:noProof/>
          <w:sz w:val="20"/>
          <w:lang w:val="sr-Cyrl-CS" w:eastAsia="ja-JP"/>
        </w:rPr>
        <w:t xml:space="preserve"> </w:t>
      </w:r>
      <w:r w:rsidR="00BD6C71" w:rsidRPr="00523193">
        <w:rPr>
          <w:rFonts w:eastAsiaTheme="minorEastAsia" w:cs="Tahoma"/>
          <w:noProof/>
          <w:sz w:val="20"/>
          <w:lang w:val="sr-Cyrl-CS" w:eastAsia="ja-JP"/>
        </w:rPr>
        <w:t>водећимг реосигуравачем „</w:t>
      </w:r>
      <w:r w:rsidR="00BD6C71" w:rsidRPr="00523193">
        <w:rPr>
          <w:rFonts w:eastAsiaTheme="minorEastAsia" w:cs="Tahoma"/>
          <w:i/>
          <w:noProof/>
          <w:sz w:val="20"/>
          <w:lang w:val="sr-Cyrl-CS" w:eastAsia="ja-JP"/>
        </w:rPr>
        <w:t>Dutch Marine Insurance</w:t>
      </w:r>
      <w:r w:rsidR="00BD6C71" w:rsidRPr="00523193">
        <w:rPr>
          <w:rFonts w:eastAsiaTheme="minorEastAsia" w:cs="Tahoma"/>
          <w:noProof/>
          <w:sz w:val="20"/>
          <w:lang w:val="sr-Cyrl-CS" w:eastAsia="ja-JP"/>
        </w:rPr>
        <w:t xml:space="preserve">“ из Холандије води </w:t>
      </w:r>
      <w:r w:rsidRPr="00523193">
        <w:rPr>
          <w:rFonts w:eastAsiaTheme="minorEastAsia" w:cs="Tahoma"/>
          <w:noProof/>
          <w:sz w:val="20"/>
          <w:lang w:val="sr-Cyrl-CS" w:eastAsia="ja-JP"/>
        </w:rPr>
        <w:t>арбитажни поступак по штети на броду ЕОС</w:t>
      </w:r>
      <w:r w:rsidR="00523193">
        <w:rPr>
          <w:rFonts w:eastAsiaTheme="minorEastAsia" w:cs="Tahoma"/>
          <w:noProof/>
          <w:sz w:val="20"/>
          <w:lang w:val="sr-Cyrl-CS" w:eastAsia="ja-JP"/>
        </w:rPr>
        <w:t xml:space="preserve"> а у два спора је умешач </w:t>
      </w:r>
      <w:r w:rsidR="00752387" w:rsidRPr="00523193">
        <w:rPr>
          <w:rFonts w:eastAsiaTheme="minorEastAsia" w:cs="Tahoma"/>
          <w:noProof/>
          <w:sz w:val="20"/>
          <w:lang w:val="sr-Cyrl-CS" w:eastAsia="ja-JP"/>
        </w:rPr>
        <w:t xml:space="preserve"> </w:t>
      </w:r>
      <w:r w:rsidR="00523193">
        <w:rPr>
          <w:rFonts w:eastAsiaTheme="minorEastAsia" w:cs="Tahoma"/>
          <w:noProof/>
          <w:sz w:val="20"/>
          <w:lang w:val="sr-Cyrl-CS" w:eastAsia="ja-JP"/>
        </w:rPr>
        <w:t>(</w:t>
      </w:r>
      <w:r w:rsidR="00523193" w:rsidRPr="00523193">
        <w:rPr>
          <w:rFonts w:eastAsiaTheme="minorEastAsia" w:cs="Tahoma"/>
          <w:noProof/>
          <w:sz w:val="20"/>
          <w:lang w:val="sr-Cyrl-CS" w:eastAsia="ja-JP"/>
        </w:rPr>
        <w:t>Комерцијална банка, АС осигурање</w:t>
      </w:r>
      <w:r w:rsidR="00523193">
        <w:rPr>
          <w:rFonts w:eastAsiaTheme="minorEastAsia" w:cs="Tahoma"/>
          <w:noProof/>
          <w:sz w:val="20"/>
          <w:lang w:val="sr-Cyrl-CS" w:eastAsia="ja-JP"/>
        </w:rPr>
        <w:t>).</w:t>
      </w:r>
    </w:p>
    <w:p w:rsidR="00BD6C71" w:rsidRPr="00FF2BB5" w:rsidRDefault="00523193" w:rsidP="00860C32">
      <w:pPr>
        <w:pStyle w:val="Heading1"/>
        <w:numPr>
          <w:ilvl w:val="2"/>
          <w:numId w:val="6"/>
        </w:numPr>
      </w:pPr>
      <w:bookmarkStart w:id="63" w:name="_Toc445975047"/>
      <w:r w:rsidRPr="00FF2BB5">
        <w:t xml:space="preserve">Остали </w:t>
      </w:r>
      <w:r w:rsidR="00BD6C71" w:rsidRPr="00FF2BB5">
        <w:t xml:space="preserve">Трошкови  </w:t>
      </w:r>
      <w:r w:rsidRPr="00FF2BB5">
        <w:t>од инвестиционе активности</w:t>
      </w:r>
      <w:bookmarkEnd w:id="63"/>
    </w:p>
    <w:p w:rsidR="00BD6C71" w:rsidRPr="00BF3CDE" w:rsidRDefault="00BD6C71" w:rsidP="00D95BED">
      <w:pPr>
        <w:jc w:val="both"/>
        <w:rPr>
          <w:rFonts w:eastAsiaTheme="minorEastAsia" w:cs="Tahoma"/>
          <w:noProof/>
          <w:sz w:val="20"/>
          <w:lang w:val="sr-Cyrl-CS" w:eastAsia="ja-JP"/>
        </w:rPr>
      </w:pPr>
      <w:r w:rsidRPr="00FF2BB5">
        <w:rPr>
          <w:rFonts w:eastAsiaTheme="minorEastAsia" w:cs="Tahoma"/>
          <w:noProof/>
          <w:sz w:val="20"/>
          <w:lang w:val="sr-Cyrl-CS" w:eastAsia="ja-JP"/>
        </w:rPr>
        <w:t xml:space="preserve">     </w:t>
      </w:r>
      <w:r w:rsidR="00FF2BB5" w:rsidRPr="00FF2BB5">
        <w:rPr>
          <w:rFonts w:eastAsiaTheme="minorEastAsia" w:cs="Tahoma"/>
          <w:noProof/>
          <w:sz w:val="20"/>
          <w:lang w:val="sr-Cyrl-CS" w:eastAsia="ja-JP"/>
        </w:rPr>
        <w:t>Остали трошкови од инвестиционе активности</w:t>
      </w:r>
      <w:r w:rsidRPr="00FF2BB5">
        <w:rPr>
          <w:rFonts w:eastAsiaTheme="minorEastAsia" w:cs="Tahoma"/>
          <w:noProof/>
          <w:sz w:val="20"/>
          <w:lang w:val="sr-Cyrl-CS" w:eastAsia="ja-JP"/>
        </w:rPr>
        <w:t xml:space="preserve"> остварени у износу од </w:t>
      </w:r>
      <w:r w:rsidR="00FF2BB5" w:rsidRPr="00FF2BB5">
        <w:rPr>
          <w:rFonts w:eastAsiaTheme="minorEastAsia" w:cs="Tahoma"/>
          <w:noProof/>
          <w:sz w:val="20"/>
          <w:lang w:val="sr-Cyrl-CS" w:eastAsia="ja-JP"/>
        </w:rPr>
        <w:t>4.202</w:t>
      </w:r>
      <w:r w:rsidRPr="00FF2BB5">
        <w:rPr>
          <w:rFonts w:eastAsiaTheme="minorEastAsia" w:cs="Tahoma"/>
          <w:noProof/>
          <w:sz w:val="20"/>
          <w:lang w:val="sr-Cyrl-CS" w:eastAsia="ja-JP"/>
        </w:rPr>
        <w:t xml:space="preserve"> хиљаде динара и </w:t>
      </w:r>
      <w:r w:rsidR="00FF2BB5" w:rsidRPr="00FF2BB5">
        <w:rPr>
          <w:rFonts w:eastAsiaTheme="minorEastAsia" w:cs="Tahoma"/>
          <w:noProof/>
          <w:sz w:val="20"/>
          <w:lang w:val="sr-Cyrl-CS" w:eastAsia="ja-JP"/>
        </w:rPr>
        <w:t>већи</w:t>
      </w:r>
      <w:r w:rsidRPr="00FF2BB5">
        <w:rPr>
          <w:rFonts w:eastAsiaTheme="minorEastAsia" w:cs="Tahoma"/>
          <w:noProof/>
          <w:sz w:val="20"/>
          <w:lang w:val="sr-Cyrl-CS" w:eastAsia="ja-JP"/>
        </w:rPr>
        <w:t xml:space="preserve"> су од остваења у претходној години за </w:t>
      </w:r>
      <w:r w:rsidR="00FF2BB5" w:rsidRPr="00FF2BB5">
        <w:rPr>
          <w:rFonts w:eastAsiaTheme="minorEastAsia" w:cs="Tahoma"/>
          <w:noProof/>
          <w:sz w:val="20"/>
          <w:lang w:val="sr-Cyrl-CS" w:eastAsia="ja-JP"/>
        </w:rPr>
        <w:t>76,33</w:t>
      </w:r>
      <w:r w:rsidRPr="00FF2BB5">
        <w:rPr>
          <w:rFonts w:eastAsiaTheme="minorEastAsia" w:cs="Tahoma"/>
          <w:noProof/>
          <w:sz w:val="20"/>
          <w:lang w:val="sr-Cyrl-CS" w:eastAsia="ja-JP"/>
        </w:rPr>
        <w:t xml:space="preserve">%, </w:t>
      </w:r>
      <w:r w:rsidR="00FF2BB5" w:rsidRPr="00FF2BB5">
        <w:rPr>
          <w:rFonts w:eastAsiaTheme="minorEastAsia" w:cs="Tahoma"/>
          <w:noProof/>
          <w:sz w:val="20"/>
          <w:lang w:val="sr-Cyrl-CS" w:eastAsia="ja-JP"/>
        </w:rPr>
        <w:t xml:space="preserve"> највећим делом због повећаног обима транскција са државним хартијама од вредности</w:t>
      </w:r>
      <w:r w:rsidR="00FF2BB5">
        <w:rPr>
          <w:rFonts w:eastAsiaTheme="minorEastAsia" w:cs="Tahoma"/>
          <w:noProof/>
          <w:sz w:val="20"/>
          <w:lang w:val="sr-Cyrl-CS" w:eastAsia="ja-JP"/>
        </w:rPr>
        <w:t>.</w:t>
      </w:r>
    </w:p>
    <w:p w:rsidR="008C2B46" w:rsidRPr="00FF2BB5" w:rsidRDefault="008C2B46" w:rsidP="00860C32">
      <w:pPr>
        <w:pStyle w:val="Heading1"/>
        <w:numPr>
          <w:ilvl w:val="0"/>
          <w:numId w:val="28"/>
        </w:numPr>
      </w:pPr>
      <w:bookmarkStart w:id="64" w:name="_Toc445975048"/>
      <w:r w:rsidRPr="00FF2BB5">
        <w:t>ТРАНСАКЦИЈЕ СА ПОВЕЗАНИМ ПРАВНИМ ЛИЦИМА</w:t>
      </w:r>
      <w:bookmarkEnd w:id="58"/>
      <w:bookmarkEnd w:id="59"/>
      <w:bookmarkEnd w:id="64"/>
    </w:p>
    <w:p w:rsidR="006A2CC9" w:rsidRPr="00373385" w:rsidRDefault="006A2CC9" w:rsidP="001F1D74">
      <w:pPr>
        <w:pStyle w:val="NoSpacing"/>
        <w:ind w:firstLine="284"/>
        <w:jc w:val="both"/>
        <w:rPr>
          <w:rFonts w:cs="Tahoma"/>
          <w:noProof/>
          <w:sz w:val="10"/>
          <w:szCs w:val="10"/>
          <w:lang w:val="sr-Cyrl-CS"/>
        </w:rPr>
      </w:pPr>
    </w:p>
    <w:p w:rsidR="001F1D74" w:rsidRPr="00FF2BB5" w:rsidRDefault="001F1D74" w:rsidP="00D95BED">
      <w:pPr>
        <w:pStyle w:val="NoSpacing"/>
        <w:spacing w:before="200" w:after="200" w:line="276" w:lineRule="auto"/>
        <w:ind w:firstLine="284"/>
        <w:jc w:val="both"/>
        <w:rPr>
          <w:rFonts w:cs="Tahoma"/>
          <w:noProof/>
          <w:sz w:val="20"/>
          <w:lang w:val="sr-Cyrl-CS"/>
        </w:rPr>
      </w:pPr>
      <w:r w:rsidRPr="00FF2BB5">
        <w:rPr>
          <w:rFonts w:cs="Tahoma"/>
          <w:noProof/>
          <w:sz w:val="20"/>
          <w:lang w:val="sr-Cyrl-CS"/>
        </w:rPr>
        <w:t>Правна лица се сматрају повезаним лицима уколико једно лице има контролу, заједничку контролу или значајан утицај на доношење финансијских и пословних одлука другог правног лица. Повезана лица су и она која су под заједничком контролом истог матичног предузећа.</w:t>
      </w:r>
    </w:p>
    <w:p w:rsidR="001F1D74" w:rsidRPr="00FF2BB5" w:rsidRDefault="001F1D74" w:rsidP="00D95BED">
      <w:pPr>
        <w:pStyle w:val="NoSpacing"/>
        <w:spacing w:before="200" w:after="200" w:line="276" w:lineRule="auto"/>
        <w:ind w:firstLine="284"/>
        <w:jc w:val="both"/>
        <w:rPr>
          <w:rFonts w:cs="Tahoma"/>
          <w:noProof/>
          <w:sz w:val="20"/>
          <w:lang w:val="sr-Cyrl-CS"/>
        </w:rPr>
      </w:pPr>
      <w:r w:rsidRPr="00FF2BB5">
        <w:rPr>
          <w:rFonts w:cs="Tahoma"/>
          <w:noProof/>
          <w:sz w:val="20"/>
          <w:lang w:val="sr-Cyrl-CS"/>
        </w:rPr>
        <w:t>У уобичајеним пословним активностима, Друштво обавља различите трансакције са повезаним правним лицима, првенствено по основу уговора који се тичу пружања међусобних услуга. Ове трансакције обављају се под комерцијалним и тржишним условима.</w:t>
      </w:r>
    </w:p>
    <w:p w:rsidR="00D25D11" w:rsidRDefault="001F1D74" w:rsidP="00D95BED">
      <w:pPr>
        <w:pStyle w:val="NoSpacing"/>
        <w:spacing w:before="200" w:after="200" w:line="276" w:lineRule="auto"/>
        <w:ind w:firstLine="284"/>
        <w:jc w:val="both"/>
        <w:rPr>
          <w:rFonts w:cs="Tahoma"/>
          <w:noProof/>
          <w:sz w:val="20"/>
          <w:lang w:val="sr-Cyrl-CS"/>
        </w:rPr>
      </w:pPr>
      <w:r w:rsidRPr="00FF2BB5">
        <w:rPr>
          <w:rFonts w:cs="Tahoma"/>
          <w:noProof/>
          <w:sz w:val="20"/>
          <w:lang w:val="sr-Cyrl-CS"/>
        </w:rPr>
        <w:t xml:space="preserve">Трансакције са повезаним правним лицима </w:t>
      </w:r>
      <w:r w:rsidR="00361B84" w:rsidRPr="00FF2BB5">
        <w:rPr>
          <w:rFonts w:cs="Tahoma"/>
          <w:noProof/>
          <w:sz w:val="20"/>
          <w:lang w:val="sr-Cyrl-CS"/>
        </w:rPr>
        <w:t xml:space="preserve">Дунав групе </w:t>
      </w:r>
      <w:r w:rsidRPr="00FF2BB5">
        <w:rPr>
          <w:rFonts w:cs="Tahoma"/>
          <w:noProof/>
          <w:sz w:val="20"/>
          <w:lang w:val="sr-Cyrl-CS"/>
        </w:rPr>
        <w:t>из којих произлазе потраживања и обавезе односно приходи и расходи</w:t>
      </w:r>
      <w:r w:rsidR="0090445F" w:rsidRPr="00FF2BB5">
        <w:rPr>
          <w:rFonts w:cs="Tahoma"/>
          <w:noProof/>
          <w:sz w:val="20"/>
          <w:lang w:val="sr-Cyrl-CS"/>
        </w:rPr>
        <w:t xml:space="preserve"> детаљно су обелодањени у Напоменама уз финансијске извештаје, а</w:t>
      </w:r>
      <w:r w:rsidRPr="00FF2BB5">
        <w:rPr>
          <w:rFonts w:cs="Tahoma"/>
          <w:noProof/>
          <w:sz w:val="20"/>
          <w:lang w:val="sr-Cyrl-CS"/>
        </w:rPr>
        <w:t xml:space="preserve"> </w:t>
      </w:r>
      <w:r w:rsidR="0090445F" w:rsidRPr="00FF2BB5">
        <w:rPr>
          <w:rFonts w:cs="Tahoma"/>
          <w:noProof/>
          <w:sz w:val="20"/>
          <w:lang w:val="sr-Cyrl-CS"/>
        </w:rPr>
        <w:t xml:space="preserve">синтетички су </w:t>
      </w:r>
      <w:r w:rsidRPr="00FF2BB5">
        <w:rPr>
          <w:rFonts w:cs="Tahoma"/>
          <w:noProof/>
          <w:sz w:val="20"/>
          <w:lang w:val="sr-Cyrl-CS"/>
        </w:rPr>
        <w:t>приказане у следећој табели:</w:t>
      </w:r>
    </w:p>
    <w:tbl>
      <w:tblPr>
        <w:tblW w:w="9094" w:type="dxa"/>
        <w:tblInd w:w="108" w:type="dxa"/>
        <w:tblLook w:val="04A0" w:firstRow="1" w:lastRow="0" w:firstColumn="1" w:lastColumn="0" w:noHBand="0" w:noVBand="1"/>
      </w:tblPr>
      <w:tblGrid>
        <w:gridCol w:w="4886"/>
        <w:gridCol w:w="2104"/>
        <w:gridCol w:w="2104"/>
      </w:tblGrid>
      <w:tr w:rsidR="00D25D11" w:rsidRPr="00D25D11" w:rsidTr="00AB476B">
        <w:trPr>
          <w:trHeight w:val="527"/>
        </w:trPr>
        <w:tc>
          <w:tcPr>
            <w:tcW w:w="4886" w:type="dxa"/>
            <w:tcBorders>
              <w:top w:val="single" w:sz="8" w:space="0" w:color="1F497D"/>
              <w:left w:val="nil"/>
              <w:bottom w:val="single" w:sz="8" w:space="0" w:color="1F497D"/>
              <w:right w:val="nil"/>
            </w:tcBorders>
            <w:shd w:val="clear" w:color="auto" w:fill="auto"/>
            <w:noWrap/>
            <w:vAlign w:val="center"/>
            <w:hideMark/>
          </w:tcPr>
          <w:p w:rsidR="00D25D11" w:rsidRPr="00D25D11" w:rsidRDefault="00D25D11" w:rsidP="00D25D11">
            <w:pPr>
              <w:spacing w:after="0" w:line="240" w:lineRule="auto"/>
              <w:jc w:val="center"/>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ПРИХОДИ</w:t>
            </w:r>
          </w:p>
        </w:tc>
        <w:tc>
          <w:tcPr>
            <w:tcW w:w="2104" w:type="dxa"/>
            <w:tcBorders>
              <w:top w:val="single" w:sz="8" w:space="0" w:color="1F497D"/>
              <w:left w:val="nil"/>
              <w:bottom w:val="single" w:sz="8" w:space="0" w:color="1F497D"/>
              <w:right w:val="nil"/>
            </w:tcBorders>
            <w:shd w:val="clear" w:color="auto" w:fill="auto"/>
            <w:vAlign w:val="center"/>
            <w:hideMark/>
          </w:tcPr>
          <w:p w:rsidR="00D25D11" w:rsidRPr="00D25D11" w:rsidRDefault="00D25D11" w:rsidP="00D25D11">
            <w:pPr>
              <w:spacing w:after="0" w:line="240" w:lineRule="auto"/>
              <w:jc w:val="center"/>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Текућа година</w:t>
            </w:r>
          </w:p>
        </w:tc>
        <w:tc>
          <w:tcPr>
            <w:tcW w:w="2104" w:type="dxa"/>
            <w:tcBorders>
              <w:top w:val="single" w:sz="8" w:space="0" w:color="1F497D"/>
              <w:left w:val="nil"/>
              <w:bottom w:val="single" w:sz="8" w:space="0" w:color="1F497D"/>
              <w:right w:val="nil"/>
            </w:tcBorders>
            <w:shd w:val="clear" w:color="auto" w:fill="auto"/>
            <w:vAlign w:val="center"/>
            <w:hideMark/>
          </w:tcPr>
          <w:p w:rsidR="00D25D11" w:rsidRPr="00D25D11" w:rsidRDefault="00D25D11" w:rsidP="00D25D11">
            <w:pPr>
              <w:spacing w:after="0" w:line="240" w:lineRule="auto"/>
              <w:jc w:val="center"/>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Претходна година</w:t>
            </w:r>
          </w:p>
        </w:tc>
      </w:tr>
      <w:tr w:rsidR="00D25D11" w:rsidRPr="00D25D11" w:rsidTr="00AB476B">
        <w:trPr>
          <w:trHeight w:val="320"/>
        </w:trPr>
        <w:tc>
          <w:tcPr>
            <w:tcW w:w="4886" w:type="dxa"/>
            <w:tcBorders>
              <w:top w:val="nil"/>
              <w:left w:val="nil"/>
              <w:bottom w:val="nil"/>
              <w:right w:val="nil"/>
            </w:tcBorders>
            <w:shd w:val="clear" w:color="auto" w:fill="DBE5F1" w:themeFill="accent1" w:themeFillTint="33"/>
            <w:noWrap/>
            <w:vAlign w:val="center"/>
            <w:hideMark/>
          </w:tcPr>
          <w:p w:rsidR="00D25D11" w:rsidRPr="00D25D11" w:rsidRDefault="00D25D11" w:rsidP="00D25D11">
            <w:pPr>
              <w:spacing w:after="0" w:line="240" w:lineRule="auto"/>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Приходи по основу премије реосигурања</w:t>
            </w:r>
          </w:p>
        </w:tc>
        <w:tc>
          <w:tcPr>
            <w:tcW w:w="2104" w:type="dxa"/>
            <w:tcBorders>
              <w:top w:val="nil"/>
              <w:left w:val="nil"/>
              <w:bottom w:val="nil"/>
              <w:right w:val="nil"/>
            </w:tcBorders>
            <w:shd w:val="clear" w:color="auto" w:fill="DBE5F1" w:themeFill="accent1" w:themeFillTint="33"/>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1.542.329</w:t>
            </w:r>
          </w:p>
        </w:tc>
        <w:tc>
          <w:tcPr>
            <w:tcW w:w="2104" w:type="dxa"/>
            <w:tcBorders>
              <w:top w:val="nil"/>
              <w:left w:val="nil"/>
              <w:bottom w:val="nil"/>
              <w:right w:val="nil"/>
            </w:tcBorders>
            <w:shd w:val="clear" w:color="auto" w:fill="DBE5F1" w:themeFill="accent1" w:themeFillTint="33"/>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919.053</w:t>
            </w:r>
          </w:p>
        </w:tc>
      </w:tr>
      <w:tr w:rsidR="00D25D11" w:rsidRPr="00D25D11" w:rsidTr="00AB476B">
        <w:trPr>
          <w:trHeight w:val="320"/>
        </w:trPr>
        <w:tc>
          <w:tcPr>
            <w:tcW w:w="4886" w:type="dxa"/>
            <w:tcBorders>
              <w:top w:val="nil"/>
              <w:left w:val="nil"/>
              <w:bottom w:val="nil"/>
              <w:right w:val="nil"/>
            </w:tcBorders>
            <w:shd w:val="clear" w:color="auto" w:fill="auto"/>
            <w:noWrap/>
            <w:vAlign w:val="center"/>
            <w:hideMark/>
          </w:tcPr>
          <w:p w:rsidR="00D25D11" w:rsidRPr="00D25D11" w:rsidRDefault="00D25D11" w:rsidP="00D25D11">
            <w:pPr>
              <w:spacing w:after="0" w:line="240" w:lineRule="auto"/>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Приходи по основу регреса</w:t>
            </w:r>
          </w:p>
        </w:tc>
        <w:tc>
          <w:tcPr>
            <w:tcW w:w="2104" w:type="dxa"/>
            <w:tcBorders>
              <w:top w:val="nil"/>
              <w:left w:val="nil"/>
              <w:bottom w:val="nil"/>
              <w:right w:val="nil"/>
            </w:tcBorders>
            <w:shd w:val="clear" w:color="auto" w:fill="auto"/>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1.258</w:t>
            </w:r>
          </w:p>
        </w:tc>
        <w:tc>
          <w:tcPr>
            <w:tcW w:w="2104" w:type="dxa"/>
            <w:tcBorders>
              <w:top w:val="nil"/>
              <w:left w:val="nil"/>
              <w:bottom w:val="nil"/>
              <w:right w:val="nil"/>
            </w:tcBorders>
            <w:shd w:val="clear" w:color="auto" w:fill="auto"/>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6.342</w:t>
            </w:r>
          </w:p>
        </w:tc>
      </w:tr>
      <w:tr w:rsidR="00D25D11" w:rsidRPr="00D25D11" w:rsidTr="00AB476B">
        <w:trPr>
          <w:trHeight w:val="320"/>
        </w:trPr>
        <w:tc>
          <w:tcPr>
            <w:tcW w:w="4886" w:type="dxa"/>
            <w:tcBorders>
              <w:top w:val="nil"/>
              <w:left w:val="nil"/>
              <w:bottom w:val="nil"/>
              <w:right w:val="nil"/>
            </w:tcBorders>
            <w:shd w:val="clear" w:color="auto" w:fill="DBE5F1" w:themeFill="accent1" w:themeFillTint="33"/>
            <w:noWrap/>
            <w:vAlign w:val="center"/>
            <w:hideMark/>
          </w:tcPr>
          <w:p w:rsidR="00D25D11" w:rsidRPr="00D25D11" w:rsidRDefault="00D25D11" w:rsidP="00D25D11">
            <w:pPr>
              <w:spacing w:after="0" w:line="240" w:lineRule="auto"/>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Приходи по основу  провизија</w:t>
            </w:r>
          </w:p>
        </w:tc>
        <w:tc>
          <w:tcPr>
            <w:tcW w:w="2104" w:type="dxa"/>
            <w:tcBorders>
              <w:top w:val="nil"/>
              <w:left w:val="nil"/>
              <w:bottom w:val="nil"/>
              <w:right w:val="nil"/>
            </w:tcBorders>
            <w:shd w:val="clear" w:color="auto" w:fill="DBE5F1" w:themeFill="accent1" w:themeFillTint="33"/>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17.496</w:t>
            </w:r>
          </w:p>
        </w:tc>
        <w:tc>
          <w:tcPr>
            <w:tcW w:w="2104" w:type="dxa"/>
            <w:tcBorders>
              <w:top w:val="nil"/>
              <w:left w:val="nil"/>
              <w:bottom w:val="nil"/>
              <w:right w:val="nil"/>
            </w:tcBorders>
            <w:shd w:val="clear" w:color="auto" w:fill="DBE5F1" w:themeFill="accent1" w:themeFillTint="33"/>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25.536</w:t>
            </w:r>
          </w:p>
        </w:tc>
      </w:tr>
      <w:tr w:rsidR="00D25D11" w:rsidRPr="00D25D11" w:rsidTr="00AB476B">
        <w:trPr>
          <w:trHeight w:val="320"/>
        </w:trPr>
        <w:tc>
          <w:tcPr>
            <w:tcW w:w="4886" w:type="dxa"/>
            <w:tcBorders>
              <w:top w:val="nil"/>
              <w:left w:val="nil"/>
              <w:bottom w:val="nil"/>
              <w:right w:val="nil"/>
            </w:tcBorders>
            <w:shd w:val="clear" w:color="auto" w:fill="auto"/>
            <w:noWrap/>
            <w:vAlign w:val="center"/>
            <w:hideMark/>
          </w:tcPr>
          <w:p w:rsidR="00D25D11" w:rsidRPr="00D25D11" w:rsidRDefault="00D25D11" w:rsidP="00D25D11">
            <w:pPr>
              <w:spacing w:after="0" w:line="240" w:lineRule="auto"/>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Приходи од камате</w:t>
            </w:r>
          </w:p>
        </w:tc>
        <w:tc>
          <w:tcPr>
            <w:tcW w:w="2104" w:type="dxa"/>
            <w:tcBorders>
              <w:top w:val="nil"/>
              <w:left w:val="nil"/>
              <w:bottom w:val="nil"/>
              <w:right w:val="nil"/>
            </w:tcBorders>
            <w:shd w:val="clear" w:color="auto" w:fill="auto"/>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Latn-RS" w:eastAsia="sr-Latn-RS"/>
              </w:rPr>
              <w:t>35</w:t>
            </w:r>
          </w:p>
        </w:tc>
        <w:tc>
          <w:tcPr>
            <w:tcW w:w="2104" w:type="dxa"/>
            <w:tcBorders>
              <w:top w:val="nil"/>
              <w:left w:val="nil"/>
              <w:bottom w:val="nil"/>
              <w:right w:val="nil"/>
            </w:tcBorders>
            <w:shd w:val="clear" w:color="auto" w:fill="auto"/>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881</w:t>
            </w:r>
          </w:p>
        </w:tc>
      </w:tr>
      <w:tr w:rsidR="00D25D11" w:rsidRPr="00D25D11" w:rsidTr="00AB476B">
        <w:trPr>
          <w:trHeight w:val="320"/>
        </w:trPr>
        <w:tc>
          <w:tcPr>
            <w:tcW w:w="4886" w:type="dxa"/>
            <w:tcBorders>
              <w:top w:val="nil"/>
              <w:left w:val="nil"/>
              <w:bottom w:val="nil"/>
              <w:right w:val="nil"/>
            </w:tcBorders>
            <w:shd w:val="clear" w:color="auto" w:fill="DBE5F1" w:themeFill="accent1" w:themeFillTint="33"/>
            <w:noWrap/>
            <w:vAlign w:val="center"/>
            <w:hideMark/>
          </w:tcPr>
          <w:p w:rsidR="00D25D11" w:rsidRPr="00D25D11" w:rsidRDefault="00D25D11" w:rsidP="00D25D11">
            <w:pPr>
              <w:spacing w:after="0" w:line="240" w:lineRule="auto"/>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Приходи од ефеката валутне клаузуле</w:t>
            </w:r>
          </w:p>
        </w:tc>
        <w:tc>
          <w:tcPr>
            <w:tcW w:w="2104" w:type="dxa"/>
            <w:tcBorders>
              <w:top w:val="nil"/>
              <w:left w:val="nil"/>
              <w:bottom w:val="nil"/>
              <w:right w:val="nil"/>
            </w:tcBorders>
            <w:shd w:val="clear" w:color="auto" w:fill="DBE5F1" w:themeFill="accent1" w:themeFillTint="33"/>
            <w:noWrap/>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15.666</w:t>
            </w:r>
          </w:p>
        </w:tc>
        <w:tc>
          <w:tcPr>
            <w:tcW w:w="2104" w:type="dxa"/>
            <w:tcBorders>
              <w:top w:val="nil"/>
              <w:left w:val="nil"/>
              <w:bottom w:val="nil"/>
              <w:right w:val="nil"/>
            </w:tcBorders>
            <w:shd w:val="clear" w:color="auto" w:fill="DBE5F1" w:themeFill="accent1" w:themeFillTint="33"/>
            <w:noWrap/>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9.429</w:t>
            </w:r>
          </w:p>
        </w:tc>
      </w:tr>
      <w:tr w:rsidR="00D25D11" w:rsidRPr="00D25D11" w:rsidTr="00AB476B">
        <w:trPr>
          <w:trHeight w:val="320"/>
        </w:trPr>
        <w:tc>
          <w:tcPr>
            <w:tcW w:w="4886" w:type="dxa"/>
            <w:tcBorders>
              <w:top w:val="nil"/>
              <w:left w:val="nil"/>
              <w:bottom w:val="nil"/>
              <w:right w:val="nil"/>
            </w:tcBorders>
            <w:shd w:val="clear" w:color="auto" w:fill="auto"/>
            <w:noWrap/>
            <w:vAlign w:val="center"/>
            <w:hideMark/>
          </w:tcPr>
          <w:p w:rsidR="00D25D11" w:rsidRPr="00D25D11" w:rsidRDefault="00D25D11" w:rsidP="00D25D11">
            <w:pPr>
              <w:spacing w:after="0" w:line="240" w:lineRule="auto"/>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Позитивне курсне разлике</w:t>
            </w:r>
          </w:p>
        </w:tc>
        <w:tc>
          <w:tcPr>
            <w:tcW w:w="2104" w:type="dxa"/>
            <w:tcBorders>
              <w:top w:val="nil"/>
              <w:left w:val="nil"/>
              <w:bottom w:val="nil"/>
              <w:right w:val="nil"/>
            </w:tcBorders>
            <w:shd w:val="clear" w:color="auto" w:fill="auto"/>
            <w:noWrap/>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621</w:t>
            </w:r>
          </w:p>
        </w:tc>
        <w:tc>
          <w:tcPr>
            <w:tcW w:w="2104" w:type="dxa"/>
            <w:tcBorders>
              <w:top w:val="nil"/>
              <w:left w:val="nil"/>
              <w:bottom w:val="nil"/>
              <w:right w:val="nil"/>
            </w:tcBorders>
            <w:shd w:val="clear" w:color="auto" w:fill="auto"/>
            <w:noWrap/>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1.444</w:t>
            </w:r>
          </w:p>
        </w:tc>
      </w:tr>
      <w:tr w:rsidR="00D25D11" w:rsidRPr="00D25D11" w:rsidTr="00AB476B">
        <w:trPr>
          <w:trHeight w:val="320"/>
        </w:trPr>
        <w:tc>
          <w:tcPr>
            <w:tcW w:w="4886" w:type="dxa"/>
            <w:tcBorders>
              <w:top w:val="nil"/>
              <w:left w:val="nil"/>
              <w:bottom w:val="nil"/>
              <w:right w:val="nil"/>
            </w:tcBorders>
            <w:shd w:val="clear" w:color="auto" w:fill="DBE5F1" w:themeFill="accent1" w:themeFillTint="33"/>
            <w:noWrap/>
            <w:vAlign w:val="center"/>
            <w:hideMark/>
          </w:tcPr>
          <w:p w:rsidR="00D25D11" w:rsidRPr="00D25D11" w:rsidRDefault="00D25D11" w:rsidP="00D25D11">
            <w:pPr>
              <w:spacing w:after="0" w:line="240" w:lineRule="auto"/>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Приходи од усклађивања</w:t>
            </w:r>
          </w:p>
        </w:tc>
        <w:tc>
          <w:tcPr>
            <w:tcW w:w="2104" w:type="dxa"/>
            <w:tcBorders>
              <w:top w:val="nil"/>
              <w:left w:val="nil"/>
              <w:bottom w:val="nil"/>
              <w:right w:val="nil"/>
            </w:tcBorders>
            <w:shd w:val="clear" w:color="auto" w:fill="DBE5F1" w:themeFill="accent1" w:themeFillTint="33"/>
            <w:noWrap/>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357</w:t>
            </w:r>
          </w:p>
        </w:tc>
        <w:tc>
          <w:tcPr>
            <w:tcW w:w="2104" w:type="dxa"/>
            <w:tcBorders>
              <w:top w:val="nil"/>
              <w:left w:val="nil"/>
              <w:bottom w:val="nil"/>
              <w:right w:val="nil"/>
            </w:tcBorders>
            <w:shd w:val="clear" w:color="auto" w:fill="DBE5F1" w:themeFill="accent1" w:themeFillTint="33"/>
            <w:noWrap/>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43.730</w:t>
            </w:r>
          </w:p>
        </w:tc>
      </w:tr>
      <w:tr w:rsidR="00D25D11" w:rsidRPr="00D25D11" w:rsidTr="00AB476B">
        <w:trPr>
          <w:trHeight w:val="320"/>
        </w:trPr>
        <w:tc>
          <w:tcPr>
            <w:tcW w:w="4886" w:type="dxa"/>
            <w:tcBorders>
              <w:top w:val="nil"/>
              <w:left w:val="nil"/>
              <w:bottom w:val="double" w:sz="6" w:space="0" w:color="1F497D"/>
              <w:right w:val="nil"/>
            </w:tcBorders>
            <w:shd w:val="clear" w:color="auto" w:fill="auto"/>
            <w:noWrap/>
            <w:vAlign w:val="center"/>
            <w:hideMark/>
          </w:tcPr>
          <w:p w:rsidR="00D25D11" w:rsidRPr="00D25D11" w:rsidRDefault="00D25D11" w:rsidP="00D25D11">
            <w:pPr>
              <w:spacing w:after="0" w:line="240" w:lineRule="auto"/>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Приходи ранијих година</w:t>
            </w:r>
          </w:p>
        </w:tc>
        <w:tc>
          <w:tcPr>
            <w:tcW w:w="2104" w:type="dxa"/>
            <w:tcBorders>
              <w:top w:val="nil"/>
              <w:left w:val="nil"/>
              <w:bottom w:val="double" w:sz="6" w:space="0" w:color="1F497D"/>
              <w:right w:val="nil"/>
            </w:tcBorders>
            <w:shd w:val="clear" w:color="auto" w:fill="auto"/>
            <w:noWrap/>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Latn-RS" w:eastAsia="sr-Latn-RS"/>
              </w:rPr>
              <w:t> </w:t>
            </w:r>
          </w:p>
        </w:tc>
        <w:tc>
          <w:tcPr>
            <w:tcW w:w="2104" w:type="dxa"/>
            <w:tcBorders>
              <w:top w:val="nil"/>
              <w:left w:val="nil"/>
              <w:bottom w:val="double" w:sz="6" w:space="0" w:color="1F497D"/>
              <w:right w:val="nil"/>
            </w:tcBorders>
            <w:shd w:val="clear" w:color="auto" w:fill="auto"/>
            <w:noWrap/>
            <w:vAlign w:val="center"/>
            <w:hideMark/>
          </w:tcPr>
          <w:p w:rsidR="00D25D11" w:rsidRPr="00D25D11" w:rsidRDefault="00D25D11" w:rsidP="00D25D11">
            <w:pPr>
              <w:spacing w:after="0" w:line="240" w:lineRule="auto"/>
              <w:jc w:val="right"/>
              <w:rPr>
                <w:rFonts w:ascii="Tahoma" w:eastAsia="Times New Roman" w:hAnsi="Tahoma" w:cs="Tahoma"/>
                <w:color w:val="000000"/>
                <w:sz w:val="20"/>
                <w:szCs w:val="20"/>
                <w:lang w:val="sr-Latn-RS" w:eastAsia="sr-Latn-RS"/>
              </w:rPr>
            </w:pPr>
            <w:r w:rsidRPr="00D25D11">
              <w:rPr>
                <w:rFonts w:ascii="Tahoma" w:eastAsia="Times New Roman" w:hAnsi="Tahoma" w:cs="Tahoma"/>
                <w:color w:val="000000"/>
                <w:sz w:val="20"/>
                <w:szCs w:val="20"/>
                <w:lang w:val="sr-Cyrl-CS" w:eastAsia="sr-Latn-RS"/>
              </w:rPr>
              <w:t>53.176</w:t>
            </w:r>
          </w:p>
        </w:tc>
      </w:tr>
      <w:tr w:rsidR="00D25D11" w:rsidRPr="00D25D11" w:rsidTr="00AB476B">
        <w:trPr>
          <w:trHeight w:val="320"/>
        </w:trPr>
        <w:tc>
          <w:tcPr>
            <w:tcW w:w="4886" w:type="dxa"/>
            <w:tcBorders>
              <w:top w:val="nil"/>
              <w:left w:val="nil"/>
              <w:bottom w:val="single" w:sz="8" w:space="0" w:color="1F497D"/>
              <w:right w:val="nil"/>
            </w:tcBorders>
            <w:shd w:val="clear" w:color="000000" w:fill="DCE6F1"/>
            <w:noWrap/>
            <w:vAlign w:val="center"/>
            <w:hideMark/>
          </w:tcPr>
          <w:p w:rsidR="00D25D11" w:rsidRPr="00D25D11" w:rsidRDefault="00D25D11" w:rsidP="00D25D11">
            <w:pPr>
              <w:spacing w:after="0" w:line="240" w:lineRule="auto"/>
              <w:rPr>
                <w:rFonts w:ascii="Tahoma" w:eastAsia="Times New Roman" w:hAnsi="Tahoma" w:cs="Tahoma"/>
                <w:b/>
                <w:bCs/>
                <w:color w:val="000000"/>
                <w:sz w:val="20"/>
                <w:szCs w:val="20"/>
                <w:lang w:val="sr-Latn-RS" w:eastAsia="sr-Latn-RS"/>
              </w:rPr>
            </w:pPr>
            <w:r w:rsidRPr="00D25D11">
              <w:rPr>
                <w:rFonts w:ascii="Tahoma" w:eastAsia="Times New Roman" w:hAnsi="Tahoma" w:cs="Tahoma"/>
                <w:b/>
                <w:bCs/>
                <w:color w:val="000000"/>
                <w:sz w:val="20"/>
                <w:szCs w:val="20"/>
                <w:lang w:val="sr-Cyrl-CS" w:eastAsia="sr-Latn-RS"/>
              </w:rPr>
              <w:t>Укупни приходи</w:t>
            </w:r>
          </w:p>
        </w:tc>
        <w:tc>
          <w:tcPr>
            <w:tcW w:w="2104" w:type="dxa"/>
            <w:tcBorders>
              <w:top w:val="nil"/>
              <w:left w:val="nil"/>
              <w:bottom w:val="single" w:sz="8" w:space="0" w:color="1F497D"/>
              <w:right w:val="nil"/>
            </w:tcBorders>
            <w:shd w:val="clear" w:color="000000" w:fill="DCE6F1"/>
            <w:noWrap/>
            <w:vAlign w:val="center"/>
            <w:hideMark/>
          </w:tcPr>
          <w:p w:rsidR="00D25D11" w:rsidRPr="00D25D11" w:rsidRDefault="00D25D11" w:rsidP="00D25D11">
            <w:pPr>
              <w:spacing w:after="0" w:line="240" w:lineRule="auto"/>
              <w:jc w:val="right"/>
              <w:rPr>
                <w:rFonts w:ascii="Tahoma" w:eastAsia="Times New Roman" w:hAnsi="Tahoma" w:cs="Tahoma"/>
                <w:b/>
                <w:bCs/>
                <w:color w:val="000000"/>
                <w:sz w:val="20"/>
                <w:szCs w:val="20"/>
                <w:lang w:val="sr-Latn-RS" w:eastAsia="sr-Latn-RS"/>
              </w:rPr>
            </w:pPr>
            <w:r w:rsidRPr="00D25D11">
              <w:rPr>
                <w:rFonts w:ascii="Tahoma" w:eastAsia="Times New Roman" w:hAnsi="Tahoma" w:cs="Tahoma"/>
                <w:b/>
                <w:bCs/>
                <w:color w:val="000000"/>
                <w:sz w:val="20"/>
                <w:szCs w:val="20"/>
                <w:lang w:val="sr-Cyrl-CS" w:eastAsia="sr-Latn-RS"/>
              </w:rPr>
              <w:t>1.577.762</w:t>
            </w:r>
          </w:p>
        </w:tc>
        <w:tc>
          <w:tcPr>
            <w:tcW w:w="2104" w:type="dxa"/>
            <w:tcBorders>
              <w:top w:val="nil"/>
              <w:left w:val="nil"/>
              <w:bottom w:val="single" w:sz="8" w:space="0" w:color="1F497D"/>
              <w:right w:val="nil"/>
            </w:tcBorders>
            <w:shd w:val="clear" w:color="000000" w:fill="DCE6F1"/>
            <w:vAlign w:val="center"/>
            <w:hideMark/>
          </w:tcPr>
          <w:p w:rsidR="00D25D11" w:rsidRPr="00D25D11" w:rsidRDefault="00D25D11" w:rsidP="00D25D11">
            <w:pPr>
              <w:spacing w:after="0" w:line="240" w:lineRule="auto"/>
              <w:jc w:val="right"/>
              <w:rPr>
                <w:rFonts w:ascii="Tahoma" w:eastAsia="Times New Roman" w:hAnsi="Tahoma" w:cs="Tahoma"/>
                <w:b/>
                <w:bCs/>
                <w:color w:val="000000"/>
                <w:sz w:val="20"/>
                <w:szCs w:val="20"/>
                <w:lang w:val="sr-Latn-RS" w:eastAsia="sr-Latn-RS"/>
              </w:rPr>
            </w:pPr>
            <w:r w:rsidRPr="00D25D11">
              <w:rPr>
                <w:rFonts w:ascii="Tahoma" w:eastAsia="Times New Roman" w:hAnsi="Tahoma" w:cs="Tahoma"/>
                <w:b/>
                <w:bCs/>
                <w:color w:val="000000"/>
                <w:sz w:val="20"/>
                <w:szCs w:val="20"/>
                <w:lang w:val="sr-Cyrl-CS" w:eastAsia="sr-Latn-RS"/>
              </w:rPr>
              <w:t>1.059.591</w:t>
            </w:r>
          </w:p>
        </w:tc>
      </w:tr>
    </w:tbl>
    <w:p w:rsidR="001F1D74" w:rsidRDefault="001F1D74" w:rsidP="00AB476B">
      <w:pPr>
        <w:pStyle w:val="NoSpacing"/>
        <w:spacing w:before="200" w:after="200" w:line="276" w:lineRule="auto"/>
        <w:jc w:val="both"/>
        <w:rPr>
          <w:rFonts w:cs="Tahoma"/>
          <w:noProof/>
          <w:sz w:val="20"/>
          <w:lang w:val="sr-Cyrl-CS"/>
        </w:rPr>
      </w:pPr>
    </w:p>
    <w:tbl>
      <w:tblPr>
        <w:tblW w:w="9295" w:type="dxa"/>
        <w:tblInd w:w="108" w:type="dxa"/>
        <w:tblLook w:val="04A0" w:firstRow="1" w:lastRow="0" w:firstColumn="1" w:lastColumn="0" w:noHBand="0" w:noVBand="1"/>
      </w:tblPr>
      <w:tblGrid>
        <w:gridCol w:w="4994"/>
        <w:gridCol w:w="2182"/>
        <w:gridCol w:w="2119"/>
      </w:tblGrid>
      <w:tr w:rsidR="00AB476B" w:rsidRPr="00AB476B" w:rsidTr="00AB476B">
        <w:trPr>
          <w:trHeight w:val="567"/>
        </w:trPr>
        <w:tc>
          <w:tcPr>
            <w:tcW w:w="4994" w:type="dxa"/>
            <w:tcBorders>
              <w:top w:val="single" w:sz="4" w:space="0" w:color="auto"/>
              <w:left w:val="nil"/>
              <w:bottom w:val="single" w:sz="8" w:space="0" w:color="1F497D"/>
              <w:right w:val="nil"/>
            </w:tcBorders>
            <w:shd w:val="clear" w:color="auto" w:fill="auto"/>
            <w:noWrap/>
            <w:vAlign w:val="center"/>
            <w:hideMark/>
          </w:tcPr>
          <w:p w:rsidR="00AB476B" w:rsidRPr="00AB476B" w:rsidRDefault="00AB476B" w:rsidP="00AB476B">
            <w:pPr>
              <w:spacing w:after="0" w:line="240" w:lineRule="auto"/>
              <w:jc w:val="center"/>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РАСХОДИ</w:t>
            </w:r>
          </w:p>
        </w:tc>
        <w:tc>
          <w:tcPr>
            <w:tcW w:w="2182" w:type="dxa"/>
            <w:tcBorders>
              <w:top w:val="single" w:sz="4" w:space="0" w:color="auto"/>
              <w:left w:val="nil"/>
              <w:bottom w:val="single" w:sz="8" w:space="0" w:color="1F497D"/>
              <w:right w:val="nil"/>
            </w:tcBorders>
            <w:shd w:val="clear" w:color="auto" w:fill="auto"/>
            <w:noWrap/>
            <w:vAlign w:val="center"/>
            <w:hideMark/>
          </w:tcPr>
          <w:p w:rsidR="00AB476B" w:rsidRPr="00AB476B" w:rsidRDefault="00AB476B" w:rsidP="00AB476B">
            <w:pPr>
              <w:spacing w:after="0" w:line="240" w:lineRule="auto"/>
              <w:jc w:val="center"/>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Текућа година</w:t>
            </w:r>
          </w:p>
        </w:tc>
        <w:tc>
          <w:tcPr>
            <w:tcW w:w="2119" w:type="dxa"/>
            <w:tcBorders>
              <w:top w:val="single" w:sz="4" w:space="0" w:color="auto"/>
              <w:left w:val="nil"/>
              <w:bottom w:val="single" w:sz="8" w:space="0" w:color="1F497D"/>
              <w:right w:val="nil"/>
            </w:tcBorders>
            <w:shd w:val="clear" w:color="auto" w:fill="auto"/>
            <w:vAlign w:val="center"/>
            <w:hideMark/>
          </w:tcPr>
          <w:p w:rsidR="00AB476B" w:rsidRPr="00AB476B" w:rsidRDefault="00AB476B" w:rsidP="00AB476B">
            <w:pPr>
              <w:spacing w:after="0" w:line="240" w:lineRule="auto"/>
              <w:jc w:val="center"/>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Претходна година</w:t>
            </w:r>
          </w:p>
        </w:tc>
      </w:tr>
      <w:tr w:rsidR="00AB476B" w:rsidRPr="00AB476B" w:rsidTr="00AB476B">
        <w:trPr>
          <w:trHeight w:val="302"/>
        </w:trPr>
        <w:tc>
          <w:tcPr>
            <w:tcW w:w="4994"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Расходи по основу удела у штетама</w:t>
            </w:r>
          </w:p>
        </w:tc>
        <w:tc>
          <w:tcPr>
            <w:tcW w:w="2182"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-1.776.388</w:t>
            </w:r>
          </w:p>
        </w:tc>
        <w:tc>
          <w:tcPr>
            <w:tcW w:w="2119"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-214.601</w:t>
            </w:r>
          </w:p>
        </w:tc>
      </w:tr>
      <w:tr w:rsidR="00AB476B" w:rsidRPr="00AB476B" w:rsidTr="00AB476B">
        <w:trPr>
          <w:trHeight w:val="302"/>
        </w:trPr>
        <w:tc>
          <w:tcPr>
            <w:tcW w:w="4994"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Расходи по основу провизије</w:t>
            </w:r>
          </w:p>
        </w:tc>
        <w:tc>
          <w:tcPr>
            <w:tcW w:w="2182"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-135.280</w:t>
            </w:r>
          </w:p>
        </w:tc>
        <w:tc>
          <w:tcPr>
            <w:tcW w:w="2119"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-100.967</w:t>
            </w:r>
          </w:p>
        </w:tc>
      </w:tr>
      <w:tr w:rsidR="00AB476B" w:rsidRPr="00AB476B" w:rsidTr="00AB476B">
        <w:trPr>
          <w:trHeight w:val="302"/>
        </w:trPr>
        <w:tc>
          <w:tcPr>
            <w:tcW w:w="4994"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Трошкови горива и енергије</w:t>
            </w:r>
          </w:p>
        </w:tc>
        <w:tc>
          <w:tcPr>
            <w:tcW w:w="2182"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-65</w:t>
            </w:r>
          </w:p>
        </w:tc>
        <w:tc>
          <w:tcPr>
            <w:tcW w:w="2119"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-78</w:t>
            </w:r>
          </w:p>
        </w:tc>
      </w:tr>
      <w:tr w:rsidR="00AB476B" w:rsidRPr="00AB476B" w:rsidTr="00AB476B">
        <w:trPr>
          <w:trHeight w:val="302"/>
        </w:trPr>
        <w:tc>
          <w:tcPr>
            <w:tcW w:w="4994"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Трошкови производних услуга</w:t>
            </w:r>
          </w:p>
        </w:tc>
        <w:tc>
          <w:tcPr>
            <w:tcW w:w="2182"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-12.256</w:t>
            </w:r>
          </w:p>
        </w:tc>
        <w:tc>
          <w:tcPr>
            <w:tcW w:w="2119"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-11.024</w:t>
            </w:r>
          </w:p>
        </w:tc>
      </w:tr>
      <w:tr w:rsidR="00AB476B" w:rsidRPr="00AB476B" w:rsidTr="00AB476B">
        <w:trPr>
          <w:trHeight w:val="302"/>
        </w:trPr>
        <w:tc>
          <w:tcPr>
            <w:tcW w:w="4994"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Трошкови премије осигурања</w:t>
            </w:r>
          </w:p>
        </w:tc>
        <w:tc>
          <w:tcPr>
            <w:tcW w:w="2182"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-1263</w:t>
            </w:r>
          </w:p>
        </w:tc>
        <w:tc>
          <w:tcPr>
            <w:tcW w:w="2119"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-854</w:t>
            </w:r>
          </w:p>
        </w:tc>
      </w:tr>
      <w:tr w:rsidR="00AB476B" w:rsidRPr="00AB476B" w:rsidTr="00AB476B">
        <w:trPr>
          <w:trHeight w:val="302"/>
        </w:trPr>
        <w:tc>
          <w:tcPr>
            <w:tcW w:w="4994"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Трошкови банкарских услуга</w:t>
            </w:r>
          </w:p>
        </w:tc>
        <w:tc>
          <w:tcPr>
            <w:tcW w:w="2182"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-124</w:t>
            </w:r>
          </w:p>
        </w:tc>
        <w:tc>
          <w:tcPr>
            <w:tcW w:w="2119"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-1.080</w:t>
            </w:r>
          </w:p>
        </w:tc>
      </w:tr>
      <w:tr w:rsidR="00AB476B" w:rsidRPr="00AB476B" w:rsidTr="00AB476B">
        <w:trPr>
          <w:trHeight w:val="302"/>
        </w:trPr>
        <w:tc>
          <w:tcPr>
            <w:tcW w:w="4994"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Трошкови непроизводних услуга</w:t>
            </w:r>
          </w:p>
        </w:tc>
        <w:tc>
          <w:tcPr>
            <w:tcW w:w="2182"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-1.062</w:t>
            </w:r>
          </w:p>
        </w:tc>
        <w:tc>
          <w:tcPr>
            <w:tcW w:w="2119"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-1.523</w:t>
            </w:r>
          </w:p>
        </w:tc>
      </w:tr>
      <w:tr w:rsidR="00AB476B" w:rsidRPr="00AB476B" w:rsidTr="00AB476B">
        <w:trPr>
          <w:trHeight w:val="302"/>
        </w:trPr>
        <w:tc>
          <w:tcPr>
            <w:tcW w:w="4994"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Остали непоменути трошкови</w:t>
            </w:r>
          </w:p>
        </w:tc>
        <w:tc>
          <w:tcPr>
            <w:tcW w:w="2182"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-2.064</w:t>
            </w:r>
          </w:p>
        </w:tc>
        <w:tc>
          <w:tcPr>
            <w:tcW w:w="2119"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-2.018</w:t>
            </w:r>
          </w:p>
        </w:tc>
      </w:tr>
      <w:tr w:rsidR="00AB476B" w:rsidRPr="00AB476B" w:rsidTr="00AB476B">
        <w:trPr>
          <w:trHeight w:val="302"/>
        </w:trPr>
        <w:tc>
          <w:tcPr>
            <w:tcW w:w="4994"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Расходи валутне клаузуле</w:t>
            </w:r>
          </w:p>
        </w:tc>
        <w:tc>
          <w:tcPr>
            <w:tcW w:w="2182"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-11</w:t>
            </w:r>
            <w:r>
              <w:rPr>
                <w:rFonts w:ascii="Tahoma" w:eastAsia="Times New Roman" w:hAnsi="Tahoma" w:cs="Tahoma"/>
                <w:color w:val="000000"/>
                <w:sz w:val="20"/>
                <w:szCs w:val="20"/>
                <w:lang w:val="sr-Cyrl-CS" w:eastAsia="sr-Latn-RS"/>
              </w:rPr>
              <w:t>.</w:t>
            </w:r>
            <w:r w:rsidRPr="00AB476B">
              <w:rPr>
                <w:rFonts w:ascii="Tahoma" w:eastAsia="Times New Roman" w:hAnsi="Tahoma" w:cs="Tahoma"/>
                <w:color w:val="000000"/>
                <w:sz w:val="20"/>
                <w:szCs w:val="20"/>
                <w:lang w:val="sr-Cyrl-CS" w:eastAsia="sr-Latn-RS"/>
              </w:rPr>
              <w:t>126</w:t>
            </w:r>
          </w:p>
        </w:tc>
        <w:tc>
          <w:tcPr>
            <w:tcW w:w="2119"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w:t>
            </w:r>
            <w:r>
              <w:rPr>
                <w:rFonts w:ascii="Tahoma" w:eastAsia="Times New Roman" w:hAnsi="Tahoma" w:cs="Tahoma"/>
                <w:color w:val="000000"/>
                <w:sz w:val="20"/>
                <w:szCs w:val="20"/>
                <w:lang w:val="sr-Cyrl-CS" w:eastAsia="sr-Latn-RS"/>
              </w:rPr>
              <w:t>.</w:t>
            </w:r>
            <w:r w:rsidRPr="00AB476B">
              <w:rPr>
                <w:rFonts w:ascii="Tahoma" w:eastAsia="Times New Roman" w:hAnsi="Tahoma" w:cs="Tahoma"/>
                <w:color w:val="000000"/>
                <w:sz w:val="20"/>
                <w:szCs w:val="20"/>
                <w:lang w:val="sr-Cyrl-CS" w:eastAsia="sr-Latn-RS"/>
              </w:rPr>
              <w:t>283</w:t>
            </w:r>
          </w:p>
        </w:tc>
      </w:tr>
      <w:tr w:rsidR="00AB476B" w:rsidRPr="00AB476B" w:rsidTr="00AB476B">
        <w:trPr>
          <w:trHeight w:val="302"/>
        </w:trPr>
        <w:tc>
          <w:tcPr>
            <w:tcW w:w="4994"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Негативне курсне разлике</w:t>
            </w:r>
          </w:p>
        </w:tc>
        <w:tc>
          <w:tcPr>
            <w:tcW w:w="2182"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-164</w:t>
            </w:r>
          </w:p>
        </w:tc>
        <w:tc>
          <w:tcPr>
            <w:tcW w:w="2119"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-7</w:t>
            </w:r>
          </w:p>
        </w:tc>
      </w:tr>
      <w:tr w:rsidR="00AB476B" w:rsidRPr="00AB476B" w:rsidTr="00AB476B">
        <w:trPr>
          <w:trHeight w:val="302"/>
        </w:trPr>
        <w:tc>
          <w:tcPr>
            <w:tcW w:w="4994"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noProof/>
                <w:color w:val="000000"/>
                <w:sz w:val="20"/>
                <w:szCs w:val="20"/>
                <w:lang w:val="sr-Cyrl-CS" w:eastAsia="sr-Latn-RS"/>
              </w:rPr>
              <w:t>Расходи од обезвређења</w:t>
            </w:r>
          </w:p>
        </w:tc>
        <w:tc>
          <w:tcPr>
            <w:tcW w:w="2182"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noProof/>
                <w:color w:val="000000"/>
                <w:sz w:val="20"/>
                <w:szCs w:val="20"/>
                <w:lang w:val="sr-Cyrl-CS" w:eastAsia="sr-Latn-RS"/>
              </w:rPr>
              <w:t>-25.319</w:t>
            </w:r>
          </w:p>
        </w:tc>
        <w:tc>
          <w:tcPr>
            <w:tcW w:w="2119"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noProof/>
                <w:color w:val="000000"/>
                <w:sz w:val="20"/>
                <w:szCs w:val="20"/>
                <w:lang w:val="sr-Cyrl-CS" w:eastAsia="sr-Latn-RS"/>
              </w:rPr>
              <w:t>-172.431</w:t>
            </w:r>
          </w:p>
        </w:tc>
      </w:tr>
      <w:tr w:rsidR="00AB476B" w:rsidRPr="00AB476B" w:rsidTr="00AB476B">
        <w:trPr>
          <w:trHeight w:val="302"/>
        </w:trPr>
        <w:tc>
          <w:tcPr>
            <w:tcW w:w="4994" w:type="dxa"/>
            <w:tcBorders>
              <w:top w:val="nil"/>
              <w:left w:val="nil"/>
              <w:bottom w:val="double" w:sz="6" w:space="0" w:color="1F497D"/>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Расходи ранијих година</w:t>
            </w:r>
          </w:p>
        </w:tc>
        <w:tc>
          <w:tcPr>
            <w:tcW w:w="2182" w:type="dxa"/>
            <w:tcBorders>
              <w:top w:val="nil"/>
              <w:left w:val="nil"/>
              <w:bottom w:val="double" w:sz="6" w:space="0" w:color="1F497D"/>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0</w:t>
            </w:r>
          </w:p>
        </w:tc>
        <w:tc>
          <w:tcPr>
            <w:tcW w:w="2119" w:type="dxa"/>
            <w:tcBorders>
              <w:top w:val="nil"/>
              <w:left w:val="nil"/>
              <w:bottom w:val="double" w:sz="6" w:space="0" w:color="1F497D"/>
              <w:right w:val="nil"/>
            </w:tcBorders>
            <w:shd w:val="clear" w:color="auto" w:fill="auto"/>
            <w:noWrap/>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-2.431</w:t>
            </w:r>
          </w:p>
        </w:tc>
      </w:tr>
      <w:tr w:rsidR="00AB476B" w:rsidRPr="00AB476B" w:rsidTr="00AB476B">
        <w:trPr>
          <w:trHeight w:val="302"/>
        </w:trPr>
        <w:tc>
          <w:tcPr>
            <w:tcW w:w="4994" w:type="dxa"/>
            <w:tcBorders>
              <w:top w:val="nil"/>
              <w:left w:val="nil"/>
              <w:bottom w:val="single" w:sz="8" w:space="0" w:color="1F497D"/>
              <w:right w:val="nil"/>
            </w:tcBorders>
            <w:shd w:val="clear" w:color="000000" w:fill="DCE6F1"/>
            <w:noWrap/>
            <w:vAlign w:val="center"/>
            <w:hideMark/>
          </w:tcPr>
          <w:p w:rsidR="00AB476B" w:rsidRPr="00AB476B" w:rsidRDefault="00AB476B" w:rsidP="00AB476B">
            <w:pPr>
              <w:spacing w:after="0" w:line="240" w:lineRule="auto"/>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Укупни расходи</w:t>
            </w:r>
          </w:p>
        </w:tc>
        <w:tc>
          <w:tcPr>
            <w:tcW w:w="2182" w:type="dxa"/>
            <w:tcBorders>
              <w:top w:val="nil"/>
              <w:left w:val="nil"/>
              <w:bottom w:val="single" w:sz="8" w:space="0" w:color="1F497D"/>
              <w:right w:val="nil"/>
            </w:tcBorders>
            <w:shd w:val="clear" w:color="000000" w:fill="DCE6F1"/>
            <w:noWrap/>
            <w:vAlign w:val="center"/>
            <w:hideMark/>
          </w:tcPr>
          <w:p w:rsidR="00AB476B" w:rsidRPr="00AB476B" w:rsidRDefault="00AB476B" w:rsidP="00AB476B">
            <w:pPr>
              <w:spacing w:after="0" w:line="240" w:lineRule="auto"/>
              <w:jc w:val="right"/>
              <w:rPr>
                <w:rFonts w:ascii="Tahoma" w:eastAsia="Times New Roman" w:hAnsi="Tahoma" w:cs="Tahoma"/>
                <w:b/>
                <w:bCs/>
                <w:color w:val="000000"/>
                <w:sz w:val="20"/>
                <w:szCs w:val="20"/>
                <w:lang w:val="sr-Latn-RS" w:eastAsia="sr-Latn-RS"/>
              </w:rPr>
            </w:pPr>
            <w:r w:rsidRPr="00AB476B">
              <w:rPr>
                <w:rFonts w:ascii="Tahoma" w:eastAsia="Times New Roman" w:hAnsi="Tahoma" w:cs="Tahoma"/>
                <w:b/>
                <w:bCs/>
                <w:color w:val="000000"/>
                <w:sz w:val="20"/>
                <w:szCs w:val="20"/>
                <w:lang w:val="sr-Cyrl-CS" w:eastAsia="sr-Latn-RS"/>
              </w:rPr>
              <w:t>-1.965.111</w:t>
            </w:r>
          </w:p>
        </w:tc>
        <w:tc>
          <w:tcPr>
            <w:tcW w:w="2119" w:type="dxa"/>
            <w:tcBorders>
              <w:top w:val="nil"/>
              <w:left w:val="nil"/>
              <w:bottom w:val="single" w:sz="8" w:space="0" w:color="1F497D"/>
              <w:right w:val="nil"/>
            </w:tcBorders>
            <w:shd w:val="clear" w:color="000000" w:fill="DCE6F1"/>
            <w:noWrap/>
            <w:vAlign w:val="center"/>
            <w:hideMark/>
          </w:tcPr>
          <w:p w:rsidR="00AB476B" w:rsidRPr="00AB476B" w:rsidRDefault="00AB476B" w:rsidP="00AB476B">
            <w:pPr>
              <w:spacing w:after="0" w:line="240" w:lineRule="auto"/>
              <w:jc w:val="right"/>
              <w:rPr>
                <w:rFonts w:ascii="Tahoma" w:eastAsia="Times New Roman" w:hAnsi="Tahoma" w:cs="Tahoma"/>
                <w:b/>
                <w:bCs/>
                <w:color w:val="000000"/>
                <w:sz w:val="20"/>
                <w:szCs w:val="20"/>
                <w:lang w:val="sr-Latn-RS" w:eastAsia="sr-Latn-RS"/>
              </w:rPr>
            </w:pPr>
            <w:r w:rsidRPr="00AB476B">
              <w:rPr>
                <w:rFonts w:ascii="Tahoma" w:eastAsia="Times New Roman" w:hAnsi="Tahoma" w:cs="Tahoma"/>
                <w:b/>
                <w:bCs/>
                <w:color w:val="000000"/>
                <w:sz w:val="20"/>
                <w:szCs w:val="20"/>
                <w:lang w:val="sr-Cyrl-CS" w:eastAsia="sr-Latn-RS"/>
              </w:rPr>
              <w:t>-508.297</w:t>
            </w:r>
          </w:p>
        </w:tc>
      </w:tr>
    </w:tbl>
    <w:p w:rsidR="00AB476B" w:rsidRPr="00AB476B" w:rsidRDefault="00AB476B" w:rsidP="00AB476B">
      <w:pPr>
        <w:pStyle w:val="NoSpacing"/>
        <w:spacing w:before="200" w:after="200" w:line="276" w:lineRule="auto"/>
        <w:jc w:val="both"/>
        <w:rPr>
          <w:rFonts w:cs="Tahoma"/>
          <w:noProof/>
          <w:sz w:val="6"/>
          <w:szCs w:val="6"/>
          <w:lang w:val="sr-Cyrl-CS"/>
        </w:rPr>
      </w:pPr>
    </w:p>
    <w:tbl>
      <w:tblPr>
        <w:tblW w:w="9358" w:type="dxa"/>
        <w:tblInd w:w="108" w:type="dxa"/>
        <w:tblLook w:val="04A0" w:firstRow="1" w:lastRow="0" w:firstColumn="1" w:lastColumn="0" w:noHBand="0" w:noVBand="1"/>
      </w:tblPr>
      <w:tblGrid>
        <w:gridCol w:w="4994"/>
        <w:gridCol w:w="2182"/>
        <w:gridCol w:w="2182"/>
      </w:tblGrid>
      <w:tr w:rsidR="00AB476B" w:rsidRPr="00AB476B" w:rsidTr="00AB476B">
        <w:trPr>
          <w:trHeight w:val="279"/>
        </w:trPr>
        <w:tc>
          <w:tcPr>
            <w:tcW w:w="4994" w:type="dxa"/>
            <w:tcBorders>
              <w:top w:val="double" w:sz="6" w:space="0" w:color="1F497D"/>
              <w:left w:val="nil"/>
              <w:bottom w:val="double" w:sz="6" w:space="0" w:color="1F497D"/>
              <w:right w:val="nil"/>
            </w:tcBorders>
            <w:shd w:val="clear" w:color="000000" w:fill="8DB4E2"/>
            <w:noWrap/>
            <w:vAlign w:val="center"/>
            <w:hideMark/>
          </w:tcPr>
          <w:p w:rsidR="00AB476B" w:rsidRPr="00AB476B" w:rsidRDefault="00AB476B" w:rsidP="00AB476B">
            <w:pPr>
              <w:spacing w:after="0" w:line="240" w:lineRule="auto"/>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Приходи – расходи</w:t>
            </w:r>
          </w:p>
        </w:tc>
        <w:tc>
          <w:tcPr>
            <w:tcW w:w="2182" w:type="dxa"/>
            <w:tcBorders>
              <w:top w:val="double" w:sz="6" w:space="0" w:color="1F497D"/>
              <w:left w:val="nil"/>
              <w:bottom w:val="double" w:sz="6" w:space="0" w:color="1F497D"/>
              <w:right w:val="nil"/>
            </w:tcBorders>
            <w:shd w:val="clear" w:color="000000" w:fill="8DB4E2"/>
            <w:noWrap/>
            <w:vAlign w:val="center"/>
            <w:hideMark/>
          </w:tcPr>
          <w:p w:rsidR="00AB476B" w:rsidRPr="00AB476B" w:rsidRDefault="00AB476B" w:rsidP="00AB476B">
            <w:pPr>
              <w:spacing w:after="0" w:line="240" w:lineRule="auto"/>
              <w:jc w:val="right"/>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-387.349</w:t>
            </w:r>
          </w:p>
        </w:tc>
        <w:tc>
          <w:tcPr>
            <w:tcW w:w="2182" w:type="dxa"/>
            <w:tcBorders>
              <w:top w:val="double" w:sz="6" w:space="0" w:color="1F497D"/>
              <w:left w:val="nil"/>
              <w:bottom w:val="double" w:sz="6" w:space="0" w:color="1F497D"/>
              <w:right w:val="nil"/>
            </w:tcBorders>
            <w:shd w:val="clear" w:color="000000" w:fill="8DB4E2"/>
            <w:noWrap/>
            <w:vAlign w:val="center"/>
            <w:hideMark/>
          </w:tcPr>
          <w:p w:rsidR="00AB476B" w:rsidRPr="00AB476B" w:rsidRDefault="00AB476B" w:rsidP="00AB476B">
            <w:pPr>
              <w:spacing w:after="0" w:line="240" w:lineRule="auto"/>
              <w:jc w:val="right"/>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551.294</w:t>
            </w:r>
          </w:p>
        </w:tc>
      </w:tr>
    </w:tbl>
    <w:p w:rsidR="00AB476B" w:rsidRDefault="00AB476B" w:rsidP="00D95BED">
      <w:pPr>
        <w:pStyle w:val="NoSpacing"/>
        <w:spacing w:before="200" w:after="200" w:line="276" w:lineRule="auto"/>
        <w:ind w:firstLine="284"/>
        <w:jc w:val="both"/>
        <w:rPr>
          <w:rFonts w:cs="Tahoma"/>
          <w:noProof/>
          <w:sz w:val="20"/>
          <w:lang w:val="sr-Cyrl-CS"/>
        </w:rPr>
      </w:pPr>
    </w:p>
    <w:p w:rsidR="00CE7015" w:rsidRDefault="00CE7015" w:rsidP="00D95BED">
      <w:pPr>
        <w:pStyle w:val="NoSpacing"/>
        <w:spacing w:before="200" w:after="200" w:line="276" w:lineRule="auto"/>
        <w:ind w:firstLine="284"/>
        <w:jc w:val="both"/>
        <w:rPr>
          <w:rFonts w:cs="Tahoma"/>
          <w:noProof/>
          <w:sz w:val="20"/>
          <w:lang w:val="sr-Cyrl-CS"/>
        </w:rPr>
      </w:pPr>
    </w:p>
    <w:p w:rsidR="00CE7015" w:rsidRDefault="00CE7015" w:rsidP="00D95BED">
      <w:pPr>
        <w:pStyle w:val="NoSpacing"/>
        <w:spacing w:before="200" w:after="200" w:line="276" w:lineRule="auto"/>
        <w:ind w:firstLine="284"/>
        <w:jc w:val="both"/>
        <w:rPr>
          <w:rFonts w:cs="Tahoma"/>
          <w:noProof/>
          <w:sz w:val="20"/>
          <w:lang w:val="sr-Cyrl-CS"/>
        </w:rPr>
      </w:pPr>
    </w:p>
    <w:p w:rsidR="00AB476B" w:rsidRDefault="00AB476B" w:rsidP="00D95BED">
      <w:pPr>
        <w:pStyle w:val="NoSpacing"/>
        <w:spacing w:before="200" w:after="200" w:line="276" w:lineRule="auto"/>
        <w:ind w:firstLine="284"/>
        <w:jc w:val="both"/>
        <w:rPr>
          <w:rFonts w:cs="Tahoma"/>
          <w:noProof/>
          <w:sz w:val="20"/>
          <w:lang w:val="sr-Cyrl-CS"/>
        </w:rPr>
      </w:pPr>
    </w:p>
    <w:tbl>
      <w:tblPr>
        <w:tblW w:w="9280" w:type="dxa"/>
        <w:tblInd w:w="108" w:type="dxa"/>
        <w:tblLook w:val="04A0" w:firstRow="1" w:lastRow="0" w:firstColumn="1" w:lastColumn="0" w:noHBand="0" w:noVBand="1"/>
      </w:tblPr>
      <w:tblGrid>
        <w:gridCol w:w="5976"/>
        <w:gridCol w:w="1651"/>
        <w:gridCol w:w="1653"/>
      </w:tblGrid>
      <w:tr w:rsidR="00AB476B" w:rsidRPr="00AB476B" w:rsidTr="00AB476B">
        <w:trPr>
          <w:trHeight w:val="510"/>
        </w:trPr>
        <w:tc>
          <w:tcPr>
            <w:tcW w:w="5976" w:type="dxa"/>
            <w:tcBorders>
              <w:top w:val="nil"/>
              <w:left w:val="nil"/>
              <w:bottom w:val="single" w:sz="4" w:space="0" w:color="1F497D"/>
              <w:right w:val="nil"/>
            </w:tcBorders>
            <w:shd w:val="clear" w:color="auto" w:fill="auto"/>
            <w:noWrap/>
            <w:vAlign w:val="center"/>
            <w:hideMark/>
          </w:tcPr>
          <w:p w:rsidR="00AB476B" w:rsidRPr="00AB476B" w:rsidRDefault="00AB476B" w:rsidP="00AB476B">
            <w:pPr>
              <w:spacing w:after="0" w:line="240" w:lineRule="auto"/>
              <w:jc w:val="center"/>
              <w:rPr>
                <w:rFonts w:ascii="Tahoma" w:eastAsia="Times New Roman" w:hAnsi="Tahoma" w:cs="Tahoma"/>
                <w:color w:val="000000"/>
                <w:sz w:val="20"/>
                <w:szCs w:val="20"/>
                <w:lang w:val="sr-Latn-RS" w:eastAsia="sr-Latn-RS"/>
              </w:rPr>
            </w:pPr>
            <w:bookmarkStart w:id="65" w:name="_Toc254691562"/>
            <w:bookmarkStart w:id="66" w:name="_Toc254858780"/>
            <w:bookmarkStart w:id="67" w:name="RANGE!E5"/>
            <w:r w:rsidRPr="00AB476B">
              <w:rPr>
                <w:rFonts w:ascii="Tahoma" w:eastAsia="Times New Roman" w:hAnsi="Tahoma" w:cs="Tahoma"/>
                <w:color w:val="000000"/>
                <w:sz w:val="20"/>
                <w:szCs w:val="20"/>
                <w:lang w:val="sr-Cyrl-CS" w:eastAsia="sr-Latn-RS"/>
              </w:rPr>
              <w:t>АКТИВА</w:t>
            </w:r>
            <w:bookmarkEnd w:id="65"/>
            <w:bookmarkEnd w:id="66"/>
            <w:bookmarkEnd w:id="67"/>
          </w:p>
        </w:tc>
        <w:tc>
          <w:tcPr>
            <w:tcW w:w="1651" w:type="dxa"/>
            <w:tcBorders>
              <w:top w:val="nil"/>
              <w:left w:val="nil"/>
              <w:bottom w:val="single" w:sz="4" w:space="0" w:color="1F497D"/>
              <w:right w:val="nil"/>
            </w:tcBorders>
            <w:shd w:val="clear" w:color="auto" w:fill="auto"/>
            <w:vAlign w:val="center"/>
            <w:hideMark/>
          </w:tcPr>
          <w:p w:rsidR="00AB476B" w:rsidRPr="00AB476B" w:rsidRDefault="00AB476B" w:rsidP="00AB476B">
            <w:pPr>
              <w:spacing w:after="0" w:line="240" w:lineRule="auto"/>
              <w:jc w:val="center"/>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Текућа година</w:t>
            </w:r>
          </w:p>
        </w:tc>
        <w:tc>
          <w:tcPr>
            <w:tcW w:w="1653" w:type="dxa"/>
            <w:tcBorders>
              <w:top w:val="nil"/>
              <w:left w:val="nil"/>
              <w:bottom w:val="single" w:sz="4" w:space="0" w:color="1F497D"/>
              <w:right w:val="nil"/>
            </w:tcBorders>
            <w:shd w:val="clear" w:color="auto" w:fill="auto"/>
            <w:vAlign w:val="center"/>
            <w:hideMark/>
          </w:tcPr>
          <w:p w:rsidR="00AB476B" w:rsidRPr="00AB476B" w:rsidRDefault="00AB476B" w:rsidP="00AB476B">
            <w:pPr>
              <w:spacing w:after="0" w:line="240" w:lineRule="auto"/>
              <w:jc w:val="center"/>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Претходна година</w:t>
            </w: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Учешћа у капиталу</w:t>
            </w:r>
          </w:p>
        </w:tc>
        <w:tc>
          <w:tcPr>
            <w:tcW w:w="1651"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255.687</w:t>
            </w:r>
          </w:p>
        </w:tc>
        <w:tc>
          <w:tcPr>
            <w:tcW w:w="1653"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255.687</w:t>
            </w:r>
          </w:p>
        </w:tc>
      </w:tr>
      <w:tr w:rsidR="00AB476B" w:rsidRPr="00AB476B" w:rsidTr="00AB476B">
        <w:trPr>
          <w:trHeight w:val="300"/>
        </w:trPr>
        <w:tc>
          <w:tcPr>
            <w:tcW w:w="5976"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Исправка вредности учешћа у капиталу</w:t>
            </w:r>
          </w:p>
        </w:tc>
        <w:tc>
          <w:tcPr>
            <w:tcW w:w="1651"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-205.097</w:t>
            </w:r>
          </w:p>
        </w:tc>
        <w:tc>
          <w:tcPr>
            <w:tcW w:w="1653"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-178.333</w:t>
            </w: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Потраживања по основу премије</w:t>
            </w:r>
          </w:p>
        </w:tc>
        <w:tc>
          <w:tcPr>
            <w:tcW w:w="1651"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485.735</w:t>
            </w:r>
          </w:p>
        </w:tc>
        <w:tc>
          <w:tcPr>
            <w:tcW w:w="1653"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198.220</w:t>
            </w:r>
          </w:p>
        </w:tc>
      </w:tr>
      <w:tr w:rsidR="00AB476B" w:rsidRPr="00AB476B" w:rsidTr="00AB476B">
        <w:trPr>
          <w:trHeight w:val="300"/>
        </w:trPr>
        <w:tc>
          <w:tcPr>
            <w:tcW w:w="5976"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Потраживање по основу провизије</w:t>
            </w:r>
          </w:p>
        </w:tc>
        <w:tc>
          <w:tcPr>
            <w:tcW w:w="1651"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2302</w:t>
            </w:r>
          </w:p>
        </w:tc>
        <w:tc>
          <w:tcPr>
            <w:tcW w:w="1653"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637</w:t>
            </w: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Потраживање по основу регресних захтева</w:t>
            </w:r>
          </w:p>
        </w:tc>
        <w:tc>
          <w:tcPr>
            <w:tcW w:w="1651"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509</w:t>
            </w:r>
          </w:p>
        </w:tc>
        <w:tc>
          <w:tcPr>
            <w:tcW w:w="1653"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p>
        </w:tc>
      </w:tr>
      <w:tr w:rsidR="00AB476B" w:rsidRPr="00AB476B" w:rsidTr="00AB476B">
        <w:trPr>
          <w:trHeight w:val="300"/>
        </w:trPr>
        <w:tc>
          <w:tcPr>
            <w:tcW w:w="5976"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Latn-RS" w:eastAsia="sr-Latn-RS"/>
              </w:rPr>
              <w:t>Укупно потраживање из специфичних послова</w:t>
            </w:r>
          </w:p>
        </w:tc>
        <w:tc>
          <w:tcPr>
            <w:tcW w:w="1651"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Latn-RS" w:eastAsia="sr-Latn-RS"/>
              </w:rPr>
              <w:t>5</w:t>
            </w:r>
          </w:p>
        </w:tc>
        <w:tc>
          <w:tcPr>
            <w:tcW w:w="1653"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Остала потраживања</w:t>
            </w:r>
          </w:p>
        </w:tc>
        <w:tc>
          <w:tcPr>
            <w:tcW w:w="1651"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456</w:t>
            </w:r>
          </w:p>
        </w:tc>
        <w:tc>
          <w:tcPr>
            <w:tcW w:w="1653"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23</w:t>
            </w:r>
          </w:p>
        </w:tc>
      </w:tr>
      <w:tr w:rsidR="00AB476B" w:rsidRPr="00AB476B" w:rsidTr="00AB476B">
        <w:trPr>
          <w:trHeight w:val="300"/>
        </w:trPr>
        <w:tc>
          <w:tcPr>
            <w:tcW w:w="5976"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Исправка вредности укупних потраживања</w:t>
            </w:r>
          </w:p>
        </w:tc>
        <w:tc>
          <w:tcPr>
            <w:tcW w:w="1651"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-24157</w:t>
            </w:r>
          </w:p>
        </w:tc>
        <w:tc>
          <w:tcPr>
            <w:tcW w:w="1653"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-357</w:t>
            </w: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Унапред плаћени трошкови</w:t>
            </w:r>
          </w:p>
        </w:tc>
        <w:tc>
          <w:tcPr>
            <w:tcW w:w="1651"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688</w:t>
            </w:r>
          </w:p>
        </w:tc>
        <w:tc>
          <w:tcPr>
            <w:tcW w:w="1653"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68</w:t>
            </w:r>
          </w:p>
        </w:tc>
      </w:tr>
      <w:tr w:rsidR="00AB476B" w:rsidRPr="00AB476B" w:rsidTr="00AB476B">
        <w:trPr>
          <w:trHeight w:val="300"/>
        </w:trPr>
        <w:tc>
          <w:tcPr>
            <w:tcW w:w="5976"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Потраживање за нефактурисани приход</w:t>
            </w:r>
          </w:p>
        </w:tc>
        <w:tc>
          <w:tcPr>
            <w:tcW w:w="1651"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150</w:t>
            </w:r>
          </w:p>
        </w:tc>
        <w:tc>
          <w:tcPr>
            <w:tcW w:w="1653"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2.320</w:t>
            </w:r>
          </w:p>
        </w:tc>
      </w:tr>
      <w:tr w:rsidR="00AB476B" w:rsidRPr="00AB476B" w:rsidTr="00AB476B">
        <w:trPr>
          <w:trHeight w:val="315"/>
        </w:trPr>
        <w:tc>
          <w:tcPr>
            <w:tcW w:w="5976" w:type="dxa"/>
            <w:tcBorders>
              <w:top w:val="nil"/>
              <w:left w:val="nil"/>
              <w:bottom w:val="double" w:sz="6" w:space="0" w:color="1F497D"/>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Готовина и готовински еквиваленти</w:t>
            </w:r>
          </w:p>
        </w:tc>
        <w:tc>
          <w:tcPr>
            <w:tcW w:w="1651" w:type="dxa"/>
            <w:tcBorders>
              <w:top w:val="nil"/>
              <w:left w:val="nil"/>
              <w:bottom w:val="double" w:sz="6" w:space="0" w:color="1F497D"/>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17</w:t>
            </w:r>
          </w:p>
        </w:tc>
        <w:tc>
          <w:tcPr>
            <w:tcW w:w="1653" w:type="dxa"/>
            <w:tcBorders>
              <w:top w:val="nil"/>
              <w:left w:val="nil"/>
              <w:bottom w:val="double" w:sz="6" w:space="0" w:color="1F497D"/>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18.111</w:t>
            </w:r>
          </w:p>
        </w:tc>
      </w:tr>
      <w:tr w:rsidR="00AB476B" w:rsidRPr="00AB476B" w:rsidTr="00AB476B">
        <w:trPr>
          <w:trHeight w:val="315"/>
        </w:trPr>
        <w:tc>
          <w:tcPr>
            <w:tcW w:w="5976" w:type="dxa"/>
            <w:tcBorders>
              <w:top w:val="nil"/>
              <w:left w:val="nil"/>
              <w:bottom w:val="single" w:sz="4" w:space="0" w:color="1F497D"/>
              <w:right w:val="nil"/>
            </w:tcBorders>
            <w:shd w:val="clear" w:color="000000" w:fill="DCE6F1"/>
            <w:noWrap/>
            <w:vAlign w:val="center"/>
            <w:hideMark/>
          </w:tcPr>
          <w:p w:rsidR="00AB476B" w:rsidRPr="00AB476B" w:rsidRDefault="00AB476B" w:rsidP="00AB476B">
            <w:pPr>
              <w:spacing w:after="0" w:line="240" w:lineRule="auto"/>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Укупна актива</w:t>
            </w:r>
          </w:p>
        </w:tc>
        <w:tc>
          <w:tcPr>
            <w:tcW w:w="1651" w:type="dxa"/>
            <w:tcBorders>
              <w:top w:val="nil"/>
              <w:left w:val="nil"/>
              <w:bottom w:val="single" w:sz="4" w:space="0" w:color="1F497D"/>
              <w:right w:val="nil"/>
            </w:tcBorders>
            <w:shd w:val="clear" w:color="000000" w:fill="DCE6F1"/>
            <w:vAlign w:val="center"/>
            <w:hideMark/>
          </w:tcPr>
          <w:p w:rsidR="00AB476B" w:rsidRPr="00AB476B" w:rsidRDefault="00AB476B" w:rsidP="00AB476B">
            <w:pPr>
              <w:spacing w:after="0" w:line="240" w:lineRule="auto"/>
              <w:jc w:val="right"/>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516.295</w:t>
            </w:r>
          </w:p>
        </w:tc>
        <w:tc>
          <w:tcPr>
            <w:tcW w:w="1653" w:type="dxa"/>
            <w:tcBorders>
              <w:top w:val="nil"/>
              <w:left w:val="nil"/>
              <w:bottom w:val="single" w:sz="4" w:space="0" w:color="1F497D"/>
              <w:right w:val="nil"/>
            </w:tcBorders>
            <w:shd w:val="clear" w:color="000000" w:fill="DCE6F1"/>
            <w:vAlign w:val="center"/>
            <w:hideMark/>
          </w:tcPr>
          <w:p w:rsidR="00AB476B" w:rsidRPr="00AB476B" w:rsidRDefault="00AB476B" w:rsidP="00AB476B">
            <w:pPr>
              <w:spacing w:after="0" w:line="240" w:lineRule="auto"/>
              <w:jc w:val="right"/>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296.376</w:t>
            </w:r>
          </w:p>
        </w:tc>
      </w:tr>
    </w:tbl>
    <w:p w:rsidR="00AB476B" w:rsidRDefault="00AB476B" w:rsidP="00D95BED">
      <w:pPr>
        <w:pStyle w:val="NoSpacing"/>
        <w:spacing w:before="200" w:after="200" w:line="276" w:lineRule="auto"/>
        <w:ind w:firstLine="284"/>
        <w:jc w:val="both"/>
        <w:rPr>
          <w:rFonts w:cs="Tahoma"/>
          <w:noProof/>
          <w:sz w:val="20"/>
          <w:lang w:val="sr-Cyrl-CS"/>
        </w:rPr>
      </w:pPr>
    </w:p>
    <w:tbl>
      <w:tblPr>
        <w:tblW w:w="9280" w:type="dxa"/>
        <w:tblInd w:w="108" w:type="dxa"/>
        <w:tblLook w:val="04A0" w:firstRow="1" w:lastRow="0" w:firstColumn="1" w:lastColumn="0" w:noHBand="0" w:noVBand="1"/>
      </w:tblPr>
      <w:tblGrid>
        <w:gridCol w:w="5976"/>
        <w:gridCol w:w="1650"/>
        <w:gridCol w:w="1654"/>
      </w:tblGrid>
      <w:tr w:rsidR="00AB476B" w:rsidRPr="00AB476B" w:rsidTr="00AB476B">
        <w:trPr>
          <w:trHeight w:val="510"/>
        </w:trPr>
        <w:tc>
          <w:tcPr>
            <w:tcW w:w="5976" w:type="dxa"/>
            <w:tcBorders>
              <w:top w:val="single" w:sz="4" w:space="0" w:color="1F497D"/>
              <w:left w:val="nil"/>
              <w:bottom w:val="single" w:sz="4" w:space="0" w:color="1F497D"/>
              <w:right w:val="nil"/>
            </w:tcBorders>
            <w:shd w:val="clear" w:color="auto" w:fill="auto"/>
            <w:noWrap/>
            <w:vAlign w:val="center"/>
            <w:hideMark/>
          </w:tcPr>
          <w:p w:rsidR="00AB476B" w:rsidRPr="00AB476B" w:rsidRDefault="00AB476B" w:rsidP="00AB476B">
            <w:pPr>
              <w:spacing w:after="0" w:line="240" w:lineRule="auto"/>
              <w:jc w:val="center"/>
              <w:rPr>
                <w:rFonts w:ascii="Tahoma" w:eastAsia="Times New Roman" w:hAnsi="Tahoma" w:cs="Tahoma"/>
                <w:b/>
                <w:bCs/>
                <w:color w:val="000000"/>
                <w:sz w:val="20"/>
                <w:szCs w:val="20"/>
                <w:lang w:val="sr-Latn-RS" w:eastAsia="sr-Latn-RS"/>
              </w:rPr>
            </w:pPr>
            <w:r w:rsidRPr="00AB476B">
              <w:rPr>
                <w:rFonts w:ascii="Tahoma" w:eastAsia="Times New Roman" w:hAnsi="Tahoma" w:cs="Tahoma"/>
                <w:b/>
                <w:bCs/>
                <w:color w:val="000000"/>
                <w:sz w:val="20"/>
                <w:szCs w:val="20"/>
                <w:lang w:val="sr-Cyrl-CS" w:eastAsia="sr-Latn-RS"/>
              </w:rPr>
              <w:t>ПАСИВА</w:t>
            </w:r>
          </w:p>
        </w:tc>
        <w:tc>
          <w:tcPr>
            <w:tcW w:w="1650" w:type="dxa"/>
            <w:tcBorders>
              <w:top w:val="single" w:sz="4" w:space="0" w:color="1F497D"/>
              <w:left w:val="nil"/>
              <w:bottom w:val="single" w:sz="4" w:space="0" w:color="1F497D"/>
              <w:right w:val="nil"/>
            </w:tcBorders>
            <w:shd w:val="clear" w:color="auto" w:fill="auto"/>
            <w:vAlign w:val="center"/>
            <w:hideMark/>
          </w:tcPr>
          <w:p w:rsidR="00AB476B" w:rsidRPr="00AB476B" w:rsidRDefault="00AB476B" w:rsidP="00AB476B">
            <w:pPr>
              <w:spacing w:after="0" w:line="240" w:lineRule="auto"/>
              <w:jc w:val="center"/>
              <w:rPr>
                <w:rFonts w:ascii="Tahoma" w:eastAsia="Times New Roman" w:hAnsi="Tahoma" w:cs="Tahoma"/>
                <w:b/>
                <w:bCs/>
                <w:color w:val="000000"/>
                <w:sz w:val="20"/>
                <w:szCs w:val="20"/>
                <w:lang w:val="sr-Latn-RS" w:eastAsia="sr-Latn-RS"/>
              </w:rPr>
            </w:pPr>
            <w:r w:rsidRPr="00AB476B">
              <w:rPr>
                <w:rFonts w:ascii="Tahoma" w:eastAsia="Times New Roman" w:hAnsi="Tahoma" w:cs="Tahoma"/>
                <w:b/>
                <w:bCs/>
                <w:color w:val="000000"/>
                <w:sz w:val="20"/>
                <w:szCs w:val="20"/>
                <w:lang w:val="sr-Cyrl-CS" w:eastAsia="sr-Latn-RS"/>
              </w:rPr>
              <w:t>Текућа година</w:t>
            </w:r>
          </w:p>
        </w:tc>
        <w:tc>
          <w:tcPr>
            <w:tcW w:w="1654" w:type="dxa"/>
            <w:tcBorders>
              <w:top w:val="single" w:sz="4" w:space="0" w:color="1F497D"/>
              <w:left w:val="nil"/>
              <w:bottom w:val="single" w:sz="4" w:space="0" w:color="1F497D"/>
              <w:right w:val="nil"/>
            </w:tcBorders>
            <w:shd w:val="clear" w:color="auto" w:fill="auto"/>
            <w:vAlign w:val="center"/>
            <w:hideMark/>
          </w:tcPr>
          <w:p w:rsidR="00AB476B" w:rsidRPr="00AB476B" w:rsidRDefault="00AB476B" w:rsidP="00AB476B">
            <w:pPr>
              <w:spacing w:after="0" w:line="240" w:lineRule="auto"/>
              <w:jc w:val="center"/>
              <w:rPr>
                <w:rFonts w:ascii="Tahoma" w:eastAsia="Times New Roman" w:hAnsi="Tahoma" w:cs="Tahoma"/>
                <w:b/>
                <w:bCs/>
                <w:color w:val="000000"/>
                <w:sz w:val="20"/>
                <w:szCs w:val="20"/>
                <w:lang w:val="sr-Latn-RS" w:eastAsia="sr-Latn-RS"/>
              </w:rPr>
            </w:pPr>
            <w:r w:rsidRPr="00AB476B">
              <w:rPr>
                <w:rFonts w:ascii="Tahoma" w:eastAsia="Times New Roman" w:hAnsi="Tahoma" w:cs="Tahoma"/>
                <w:b/>
                <w:bCs/>
                <w:color w:val="000000"/>
                <w:sz w:val="20"/>
                <w:szCs w:val="20"/>
                <w:lang w:val="sr-Cyrl-CS" w:eastAsia="sr-Latn-RS"/>
              </w:rPr>
              <w:t>Претходна година</w:t>
            </w: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Акцијски капитал</w:t>
            </w:r>
          </w:p>
        </w:tc>
        <w:tc>
          <w:tcPr>
            <w:tcW w:w="1650"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676.134</w:t>
            </w:r>
          </w:p>
        </w:tc>
        <w:tc>
          <w:tcPr>
            <w:tcW w:w="1654"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676.134</w:t>
            </w:r>
          </w:p>
        </w:tc>
      </w:tr>
      <w:tr w:rsidR="00AB476B" w:rsidRPr="00AB476B" w:rsidTr="00AB476B">
        <w:trPr>
          <w:trHeight w:val="300"/>
        </w:trPr>
        <w:tc>
          <w:tcPr>
            <w:tcW w:w="5976"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Емисиона премија</w:t>
            </w:r>
          </w:p>
        </w:tc>
        <w:tc>
          <w:tcPr>
            <w:tcW w:w="1650"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57.996</w:t>
            </w:r>
          </w:p>
        </w:tc>
        <w:tc>
          <w:tcPr>
            <w:tcW w:w="1654"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57.996</w:t>
            </w: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Нереализовани  добици/губитци по основу Хов</w:t>
            </w:r>
          </w:p>
        </w:tc>
        <w:tc>
          <w:tcPr>
            <w:tcW w:w="1650"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0</w:t>
            </w:r>
          </w:p>
        </w:tc>
        <w:tc>
          <w:tcPr>
            <w:tcW w:w="1654"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0</w:t>
            </w:r>
          </w:p>
        </w:tc>
      </w:tr>
      <w:tr w:rsidR="00AB476B" w:rsidRPr="00AB476B" w:rsidTr="00AB476B">
        <w:trPr>
          <w:trHeight w:val="300"/>
        </w:trPr>
        <w:tc>
          <w:tcPr>
            <w:tcW w:w="5976"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Обавезе по основу штета и уговорених износа из  реосигурања</w:t>
            </w:r>
          </w:p>
        </w:tc>
        <w:tc>
          <w:tcPr>
            <w:tcW w:w="1650"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182.407</w:t>
            </w:r>
          </w:p>
        </w:tc>
        <w:tc>
          <w:tcPr>
            <w:tcW w:w="1654"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112.839</w:t>
            </w: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Обавезе за провизије из послова реосигурања</w:t>
            </w:r>
          </w:p>
        </w:tc>
        <w:tc>
          <w:tcPr>
            <w:tcW w:w="1650"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27.626</w:t>
            </w:r>
          </w:p>
        </w:tc>
        <w:tc>
          <w:tcPr>
            <w:tcW w:w="1654"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14.389</w:t>
            </w:r>
          </w:p>
        </w:tc>
      </w:tr>
      <w:tr w:rsidR="00AB476B" w:rsidRPr="00AB476B" w:rsidTr="00AB476B">
        <w:trPr>
          <w:trHeight w:val="300"/>
        </w:trPr>
        <w:tc>
          <w:tcPr>
            <w:tcW w:w="5976" w:type="dxa"/>
            <w:tcBorders>
              <w:top w:val="nil"/>
              <w:left w:val="nil"/>
              <w:bottom w:val="nil"/>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Обавезе за поврат премије реосигурања</w:t>
            </w:r>
          </w:p>
        </w:tc>
        <w:tc>
          <w:tcPr>
            <w:tcW w:w="1650"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282</w:t>
            </w:r>
          </w:p>
        </w:tc>
        <w:tc>
          <w:tcPr>
            <w:tcW w:w="1654" w:type="dxa"/>
            <w:tcBorders>
              <w:top w:val="nil"/>
              <w:left w:val="nil"/>
              <w:bottom w:val="nil"/>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2.501</w:t>
            </w:r>
          </w:p>
        </w:tc>
      </w:tr>
      <w:tr w:rsidR="00AB476B" w:rsidRPr="00AB476B" w:rsidTr="00AB476B">
        <w:trPr>
          <w:trHeight w:val="300"/>
        </w:trPr>
        <w:tc>
          <w:tcPr>
            <w:tcW w:w="5976" w:type="dxa"/>
            <w:tcBorders>
              <w:top w:val="nil"/>
              <w:left w:val="nil"/>
              <w:bottom w:val="nil"/>
              <w:right w:val="nil"/>
            </w:tcBorders>
            <w:shd w:val="clear" w:color="auto" w:fill="DBE5F1" w:themeFill="accent1" w:themeFillTint="33"/>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Добављачи у земљи</w:t>
            </w:r>
          </w:p>
        </w:tc>
        <w:tc>
          <w:tcPr>
            <w:tcW w:w="1650"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1.442</w:t>
            </w:r>
          </w:p>
        </w:tc>
        <w:tc>
          <w:tcPr>
            <w:tcW w:w="1654" w:type="dxa"/>
            <w:tcBorders>
              <w:top w:val="nil"/>
              <w:left w:val="nil"/>
              <w:bottom w:val="nil"/>
              <w:right w:val="nil"/>
            </w:tcBorders>
            <w:shd w:val="clear" w:color="auto" w:fill="DBE5F1" w:themeFill="accent1" w:themeFillTint="33"/>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1.150</w:t>
            </w:r>
          </w:p>
        </w:tc>
      </w:tr>
      <w:tr w:rsidR="00AB476B" w:rsidRPr="00AB476B" w:rsidTr="00AB476B">
        <w:trPr>
          <w:trHeight w:val="315"/>
        </w:trPr>
        <w:tc>
          <w:tcPr>
            <w:tcW w:w="5976" w:type="dxa"/>
            <w:tcBorders>
              <w:top w:val="nil"/>
              <w:left w:val="nil"/>
              <w:bottom w:val="double" w:sz="6" w:space="0" w:color="1F497D"/>
              <w:right w:val="nil"/>
            </w:tcBorders>
            <w:shd w:val="clear" w:color="auto" w:fill="auto"/>
            <w:noWrap/>
            <w:vAlign w:val="center"/>
            <w:hideMark/>
          </w:tcPr>
          <w:p w:rsidR="00AB476B" w:rsidRPr="00AB476B" w:rsidRDefault="00AB476B" w:rsidP="00AB476B">
            <w:pPr>
              <w:spacing w:after="0" w:line="240" w:lineRule="auto"/>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ПВР-Обрачунати трошкови који нису фактурисани</w:t>
            </w:r>
          </w:p>
        </w:tc>
        <w:tc>
          <w:tcPr>
            <w:tcW w:w="1650" w:type="dxa"/>
            <w:tcBorders>
              <w:top w:val="nil"/>
              <w:left w:val="nil"/>
              <w:bottom w:val="double" w:sz="6" w:space="0" w:color="1F497D"/>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0</w:t>
            </w:r>
          </w:p>
        </w:tc>
        <w:tc>
          <w:tcPr>
            <w:tcW w:w="1654" w:type="dxa"/>
            <w:tcBorders>
              <w:top w:val="nil"/>
              <w:left w:val="nil"/>
              <w:bottom w:val="double" w:sz="6" w:space="0" w:color="1F497D"/>
              <w:right w:val="nil"/>
            </w:tcBorders>
            <w:shd w:val="clear" w:color="auto" w:fill="auto"/>
            <w:vAlign w:val="center"/>
            <w:hideMark/>
          </w:tcPr>
          <w:p w:rsidR="00AB476B" w:rsidRPr="00AB476B" w:rsidRDefault="00AB476B" w:rsidP="00AB476B">
            <w:pPr>
              <w:spacing w:after="0" w:line="240" w:lineRule="auto"/>
              <w:jc w:val="right"/>
              <w:rPr>
                <w:rFonts w:ascii="Tahoma" w:eastAsia="Times New Roman" w:hAnsi="Tahoma" w:cs="Tahoma"/>
                <w:color w:val="000000"/>
                <w:sz w:val="20"/>
                <w:szCs w:val="20"/>
                <w:lang w:val="sr-Latn-RS" w:eastAsia="sr-Latn-RS"/>
              </w:rPr>
            </w:pPr>
            <w:r w:rsidRPr="00AB476B">
              <w:rPr>
                <w:rFonts w:ascii="Tahoma" w:eastAsia="Times New Roman" w:hAnsi="Tahoma" w:cs="Tahoma"/>
                <w:color w:val="000000"/>
                <w:sz w:val="20"/>
                <w:szCs w:val="20"/>
                <w:lang w:val="sr-Cyrl-CS" w:eastAsia="sr-Latn-RS"/>
              </w:rPr>
              <w:t>0</w:t>
            </w:r>
          </w:p>
        </w:tc>
      </w:tr>
      <w:tr w:rsidR="00AB476B" w:rsidRPr="00AB476B" w:rsidTr="00AB476B">
        <w:trPr>
          <w:trHeight w:val="315"/>
        </w:trPr>
        <w:tc>
          <w:tcPr>
            <w:tcW w:w="5976" w:type="dxa"/>
            <w:tcBorders>
              <w:top w:val="nil"/>
              <w:left w:val="nil"/>
              <w:bottom w:val="single" w:sz="4" w:space="0" w:color="1F497D"/>
              <w:right w:val="nil"/>
            </w:tcBorders>
            <w:shd w:val="clear" w:color="000000" w:fill="DCE6F1"/>
            <w:noWrap/>
            <w:vAlign w:val="center"/>
            <w:hideMark/>
          </w:tcPr>
          <w:p w:rsidR="00AB476B" w:rsidRPr="00AB476B" w:rsidRDefault="00AB476B" w:rsidP="00AB476B">
            <w:pPr>
              <w:spacing w:after="0" w:line="240" w:lineRule="auto"/>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Укупно пасива</w:t>
            </w:r>
          </w:p>
        </w:tc>
        <w:tc>
          <w:tcPr>
            <w:tcW w:w="1650" w:type="dxa"/>
            <w:tcBorders>
              <w:top w:val="nil"/>
              <w:left w:val="nil"/>
              <w:bottom w:val="single" w:sz="4" w:space="0" w:color="1F497D"/>
              <w:right w:val="nil"/>
            </w:tcBorders>
            <w:shd w:val="clear" w:color="000000" w:fill="DCE6F1"/>
            <w:vAlign w:val="center"/>
            <w:hideMark/>
          </w:tcPr>
          <w:p w:rsidR="00AB476B" w:rsidRPr="00AB476B" w:rsidRDefault="00AB476B" w:rsidP="00AB476B">
            <w:pPr>
              <w:spacing w:after="0" w:line="240" w:lineRule="auto"/>
              <w:jc w:val="right"/>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945.887</w:t>
            </w:r>
          </w:p>
        </w:tc>
        <w:tc>
          <w:tcPr>
            <w:tcW w:w="1654" w:type="dxa"/>
            <w:tcBorders>
              <w:top w:val="nil"/>
              <w:left w:val="nil"/>
              <w:bottom w:val="single" w:sz="4" w:space="0" w:color="1F497D"/>
              <w:right w:val="nil"/>
            </w:tcBorders>
            <w:shd w:val="clear" w:color="000000" w:fill="DCE6F1"/>
            <w:vAlign w:val="center"/>
            <w:hideMark/>
          </w:tcPr>
          <w:p w:rsidR="00AB476B" w:rsidRPr="00AB476B" w:rsidRDefault="00AB476B" w:rsidP="00AB476B">
            <w:pPr>
              <w:spacing w:after="0" w:line="240" w:lineRule="auto"/>
              <w:jc w:val="right"/>
              <w:rPr>
                <w:rFonts w:ascii="Tahoma" w:eastAsia="Times New Roman" w:hAnsi="Tahoma" w:cs="Tahoma"/>
                <w:b/>
                <w:bCs/>
                <w:i/>
                <w:iCs/>
                <w:color w:val="000000"/>
                <w:sz w:val="20"/>
                <w:szCs w:val="20"/>
                <w:lang w:val="sr-Latn-RS" w:eastAsia="sr-Latn-RS"/>
              </w:rPr>
            </w:pPr>
            <w:r w:rsidRPr="00AB476B">
              <w:rPr>
                <w:rFonts w:ascii="Tahoma" w:eastAsia="Times New Roman" w:hAnsi="Tahoma" w:cs="Tahoma"/>
                <w:b/>
                <w:bCs/>
                <w:i/>
                <w:iCs/>
                <w:color w:val="000000"/>
                <w:sz w:val="20"/>
                <w:szCs w:val="20"/>
                <w:lang w:val="sr-Cyrl-CS" w:eastAsia="sr-Latn-RS"/>
              </w:rPr>
              <w:t>865.009</w:t>
            </w:r>
          </w:p>
        </w:tc>
      </w:tr>
    </w:tbl>
    <w:p w:rsidR="00AB476B" w:rsidRDefault="00AB476B" w:rsidP="00D95BED">
      <w:pPr>
        <w:pStyle w:val="NoSpacing"/>
        <w:spacing w:before="200" w:after="200" w:line="276" w:lineRule="auto"/>
        <w:ind w:firstLine="284"/>
        <w:jc w:val="both"/>
        <w:rPr>
          <w:rFonts w:cs="Tahoma"/>
          <w:noProof/>
          <w:sz w:val="20"/>
          <w:lang w:val="sr-Cyrl-CS"/>
        </w:rPr>
      </w:pPr>
    </w:p>
    <w:tbl>
      <w:tblPr>
        <w:tblW w:w="9280" w:type="dxa"/>
        <w:tblInd w:w="108" w:type="dxa"/>
        <w:tblLook w:val="04A0" w:firstRow="1" w:lastRow="0" w:firstColumn="1" w:lastColumn="0" w:noHBand="0" w:noVBand="1"/>
      </w:tblPr>
      <w:tblGrid>
        <w:gridCol w:w="5976"/>
        <w:gridCol w:w="1652"/>
        <w:gridCol w:w="1652"/>
      </w:tblGrid>
      <w:tr w:rsidR="00AB476B" w:rsidRPr="00AB476B" w:rsidTr="00AB476B">
        <w:trPr>
          <w:trHeight w:val="330"/>
        </w:trPr>
        <w:tc>
          <w:tcPr>
            <w:tcW w:w="5976" w:type="dxa"/>
            <w:tcBorders>
              <w:top w:val="nil"/>
              <w:left w:val="nil"/>
              <w:bottom w:val="double" w:sz="6" w:space="0" w:color="1F497D"/>
              <w:right w:val="nil"/>
            </w:tcBorders>
            <w:shd w:val="clear" w:color="000000" w:fill="8DB4E2"/>
            <w:noWrap/>
            <w:vAlign w:val="center"/>
            <w:hideMark/>
          </w:tcPr>
          <w:p w:rsidR="00AB476B" w:rsidRPr="00AB476B" w:rsidRDefault="00AB476B" w:rsidP="00AB476B">
            <w:pPr>
              <w:spacing w:after="0" w:line="240" w:lineRule="auto"/>
              <w:rPr>
                <w:rFonts w:ascii="Tahoma" w:eastAsia="Times New Roman" w:hAnsi="Tahoma" w:cs="Tahoma"/>
                <w:b/>
                <w:bCs/>
                <w:color w:val="000000"/>
                <w:sz w:val="20"/>
                <w:szCs w:val="20"/>
                <w:lang w:val="sr-Latn-RS" w:eastAsia="sr-Latn-RS"/>
              </w:rPr>
            </w:pPr>
            <w:r w:rsidRPr="00AB476B">
              <w:rPr>
                <w:rFonts w:ascii="Tahoma" w:eastAsia="Times New Roman" w:hAnsi="Tahoma" w:cs="Tahoma"/>
                <w:b/>
                <w:bCs/>
                <w:color w:val="000000"/>
                <w:sz w:val="20"/>
                <w:szCs w:val="20"/>
                <w:lang w:val="sr-Cyrl-CS" w:eastAsia="sr-Latn-RS"/>
              </w:rPr>
              <w:t>Актива /(пасива), нето</w:t>
            </w:r>
          </w:p>
        </w:tc>
        <w:tc>
          <w:tcPr>
            <w:tcW w:w="1652" w:type="dxa"/>
            <w:tcBorders>
              <w:top w:val="nil"/>
              <w:left w:val="nil"/>
              <w:bottom w:val="double" w:sz="6" w:space="0" w:color="1F497D"/>
              <w:right w:val="nil"/>
            </w:tcBorders>
            <w:shd w:val="clear" w:color="000000" w:fill="8DB4E2"/>
            <w:vAlign w:val="center"/>
            <w:hideMark/>
          </w:tcPr>
          <w:p w:rsidR="00AB476B" w:rsidRPr="00AB476B" w:rsidRDefault="00AB476B" w:rsidP="00AB476B">
            <w:pPr>
              <w:spacing w:after="0" w:line="240" w:lineRule="auto"/>
              <w:jc w:val="right"/>
              <w:rPr>
                <w:rFonts w:ascii="Tahoma" w:eastAsia="Times New Roman" w:hAnsi="Tahoma" w:cs="Tahoma"/>
                <w:b/>
                <w:bCs/>
                <w:color w:val="000000"/>
                <w:sz w:val="20"/>
                <w:szCs w:val="20"/>
                <w:lang w:val="sr-Latn-RS" w:eastAsia="sr-Latn-RS"/>
              </w:rPr>
            </w:pPr>
            <w:r w:rsidRPr="00AB476B">
              <w:rPr>
                <w:rFonts w:ascii="Tahoma" w:eastAsia="Times New Roman" w:hAnsi="Tahoma" w:cs="Tahoma"/>
                <w:b/>
                <w:bCs/>
                <w:color w:val="000000"/>
                <w:sz w:val="20"/>
                <w:szCs w:val="20"/>
                <w:lang w:val="sr-Cyrl-CS" w:eastAsia="sr-Latn-RS"/>
              </w:rPr>
              <w:t>-429.592</w:t>
            </w:r>
          </w:p>
        </w:tc>
        <w:tc>
          <w:tcPr>
            <w:tcW w:w="1652" w:type="dxa"/>
            <w:tcBorders>
              <w:top w:val="nil"/>
              <w:left w:val="nil"/>
              <w:bottom w:val="double" w:sz="6" w:space="0" w:color="1F497D"/>
              <w:right w:val="nil"/>
            </w:tcBorders>
            <w:shd w:val="clear" w:color="000000" w:fill="8DB4E2"/>
            <w:vAlign w:val="center"/>
            <w:hideMark/>
          </w:tcPr>
          <w:p w:rsidR="00AB476B" w:rsidRPr="00AB476B" w:rsidRDefault="00AB476B" w:rsidP="00AB476B">
            <w:pPr>
              <w:spacing w:after="0" w:line="240" w:lineRule="auto"/>
              <w:jc w:val="right"/>
              <w:rPr>
                <w:rFonts w:ascii="Tahoma" w:eastAsia="Times New Roman" w:hAnsi="Tahoma" w:cs="Tahoma"/>
                <w:b/>
                <w:bCs/>
                <w:color w:val="000000"/>
                <w:sz w:val="20"/>
                <w:szCs w:val="20"/>
                <w:lang w:val="sr-Latn-RS" w:eastAsia="sr-Latn-RS"/>
              </w:rPr>
            </w:pPr>
            <w:r w:rsidRPr="00AB476B">
              <w:rPr>
                <w:rFonts w:ascii="Tahoma" w:eastAsia="Times New Roman" w:hAnsi="Tahoma" w:cs="Tahoma"/>
                <w:b/>
                <w:bCs/>
                <w:color w:val="000000"/>
                <w:sz w:val="20"/>
                <w:szCs w:val="20"/>
                <w:lang w:val="sr-Cyrl-CS" w:eastAsia="sr-Latn-RS"/>
              </w:rPr>
              <w:t>-568.633</w:t>
            </w:r>
          </w:p>
        </w:tc>
      </w:tr>
    </w:tbl>
    <w:p w:rsidR="00CA531C" w:rsidRPr="00BF6376" w:rsidRDefault="00CA531C" w:rsidP="00CA531C">
      <w:pPr>
        <w:pStyle w:val="NoSpacing"/>
        <w:spacing w:before="120" w:after="120" w:line="276" w:lineRule="auto"/>
        <w:ind w:firstLine="284"/>
        <w:jc w:val="both"/>
        <w:rPr>
          <w:rFonts w:cs="Tahoma"/>
          <w:noProof/>
          <w:sz w:val="20"/>
          <w:szCs w:val="20"/>
          <w:highlight w:val="yellow"/>
          <w:lang w:val="sr-Cyrl-CS"/>
        </w:rPr>
      </w:pPr>
      <w:r w:rsidRPr="00FF2BB5">
        <w:rPr>
          <w:rFonts w:cs="Tahoma"/>
          <w:noProof/>
          <w:sz w:val="20"/>
          <w:szCs w:val="20"/>
          <w:lang w:val="sr-Cyrl-CS"/>
        </w:rPr>
        <w:t>Планом пословања за 201</w:t>
      </w:r>
      <w:r w:rsidR="00FF2BB5" w:rsidRPr="00FF2BB5">
        <w:rPr>
          <w:rFonts w:cs="Tahoma"/>
          <w:noProof/>
          <w:sz w:val="20"/>
          <w:szCs w:val="20"/>
          <w:lang w:val="sr-Cyrl-CS"/>
        </w:rPr>
        <w:t>6</w:t>
      </w:r>
      <w:r w:rsidRPr="00FF2BB5">
        <w:rPr>
          <w:rFonts w:cs="Tahoma"/>
          <w:noProof/>
          <w:sz w:val="20"/>
          <w:szCs w:val="20"/>
          <w:lang w:val="sr-Cyrl-CS"/>
        </w:rPr>
        <w:t>. годину предвиђен је наставак пословне сарадње са повезаним правним лицима према потребама Друштва, а у оквиру редовне делатности.</w:t>
      </w:r>
    </w:p>
    <w:p w:rsidR="008C2B46" w:rsidRPr="00700C18" w:rsidRDefault="008C2B46" w:rsidP="00860C32">
      <w:pPr>
        <w:pStyle w:val="Heading1"/>
        <w:numPr>
          <w:ilvl w:val="0"/>
          <w:numId w:val="28"/>
        </w:numPr>
      </w:pPr>
      <w:bookmarkStart w:id="68" w:name="_Toc362514666"/>
      <w:bookmarkStart w:id="69" w:name="_Toc445975049"/>
      <w:bookmarkStart w:id="70" w:name="_Toc319069799"/>
      <w:r w:rsidRPr="00700C18">
        <w:t>ОЦЕНА РИЗИКА</w:t>
      </w:r>
      <w:bookmarkEnd w:id="68"/>
      <w:bookmarkEnd w:id="69"/>
    </w:p>
    <w:p w:rsidR="00996BC3" w:rsidRPr="00BF6376" w:rsidRDefault="00996BC3" w:rsidP="00996BC3">
      <w:pPr>
        <w:rPr>
          <w:noProof/>
          <w:sz w:val="2"/>
          <w:szCs w:val="2"/>
          <w:highlight w:val="yellow"/>
          <w:lang w:val="sr-Cyrl-CS" w:eastAsia="ar-SA"/>
        </w:rPr>
      </w:pPr>
    </w:p>
    <w:p w:rsidR="00996BC3" w:rsidRPr="00FF2BB5" w:rsidRDefault="00996BC3" w:rsidP="00A726B9">
      <w:pPr>
        <w:pStyle w:val="NoSpacing"/>
        <w:spacing w:before="120" w:after="120" w:line="276" w:lineRule="auto"/>
        <w:ind w:firstLine="284"/>
        <w:jc w:val="both"/>
        <w:rPr>
          <w:rFonts w:cs="Tahoma"/>
          <w:noProof/>
          <w:sz w:val="20"/>
          <w:szCs w:val="20"/>
          <w:lang w:val="sr-Cyrl-CS"/>
        </w:rPr>
      </w:pPr>
      <w:r w:rsidRPr="00FF2BB5">
        <w:rPr>
          <w:rFonts w:cs="Tahoma"/>
          <w:noProof/>
          <w:sz w:val="20"/>
          <w:szCs w:val="20"/>
          <w:lang w:val="sr-Cyrl-CS"/>
        </w:rPr>
        <w:t>Друштвo организујe, примењује и развија систем интерних контрола и управљања ризицима у складу са чланом 51. Закона о осигурању, Одлуком о систему интерних контрола и управљању ризицима у пословању друштва за осигурање („Службени гласник РС“ бр. 12/2007) и Правилником Друштва о основама система интерних контрола и упр</w:t>
      </w:r>
      <w:r w:rsidR="00A726B9" w:rsidRPr="00FF2BB5">
        <w:rPr>
          <w:rFonts w:cs="Tahoma"/>
          <w:noProof/>
          <w:sz w:val="20"/>
          <w:szCs w:val="20"/>
          <w:lang w:val="sr-Cyrl-CS"/>
        </w:rPr>
        <w:t>ављању ризицима у пословању од 26</w:t>
      </w:r>
      <w:r w:rsidRPr="00FF2BB5">
        <w:rPr>
          <w:rFonts w:cs="Tahoma"/>
          <w:noProof/>
          <w:sz w:val="20"/>
          <w:szCs w:val="20"/>
          <w:lang w:val="sr-Cyrl-CS"/>
        </w:rPr>
        <w:t>.0</w:t>
      </w:r>
      <w:r w:rsidR="00A726B9" w:rsidRPr="00FF2BB5">
        <w:rPr>
          <w:rFonts w:cs="Tahoma"/>
          <w:noProof/>
          <w:sz w:val="20"/>
          <w:szCs w:val="20"/>
          <w:lang w:val="sr-Cyrl-CS"/>
        </w:rPr>
        <w:t>4</w:t>
      </w:r>
      <w:r w:rsidRPr="00FF2BB5">
        <w:rPr>
          <w:rFonts w:cs="Tahoma"/>
          <w:noProof/>
          <w:sz w:val="20"/>
          <w:szCs w:val="20"/>
          <w:lang w:val="sr-Cyrl-CS"/>
        </w:rPr>
        <w:t>.20</w:t>
      </w:r>
      <w:r w:rsidR="00A726B9" w:rsidRPr="00FF2BB5">
        <w:rPr>
          <w:rFonts w:cs="Tahoma"/>
          <w:noProof/>
          <w:sz w:val="20"/>
          <w:szCs w:val="20"/>
          <w:lang w:val="sr-Cyrl-CS"/>
        </w:rPr>
        <w:t>13</w:t>
      </w:r>
      <w:r w:rsidRPr="00FF2BB5">
        <w:rPr>
          <w:rFonts w:cs="Tahoma"/>
          <w:noProof/>
          <w:sz w:val="20"/>
          <w:szCs w:val="20"/>
          <w:lang w:val="sr-Cyrl-CS"/>
        </w:rPr>
        <w:t>. године.</w:t>
      </w:r>
    </w:p>
    <w:p w:rsidR="00996BC3" w:rsidRPr="00FF2BB5" w:rsidRDefault="00996BC3" w:rsidP="00A726B9">
      <w:pPr>
        <w:pStyle w:val="NoSpacing"/>
        <w:spacing w:before="120" w:after="120" w:line="276" w:lineRule="auto"/>
        <w:ind w:firstLine="284"/>
        <w:jc w:val="both"/>
        <w:rPr>
          <w:rFonts w:cs="Tahoma"/>
          <w:noProof/>
          <w:sz w:val="20"/>
          <w:szCs w:val="20"/>
          <w:lang w:val="sr-Cyrl-CS"/>
        </w:rPr>
      </w:pPr>
      <w:r w:rsidRPr="00FF2BB5">
        <w:rPr>
          <w:rFonts w:cs="Tahoma"/>
          <w:noProof/>
          <w:sz w:val="20"/>
          <w:szCs w:val="20"/>
          <w:lang w:val="sr-Cyrl-CS"/>
        </w:rPr>
        <w:t>Управљање појединим ризицима се врши у надлежним организационим деловима Друштва у којима су ризици идентификовани. Извршни директори су одговорни за конзистентну примену усвојених политика управљања ризицима на свим нивоима у Друштву, као и да сви запослени добро разумеју одговорност коју носе процеси управљања ризиком у коме учествују, уз поштовање успостављених етичких и професионалних стандарда.</w:t>
      </w:r>
    </w:p>
    <w:p w:rsidR="00996BC3" w:rsidRPr="00FF2BB5" w:rsidRDefault="00996BC3" w:rsidP="00D50EE5">
      <w:pPr>
        <w:pStyle w:val="NoSpacing"/>
        <w:spacing w:before="240" w:after="240" w:line="276" w:lineRule="auto"/>
        <w:ind w:firstLine="284"/>
        <w:jc w:val="both"/>
        <w:rPr>
          <w:rFonts w:cs="Tahoma"/>
          <w:noProof/>
          <w:sz w:val="20"/>
          <w:szCs w:val="20"/>
          <w:lang w:val="sr-Cyrl-CS"/>
        </w:rPr>
      </w:pPr>
      <w:r w:rsidRPr="00FF2BB5">
        <w:rPr>
          <w:rFonts w:cs="Tahoma"/>
          <w:noProof/>
          <w:sz w:val="20"/>
          <w:szCs w:val="20"/>
          <w:lang w:val="sr-Cyrl-CS"/>
        </w:rPr>
        <w:t>Друштво се руководи следећим принципима и начелима у процесу управљања ризицима:</w:t>
      </w:r>
    </w:p>
    <w:p w:rsidR="00996BC3" w:rsidRPr="00FF2BB5" w:rsidRDefault="00996BC3" w:rsidP="007A6345">
      <w:pPr>
        <w:pStyle w:val="NoSpacing"/>
        <w:numPr>
          <w:ilvl w:val="0"/>
          <w:numId w:val="11"/>
        </w:numPr>
        <w:spacing w:before="240" w:after="240" w:line="276" w:lineRule="auto"/>
        <w:ind w:left="714" w:hanging="357"/>
        <w:jc w:val="both"/>
        <w:rPr>
          <w:rFonts w:cs="Tahoma"/>
          <w:noProof/>
          <w:sz w:val="20"/>
          <w:szCs w:val="20"/>
          <w:lang w:val="sr-Cyrl-CS"/>
        </w:rPr>
      </w:pPr>
      <w:r w:rsidRPr="00FF2BB5">
        <w:rPr>
          <w:rFonts w:cs="Tahoma"/>
          <w:noProof/>
          <w:sz w:val="20"/>
          <w:szCs w:val="20"/>
          <w:lang w:val="sr-Cyrl-CS"/>
        </w:rPr>
        <w:t>Успостављање механизма антиципације догађаја и промовисање знања и свести о значају процеса управљања ризицима по свим линијама одговорности.</w:t>
      </w:r>
    </w:p>
    <w:p w:rsidR="00996BC3" w:rsidRPr="00FF2BB5" w:rsidRDefault="00996BC3" w:rsidP="007A6345">
      <w:pPr>
        <w:pStyle w:val="NoSpacing"/>
        <w:numPr>
          <w:ilvl w:val="0"/>
          <w:numId w:val="11"/>
        </w:numPr>
        <w:spacing w:before="240" w:after="240" w:line="276" w:lineRule="auto"/>
        <w:ind w:left="714" w:hanging="357"/>
        <w:jc w:val="both"/>
        <w:rPr>
          <w:rFonts w:cs="Tahoma"/>
          <w:noProof/>
          <w:sz w:val="20"/>
          <w:szCs w:val="20"/>
          <w:lang w:val="sr-Cyrl-CS"/>
        </w:rPr>
      </w:pPr>
      <w:r w:rsidRPr="00FF2BB5">
        <w:rPr>
          <w:rFonts w:cs="Tahoma"/>
          <w:noProof/>
          <w:sz w:val="20"/>
          <w:szCs w:val="20"/>
          <w:lang w:val="sr-Cyrl-CS"/>
        </w:rPr>
        <w:t>Идентификовање свих материјалних извора ризика, анализа и процена кључних узрока сваке појединачне компоненте ризика и њиховог међусобног односа и односа према спољним факторима.</w:t>
      </w:r>
    </w:p>
    <w:p w:rsidR="00996BC3" w:rsidRPr="00FF2BB5" w:rsidRDefault="00996BC3" w:rsidP="007A6345">
      <w:pPr>
        <w:pStyle w:val="NoSpacing"/>
        <w:numPr>
          <w:ilvl w:val="0"/>
          <w:numId w:val="11"/>
        </w:numPr>
        <w:spacing w:before="240" w:after="240" w:line="276" w:lineRule="auto"/>
        <w:ind w:left="714" w:hanging="357"/>
        <w:jc w:val="both"/>
        <w:rPr>
          <w:rFonts w:cs="Tahoma"/>
          <w:noProof/>
          <w:sz w:val="20"/>
          <w:szCs w:val="20"/>
          <w:lang w:val="sr-Cyrl-CS"/>
        </w:rPr>
      </w:pPr>
      <w:r w:rsidRPr="00FF2BB5">
        <w:rPr>
          <w:rFonts w:cs="Tahoma"/>
          <w:noProof/>
          <w:sz w:val="20"/>
          <w:szCs w:val="20"/>
          <w:lang w:val="sr-Cyrl-CS"/>
        </w:rPr>
        <w:t>Класификација ризика са аспекта степена њиховог утицаја на пословање Друштва.</w:t>
      </w:r>
    </w:p>
    <w:p w:rsidR="00996BC3" w:rsidRPr="00FF2BB5" w:rsidRDefault="00996BC3" w:rsidP="007A6345">
      <w:pPr>
        <w:pStyle w:val="NoSpacing"/>
        <w:numPr>
          <w:ilvl w:val="0"/>
          <w:numId w:val="11"/>
        </w:numPr>
        <w:spacing w:before="240" w:after="240" w:line="276" w:lineRule="auto"/>
        <w:ind w:left="714" w:hanging="357"/>
        <w:jc w:val="both"/>
        <w:rPr>
          <w:rFonts w:cs="Tahoma"/>
          <w:noProof/>
          <w:sz w:val="20"/>
          <w:szCs w:val="20"/>
          <w:lang w:val="sr-Cyrl-CS"/>
        </w:rPr>
      </w:pPr>
      <w:r w:rsidRPr="00FF2BB5">
        <w:rPr>
          <w:rFonts w:cs="Tahoma"/>
          <w:noProof/>
          <w:sz w:val="20"/>
          <w:szCs w:val="20"/>
          <w:lang w:val="sr-Cyrl-CS"/>
        </w:rPr>
        <w:t>Обелодањивање предвидивих фактора ризика којима је Друштво изложено или ће бити изложено, као и систем праћења и управљања тим ризицима.</w:t>
      </w:r>
    </w:p>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О спровођењу система интерних контрола и управљању ризицима, генерални директор Друштва редовно, а најмање једном у току пословног тромесечја, извештава Надзорни одбор Друштва.</w:t>
      </w:r>
    </w:p>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Друштво је идентификовало 29 ризика и у овом периоду није било измене у броју и ризицима који се прате, већ се измене у процесу управљања ризицима и његовог мерења односе само на сагледавање фактора који делују на утицај и вероватноћу појављивања ризика.</w:t>
      </w:r>
    </w:p>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У складу са добијеним вредностима за утицај и вероватноћу појављивања ризика, за сваки ризик је утврђен ниво класификације према следећој матрици:</w:t>
      </w:r>
    </w:p>
    <w:tbl>
      <w:tblPr>
        <w:tblW w:w="9218" w:type="dxa"/>
        <w:tblLook w:val="0000" w:firstRow="0" w:lastRow="0" w:firstColumn="0" w:lastColumn="0" w:noHBand="0" w:noVBand="0"/>
      </w:tblPr>
      <w:tblGrid>
        <w:gridCol w:w="728"/>
        <w:gridCol w:w="1481"/>
        <w:gridCol w:w="1389"/>
        <w:gridCol w:w="1464"/>
        <w:gridCol w:w="2078"/>
        <w:gridCol w:w="2078"/>
      </w:tblGrid>
      <w:tr w:rsidR="00FF2BB5" w:rsidRPr="00A87A95" w:rsidTr="00FF2BB5">
        <w:trPr>
          <w:cantSplit/>
          <w:trHeight w:val="460"/>
        </w:trPr>
        <w:tc>
          <w:tcPr>
            <w:tcW w:w="0" w:type="auto"/>
            <w:tcBorders>
              <w:top w:val="single" w:sz="18" w:space="0" w:color="A6A6A6" w:themeColor="background1" w:themeShade="A6"/>
              <w:left w:val="single" w:sz="18" w:space="0" w:color="A6A6A6" w:themeColor="background1" w:themeShade="A6"/>
            </w:tcBorders>
            <w:shd w:val="clear" w:color="auto" w:fill="4F81BD" w:themeFill="accent1"/>
            <w:vAlign w:val="center"/>
          </w:tcPr>
          <w:p w:rsidR="00FF2BB5" w:rsidRPr="00A87A95" w:rsidRDefault="00FF2BB5" w:rsidP="004D1716">
            <w:pPr>
              <w:jc w:val="center"/>
              <w:rPr>
                <w:rFonts w:ascii="Cambria" w:hAnsi="Cambria" w:cs="Arial"/>
                <w:noProof/>
                <w:lang w:val="sr-Cyrl-CS"/>
              </w:rPr>
            </w:pPr>
          </w:p>
        </w:tc>
        <w:tc>
          <w:tcPr>
            <w:tcW w:w="1485" w:type="dxa"/>
            <w:tcBorders>
              <w:top w:val="single" w:sz="18" w:space="0" w:color="A6A6A6" w:themeColor="background1" w:themeShade="A6"/>
            </w:tcBorders>
            <w:shd w:val="clear" w:color="auto" w:fill="4F81BD" w:themeFill="accent1"/>
            <w:vAlign w:val="center"/>
          </w:tcPr>
          <w:p w:rsidR="00FF2BB5" w:rsidRPr="00A87A95" w:rsidRDefault="00FF2BB5" w:rsidP="004D1716">
            <w:pPr>
              <w:jc w:val="center"/>
              <w:rPr>
                <w:rFonts w:ascii="Cambria" w:hAnsi="Cambria" w:cs="Arial"/>
                <w:noProof/>
                <w:color w:val="FFFFFF" w:themeColor="background1"/>
                <w:lang w:val="sr-Cyrl-CS"/>
              </w:rPr>
            </w:pPr>
          </w:p>
        </w:tc>
        <w:tc>
          <w:tcPr>
            <w:tcW w:w="7034" w:type="dxa"/>
            <w:gridSpan w:val="4"/>
            <w:tcBorders>
              <w:top w:val="single" w:sz="18" w:space="0" w:color="A6A6A6" w:themeColor="background1" w:themeShade="A6"/>
              <w:right w:val="single" w:sz="18" w:space="0" w:color="A6A6A6" w:themeColor="background1" w:themeShade="A6"/>
            </w:tcBorders>
            <w:shd w:val="clear" w:color="auto" w:fill="4F81BD" w:themeFill="accent1"/>
            <w:vAlign w:val="center"/>
          </w:tcPr>
          <w:p w:rsidR="00FF2BB5" w:rsidRPr="00A87A95" w:rsidRDefault="00FF2BB5" w:rsidP="004D1716">
            <w:pPr>
              <w:jc w:val="center"/>
              <w:rPr>
                <w:rFonts w:ascii="Cambria" w:hAnsi="Cambria" w:cs="Arial"/>
                <w:b/>
                <w:bCs/>
                <w:noProof/>
                <w:color w:val="FFFFFF" w:themeColor="background1"/>
                <w:lang w:val="sr-Cyrl-CS"/>
              </w:rPr>
            </w:pPr>
            <w:r w:rsidRPr="00A87A95">
              <w:rPr>
                <w:rFonts w:ascii="Cambria" w:hAnsi="Cambria" w:cs="Arial"/>
                <w:b/>
                <w:bCs/>
                <w:noProof/>
                <w:color w:val="FFFFFF" w:themeColor="background1"/>
                <w:lang w:val="sr-Cyrl-CS"/>
              </w:rPr>
              <w:t>Вероватноћа</w:t>
            </w:r>
          </w:p>
        </w:tc>
      </w:tr>
      <w:tr w:rsidR="00FF2BB5" w:rsidRPr="00A87A95" w:rsidTr="00FF2BB5">
        <w:trPr>
          <w:trHeight w:val="460"/>
        </w:trPr>
        <w:tc>
          <w:tcPr>
            <w:tcW w:w="0" w:type="auto"/>
            <w:tcBorders>
              <w:left w:val="single" w:sz="18" w:space="0" w:color="A6A6A6" w:themeColor="background1" w:themeShade="A6"/>
            </w:tcBorders>
            <w:shd w:val="clear" w:color="auto" w:fill="4F81BD" w:themeFill="accent1"/>
            <w:vAlign w:val="center"/>
          </w:tcPr>
          <w:p w:rsidR="00FF2BB5" w:rsidRPr="00A87A95" w:rsidRDefault="00FF2BB5" w:rsidP="004D1716">
            <w:pPr>
              <w:jc w:val="center"/>
              <w:rPr>
                <w:rFonts w:ascii="Cambria" w:hAnsi="Cambria" w:cs="Arial"/>
                <w:noProof/>
                <w:lang w:val="sr-Cyrl-CS"/>
              </w:rPr>
            </w:pPr>
          </w:p>
        </w:tc>
        <w:tc>
          <w:tcPr>
            <w:tcW w:w="1485" w:type="dxa"/>
            <w:shd w:val="clear" w:color="auto" w:fill="95B3D7" w:themeFill="accent1" w:themeFillTint="99"/>
            <w:vAlign w:val="center"/>
          </w:tcPr>
          <w:p w:rsidR="00FF2BB5" w:rsidRPr="00A87A95" w:rsidRDefault="00FF2BB5" w:rsidP="004D1716">
            <w:pPr>
              <w:jc w:val="center"/>
              <w:rPr>
                <w:rFonts w:ascii="Cambria" w:hAnsi="Cambria" w:cs="Arial"/>
                <w:noProof/>
                <w:lang w:val="sr-Cyrl-CS"/>
              </w:rPr>
            </w:pPr>
          </w:p>
        </w:tc>
        <w:tc>
          <w:tcPr>
            <w:tcW w:w="1395" w:type="dxa"/>
            <w:tcBorders>
              <w:bottom w:val="single" w:sz="4" w:space="0" w:color="A6A6A6" w:themeColor="background1" w:themeShade="A6"/>
              <w:right w:val="single" w:sz="4"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r w:rsidRPr="00A87A95">
              <w:rPr>
                <w:rFonts w:ascii="Cambria" w:hAnsi="Cambria" w:cs="Arial"/>
                <w:b/>
                <w:bCs/>
                <w:noProof/>
                <w:lang w:val="sr-Cyrl-CS"/>
              </w:rPr>
              <w:t>Мала</w:t>
            </w:r>
          </w:p>
        </w:tc>
        <w:tc>
          <w:tcPr>
            <w:tcW w:w="1471" w:type="dxa"/>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r w:rsidRPr="00A87A95">
              <w:rPr>
                <w:rFonts w:ascii="Cambria" w:hAnsi="Cambria" w:cs="Arial"/>
                <w:b/>
                <w:bCs/>
                <w:noProof/>
                <w:lang w:val="sr-Cyrl-CS"/>
              </w:rPr>
              <w:t>Средња</w:t>
            </w:r>
          </w:p>
        </w:tc>
        <w:tc>
          <w:tcPr>
            <w:tcW w:w="2084" w:type="dxa"/>
            <w:tcBorders>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r w:rsidRPr="00A87A95">
              <w:rPr>
                <w:rFonts w:ascii="Cambria" w:hAnsi="Cambria" w:cs="Arial"/>
                <w:b/>
                <w:bCs/>
                <w:noProof/>
                <w:lang w:val="sr-Cyrl-CS"/>
              </w:rPr>
              <w:t>Вероватно</w:t>
            </w:r>
          </w:p>
        </w:tc>
        <w:tc>
          <w:tcPr>
            <w:tcW w:w="2084" w:type="dxa"/>
            <w:tcBorders>
              <w:left w:val="single" w:sz="4" w:space="0" w:color="A6A6A6" w:themeColor="background1" w:themeShade="A6"/>
              <w:bottom w:val="single" w:sz="4" w:space="0" w:color="A6A6A6" w:themeColor="background1" w:themeShade="A6"/>
              <w:right w:val="single" w:sz="18"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r w:rsidRPr="00A87A95">
              <w:rPr>
                <w:rFonts w:ascii="Cambria" w:hAnsi="Cambria" w:cs="Arial"/>
                <w:b/>
                <w:bCs/>
                <w:noProof/>
                <w:lang w:val="sr-Cyrl-CS"/>
              </w:rPr>
              <w:t>Скоро сигурно</w:t>
            </w:r>
          </w:p>
        </w:tc>
      </w:tr>
      <w:tr w:rsidR="00FF2BB5" w:rsidRPr="00A87A95" w:rsidTr="00FF2BB5">
        <w:trPr>
          <w:cantSplit/>
          <w:trHeight w:val="460"/>
        </w:trPr>
        <w:tc>
          <w:tcPr>
            <w:tcW w:w="0" w:type="auto"/>
            <w:vMerge w:val="restart"/>
            <w:tcBorders>
              <w:left w:val="single" w:sz="18" w:space="0" w:color="A6A6A6" w:themeColor="background1" w:themeShade="A6"/>
              <w:bottom w:val="single" w:sz="18" w:space="0" w:color="A6A6A6" w:themeColor="background1" w:themeShade="A6"/>
            </w:tcBorders>
            <w:shd w:val="clear" w:color="auto" w:fill="4F81BD" w:themeFill="accent1"/>
            <w:textDirection w:val="btLr"/>
            <w:vAlign w:val="center"/>
          </w:tcPr>
          <w:p w:rsidR="00FF2BB5" w:rsidRPr="00A87A95" w:rsidRDefault="00FF2BB5" w:rsidP="004D1716">
            <w:pPr>
              <w:jc w:val="center"/>
              <w:rPr>
                <w:rFonts w:ascii="Cambria" w:hAnsi="Cambria" w:cs="Arial"/>
                <w:b/>
                <w:bCs/>
                <w:noProof/>
                <w:color w:val="FFFFFF" w:themeColor="background1"/>
                <w:lang w:val="sr-Cyrl-CS"/>
              </w:rPr>
            </w:pPr>
            <w:r w:rsidRPr="00A87A95">
              <w:rPr>
                <w:rFonts w:ascii="Cambria" w:hAnsi="Cambria" w:cs="Arial"/>
                <w:b/>
                <w:bCs/>
                <w:noProof/>
                <w:color w:val="FFFFFF" w:themeColor="background1"/>
                <w:lang w:val="sr-Cyrl-CS"/>
              </w:rPr>
              <w:t>Утицај</w:t>
            </w:r>
          </w:p>
        </w:tc>
        <w:tc>
          <w:tcPr>
            <w:tcW w:w="1485" w:type="dxa"/>
            <w:tcBorders>
              <w:bottom w:val="single" w:sz="4" w:space="0" w:color="A6A6A6" w:themeColor="background1" w:themeShade="A6"/>
              <w:right w:val="single" w:sz="4"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r w:rsidRPr="00A87A95">
              <w:rPr>
                <w:rFonts w:ascii="Cambria" w:hAnsi="Cambria" w:cs="Arial"/>
                <w:b/>
                <w:bCs/>
                <w:noProof/>
                <w:lang w:val="sr-Cyrl-CS"/>
              </w:rPr>
              <w:t>Критичан</w:t>
            </w:r>
          </w:p>
        </w:tc>
        <w:tc>
          <w:tcPr>
            <w:tcW w:w="13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1F497D" w:themeColor="text2"/>
                <w:lang w:val="sr-Cyrl-CS"/>
              </w:rPr>
            </w:pPr>
            <w:r w:rsidRPr="00A87A95">
              <w:rPr>
                <w:rFonts w:ascii="Cambria" w:hAnsi="Cambria" w:cs="Arial"/>
                <w:b/>
                <w:bCs/>
                <w:noProof/>
                <w:color w:val="1F497D" w:themeColor="text2"/>
                <w:lang w:val="sr-Cyrl-CS"/>
              </w:rPr>
              <w:t>Значајно</w:t>
            </w:r>
          </w:p>
        </w:tc>
        <w:tc>
          <w:tcPr>
            <w:tcW w:w="14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943634" w:themeColor="accent2" w:themeShade="BF"/>
                <w:lang w:val="sr-Cyrl-CS"/>
              </w:rPr>
            </w:pPr>
            <w:r w:rsidRPr="00A87A95">
              <w:rPr>
                <w:rFonts w:ascii="Cambria" w:hAnsi="Cambria" w:cs="Arial"/>
                <w:b/>
                <w:bCs/>
                <w:noProof/>
                <w:color w:val="943634" w:themeColor="accent2" w:themeShade="BF"/>
                <w:lang w:val="sr-Cyrl-CS"/>
              </w:rPr>
              <w:t>Критично</w:t>
            </w:r>
          </w:p>
        </w:tc>
        <w:tc>
          <w:tcPr>
            <w:tcW w:w="20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FF0000"/>
                <w:lang w:val="sr-Cyrl-CS"/>
              </w:rPr>
            </w:pPr>
            <w:r w:rsidRPr="00A87A95">
              <w:rPr>
                <w:rFonts w:ascii="Cambria" w:hAnsi="Cambria" w:cs="Arial"/>
                <w:b/>
                <w:bCs/>
                <w:noProof/>
                <w:color w:val="FF0000"/>
                <w:lang w:val="sr-Cyrl-CS"/>
              </w:rPr>
              <w:t>Неприхватљиво</w:t>
            </w:r>
          </w:p>
        </w:tc>
        <w:tc>
          <w:tcPr>
            <w:tcW w:w="20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8"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FF0000"/>
                <w:lang w:val="sr-Cyrl-CS"/>
              </w:rPr>
            </w:pPr>
            <w:r w:rsidRPr="00A87A95">
              <w:rPr>
                <w:rFonts w:ascii="Cambria" w:hAnsi="Cambria" w:cs="Arial"/>
                <w:b/>
                <w:bCs/>
                <w:noProof/>
                <w:color w:val="FF0000"/>
                <w:lang w:val="sr-Cyrl-CS"/>
              </w:rPr>
              <w:t>Неприхватљиво</w:t>
            </w:r>
          </w:p>
        </w:tc>
      </w:tr>
      <w:tr w:rsidR="00FF2BB5" w:rsidRPr="00A87A95" w:rsidTr="00FF2BB5">
        <w:trPr>
          <w:cantSplit/>
          <w:trHeight w:val="460"/>
        </w:trPr>
        <w:tc>
          <w:tcPr>
            <w:tcW w:w="0" w:type="auto"/>
            <w:vMerge/>
            <w:tcBorders>
              <w:top w:val="single" w:sz="18" w:space="0" w:color="A6A6A6" w:themeColor="background1" w:themeShade="A6"/>
              <w:left w:val="single" w:sz="18" w:space="0" w:color="A6A6A6" w:themeColor="background1" w:themeShade="A6"/>
              <w:bottom w:val="single" w:sz="18" w:space="0" w:color="A6A6A6" w:themeColor="background1" w:themeShade="A6"/>
            </w:tcBorders>
            <w:shd w:val="clear" w:color="auto" w:fill="4F81BD" w:themeFill="accent1"/>
            <w:vAlign w:val="center"/>
          </w:tcPr>
          <w:p w:rsidR="00FF2BB5" w:rsidRPr="00A87A95" w:rsidRDefault="00FF2BB5" w:rsidP="004D1716">
            <w:pPr>
              <w:jc w:val="center"/>
              <w:rPr>
                <w:rFonts w:ascii="Cambria" w:hAnsi="Cambria" w:cs="Arial"/>
                <w:noProof/>
                <w:lang w:val="sr-Cyrl-CS"/>
              </w:rPr>
            </w:pPr>
          </w:p>
        </w:tc>
        <w:tc>
          <w:tcPr>
            <w:tcW w:w="14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r w:rsidRPr="00A87A95">
              <w:rPr>
                <w:rFonts w:ascii="Cambria" w:hAnsi="Cambria" w:cs="Arial"/>
                <w:b/>
                <w:bCs/>
                <w:noProof/>
                <w:lang w:val="sr-Cyrl-CS"/>
              </w:rPr>
              <w:t>Велики</w:t>
            </w:r>
          </w:p>
        </w:tc>
        <w:tc>
          <w:tcPr>
            <w:tcW w:w="13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5F497A" w:themeColor="accent4" w:themeShade="BF"/>
                <w:lang w:val="sr-Cyrl-CS"/>
              </w:rPr>
            </w:pPr>
            <w:r w:rsidRPr="00A87A95">
              <w:rPr>
                <w:rFonts w:ascii="Cambria" w:hAnsi="Cambria" w:cs="Arial"/>
                <w:b/>
                <w:bCs/>
                <w:noProof/>
                <w:color w:val="5F497A" w:themeColor="accent4" w:themeShade="BF"/>
                <w:lang w:val="sr-Cyrl-CS"/>
              </w:rPr>
              <w:t>Мало</w:t>
            </w:r>
          </w:p>
        </w:tc>
        <w:tc>
          <w:tcPr>
            <w:tcW w:w="14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1F497D" w:themeColor="text2"/>
                <w:lang w:val="sr-Cyrl-CS"/>
              </w:rPr>
            </w:pPr>
            <w:r w:rsidRPr="00A87A95">
              <w:rPr>
                <w:rFonts w:ascii="Cambria" w:hAnsi="Cambria" w:cs="Arial"/>
                <w:b/>
                <w:bCs/>
                <w:noProof/>
                <w:color w:val="1F497D" w:themeColor="text2"/>
                <w:lang w:val="sr-Cyrl-CS"/>
              </w:rPr>
              <w:t>Значајно</w:t>
            </w:r>
          </w:p>
        </w:tc>
        <w:tc>
          <w:tcPr>
            <w:tcW w:w="20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943634" w:themeColor="accent2" w:themeShade="BF"/>
                <w:lang w:val="sr-Cyrl-CS"/>
              </w:rPr>
            </w:pPr>
            <w:r w:rsidRPr="00A87A95">
              <w:rPr>
                <w:rFonts w:ascii="Cambria" w:hAnsi="Cambria" w:cs="Arial"/>
                <w:b/>
                <w:bCs/>
                <w:noProof/>
                <w:color w:val="943634" w:themeColor="accent2" w:themeShade="BF"/>
                <w:lang w:val="sr-Cyrl-CS"/>
              </w:rPr>
              <w:t>Критично</w:t>
            </w:r>
          </w:p>
        </w:tc>
        <w:tc>
          <w:tcPr>
            <w:tcW w:w="20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8"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FF0000"/>
                <w:lang w:val="sr-Cyrl-CS"/>
              </w:rPr>
            </w:pPr>
            <w:r w:rsidRPr="00A87A95">
              <w:rPr>
                <w:rFonts w:ascii="Cambria" w:hAnsi="Cambria" w:cs="Arial"/>
                <w:b/>
                <w:bCs/>
                <w:noProof/>
                <w:color w:val="FF0000"/>
                <w:lang w:val="sr-Cyrl-CS"/>
              </w:rPr>
              <w:t>Неприхватљиво</w:t>
            </w:r>
          </w:p>
        </w:tc>
      </w:tr>
      <w:tr w:rsidR="00FF2BB5" w:rsidRPr="00A87A95" w:rsidTr="00FF2BB5">
        <w:trPr>
          <w:cantSplit/>
          <w:trHeight w:val="460"/>
        </w:trPr>
        <w:tc>
          <w:tcPr>
            <w:tcW w:w="0" w:type="auto"/>
            <w:vMerge/>
            <w:tcBorders>
              <w:top w:val="single" w:sz="18" w:space="0" w:color="A6A6A6" w:themeColor="background1" w:themeShade="A6"/>
              <w:left w:val="single" w:sz="18" w:space="0" w:color="A6A6A6" w:themeColor="background1" w:themeShade="A6"/>
              <w:bottom w:val="single" w:sz="18" w:space="0" w:color="A6A6A6" w:themeColor="background1" w:themeShade="A6"/>
            </w:tcBorders>
            <w:shd w:val="clear" w:color="auto" w:fill="4F81BD" w:themeFill="accent1"/>
            <w:vAlign w:val="center"/>
          </w:tcPr>
          <w:p w:rsidR="00FF2BB5" w:rsidRPr="00A87A95" w:rsidRDefault="00FF2BB5" w:rsidP="004D1716">
            <w:pPr>
              <w:jc w:val="center"/>
              <w:rPr>
                <w:rFonts w:ascii="Cambria" w:hAnsi="Cambria" w:cs="Arial"/>
                <w:noProof/>
                <w:lang w:val="sr-Cyrl-CS"/>
              </w:rPr>
            </w:pPr>
          </w:p>
        </w:tc>
        <w:tc>
          <w:tcPr>
            <w:tcW w:w="14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r w:rsidRPr="00A87A95">
              <w:rPr>
                <w:rFonts w:ascii="Cambria" w:hAnsi="Cambria" w:cs="Arial"/>
                <w:b/>
                <w:bCs/>
                <w:noProof/>
                <w:lang w:val="sr-Cyrl-CS"/>
              </w:rPr>
              <w:t>Средњи</w:t>
            </w:r>
          </w:p>
        </w:tc>
        <w:tc>
          <w:tcPr>
            <w:tcW w:w="13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76923C" w:themeColor="accent3" w:themeShade="BF"/>
                <w:lang w:val="sr-Cyrl-CS"/>
              </w:rPr>
            </w:pPr>
            <w:r w:rsidRPr="00A87A95">
              <w:rPr>
                <w:rFonts w:ascii="Cambria" w:hAnsi="Cambria" w:cs="Arial"/>
                <w:b/>
                <w:bCs/>
                <w:noProof/>
                <w:color w:val="76923C" w:themeColor="accent3" w:themeShade="BF"/>
                <w:lang w:val="sr-Cyrl-CS"/>
              </w:rPr>
              <w:t>Незнатно</w:t>
            </w:r>
          </w:p>
        </w:tc>
        <w:tc>
          <w:tcPr>
            <w:tcW w:w="14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5F497A" w:themeColor="accent4" w:themeShade="BF"/>
                <w:lang w:val="sr-Cyrl-CS"/>
              </w:rPr>
            </w:pPr>
            <w:r w:rsidRPr="00A87A95">
              <w:rPr>
                <w:rFonts w:ascii="Cambria" w:hAnsi="Cambria" w:cs="Arial"/>
                <w:b/>
                <w:bCs/>
                <w:noProof/>
                <w:color w:val="5F497A" w:themeColor="accent4" w:themeShade="BF"/>
                <w:lang w:val="sr-Cyrl-CS"/>
              </w:rPr>
              <w:t>Мало</w:t>
            </w:r>
          </w:p>
        </w:tc>
        <w:tc>
          <w:tcPr>
            <w:tcW w:w="20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1F497D" w:themeColor="text2"/>
                <w:lang w:val="sr-Cyrl-CS"/>
              </w:rPr>
            </w:pPr>
            <w:r w:rsidRPr="00A87A95">
              <w:rPr>
                <w:rFonts w:ascii="Cambria" w:hAnsi="Cambria" w:cs="Arial"/>
                <w:b/>
                <w:bCs/>
                <w:noProof/>
                <w:color w:val="1F497D" w:themeColor="text2"/>
                <w:lang w:val="sr-Cyrl-CS"/>
              </w:rPr>
              <w:t>Значајно</w:t>
            </w:r>
          </w:p>
        </w:tc>
        <w:tc>
          <w:tcPr>
            <w:tcW w:w="20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8"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943634" w:themeColor="accent2" w:themeShade="BF"/>
                <w:lang w:val="sr-Cyrl-CS"/>
              </w:rPr>
            </w:pPr>
            <w:r w:rsidRPr="00A87A95">
              <w:rPr>
                <w:rFonts w:ascii="Cambria" w:hAnsi="Cambria" w:cs="Arial"/>
                <w:b/>
                <w:bCs/>
                <w:noProof/>
                <w:color w:val="943634" w:themeColor="accent2" w:themeShade="BF"/>
                <w:lang w:val="sr-Cyrl-CS"/>
              </w:rPr>
              <w:t>Критично</w:t>
            </w:r>
          </w:p>
        </w:tc>
      </w:tr>
      <w:tr w:rsidR="00FF2BB5" w:rsidRPr="00A87A95" w:rsidTr="00FF2BB5">
        <w:trPr>
          <w:cantSplit/>
          <w:trHeight w:val="460"/>
        </w:trPr>
        <w:tc>
          <w:tcPr>
            <w:tcW w:w="0" w:type="auto"/>
            <w:vMerge/>
            <w:tcBorders>
              <w:top w:val="single" w:sz="18" w:space="0" w:color="A6A6A6" w:themeColor="background1" w:themeShade="A6"/>
              <w:left w:val="single" w:sz="18" w:space="0" w:color="A6A6A6" w:themeColor="background1" w:themeShade="A6"/>
              <w:bottom w:val="single" w:sz="18" w:space="0" w:color="A6A6A6" w:themeColor="background1" w:themeShade="A6"/>
            </w:tcBorders>
            <w:shd w:val="clear" w:color="auto" w:fill="4F81BD" w:themeFill="accent1"/>
            <w:vAlign w:val="center"/>
          </w:tcPr>
          <w:p w:rsidR="00FF2BB5" w:rsidRPr="00A87A95" w:rsidRDefault="00FF2BB5" w:rsidP="004D1716">
            <w:pPr>
              <w:jc w:val="center"/>
              <w:rPr>
                <w:rFonts w:ascii="Cambria" w:hAnsi="Cambria" w:cs="Arial"/>
                <w:noProof/>
                <w:lang w:val="sr-Cyrl-CS"/>
              </w:rPr>
            </w:pPr>
          </w:p>
        </w:tc>
        <w:tc>
          <w:tcPr>
            <w:tcW w:w="1485"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r w:rsidRPr="00A87A95">
              <w:rPr>
                <w:rFonts w:ascii="Cambria" w:hAnsi="Cambria" w:cs="Arial"/>
                <w:b/>
                <w:bCs/>
                <w:noProof/>
                <w:lang w:val="sr-Cyrl-CS"/>
              </w:rPr>
              <w:t>Ограничен</w:t>
            </w:r>
          </w:p>
        </w:tc>
        <w:tc>
          <w:tcPr>
            <w:tcW w:w="139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76923C" w:themeColor="accent3" w:themeShade="BF"/>
                <w:lang w:val="sr-Cyrl-CS"/>
              </w:rPr>
            </w:pPr>
            <w:r w:rsidRPr="00A87A95">
              <w:rPr>
                <w:rFonts w:ascii="Cambria" w:hAnsi="Cambria" w:cs="Arial"/>
                <w:b/>
                <w:bCs/>
                <w:noProof/>
                <w:color w:val="76923C" w:themeColor="accent3" w:themeShade="BF"/>
                <w:lang w:val="sr-Cyrl-CS"/>
              </w:rPr>
              <w:t>Незнатно</w:t>
            </w:r>
          </w:p>
        </w:tc>
        <w:tc>
          <w:tcPr>
            <w:tcW w:w="147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76923C" w:themeColor="accent3" w:themeShade="BF"/>
                <w:lang w:val="sr-Cyrl-CS"/>
              </w:rPr>
            </w:pPr>
            <w:r w:rsidRPr="00A87A95">
              <w:rPr>
                <w:rFonts w:ascii="Cambria" w:hAnsi="Cambria" w:cs="Arial"/>
                <w:b/>
                <w:bCs/>
                <w:noProof/>
                <w:color w:val="76923C" w:themeColor="accent3" w:themeShade="BF"/>
                <w:lang w:val="sr-Cyrl-CS"/>
              </w:rPr>
              <w:t>Незнатно</w:t>
            </w:r>
          </w:p>
        </w:tc>
        <w:tc>
          <w:tcPr>
            <w:tcW w:w="20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5F497A" w:themeColor="accent4" w:themeShade="BF"/>
                <w:lang w:val="sr-Cyrl-CS"/>
              </w:rPr>
            </w:pPr>
            <w:r w:rsidRPr="00A87A95">
              <w:rPr>
                <w:rFonts w:ascii="Cambria" w:hAnsi="Cambria" w:cs="Arial"/>
                <w:b/>
                <w:bCs/>
                <w:noProof/>
                <w:color w:val="5F497A" w:themeColor="accent4" w:themeShade="BF"/>
                <w:lang w:val="sr-Cyrl-CS"/>
              </w:rPr>
              <w:t>Мало</w:t>
            </w:r>
          </w:p>
        </w:tc>
        <w:tc>
          <w:tcPr>
            <w:tcW w:w="20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18"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1F497D" w:themeColor="text2"/>
                <w:lang w:val="sr-Cyrl-CS"/>
              </w:rPr>
            </w:pPr>
            <w:r w:rsidRPr="00A87A95">
              <w:rPr>
                <w:rFonts w:ascii="Cambria" w:hAnsi="Cambria" w:cs="Arial"/>
                <w:b/>
                <w:bCs/>
                <w:noProof/>
                <w:color w:val="1F497D" w:themeColor="text2"/>
                <w:lang w:val="sr-Cyrl-CS"/>
              </w:rPr>
              <w:t>Значајно</w:t>
            </w:r>
          </w:p>
        </w:tc>
      </w:tr>
      <w:tr w:rsidR="00FF2BB5" w:rsidRPr="00A87A95" w:rsidTr="00FF2BB5">
        <w:trPr>
          <w:cantSplit/>
          <w:trHeight w:val="460"/>
        </w:trPr>
        <w:tc>
          <w:tcPr>
            <w:tcW w:w="0" w:type="auto"/>
            <w:tcBorders>
              <w:top w:val="single" w:sz="18" w:space="0" w:color="A6A6A6" w:themeColor="background1" w:themeShade="A6"/>
              <w:left w:val="single" w:sz="18" w:space="0" w:color="A6A6A6" w:themeColor="background1" w:themeShade="A6"/>
              <w:bottom w:val="single" w:sz="18" w:space="0" w:color="A6A6A6" w:themeColor="background1" w:themeShade="A6"/>
            </w:tcBorders>
            <w:shd w:val="clear" w:color="auto" w:fill="4F81BD" w:themeFill="accent1"/>
            <w:vAlign w:val="center"/>
          </w:tcPr>
          <w:p w:rsidR="00FF2BB5" w:rsidRPr="00A87A95" w:rsidRDefault="00FF2BB5" w:rsidP="004D1716">
            <w:pPr>
              <w:jc w:val="center"/>
              <w:rPr>
                <w:rFonts w:ascii="Cambria" w:hAnsi="Cambria" w:cs="Arial"/>
                <w:noProof/>
                <w:lang w:val="sr-Cyrl-CS"/>
              </w:rPr>
            </w:pPr>
          </w:p>
        </w:tc>
        <w:tc>
          <w:tcPr>
            <w:tcW w:w="1485" w:type="dxa"/>
            <w:tcBorders>
              <w:top w:val="single" w:sz="4" w:space="0" w:color="A6A6A6" w:themeColor="background1" w:themeShade="A6"/>
              <w:bottom w:val="single" w:sz="18" w:space="0" w:color="A6A6A6" w:themeColor="background1" w:themeShade="A6"/>
              <w:right w:val="single" w:sz="4" w:space="0" w:color="A6A6A6" w:themeColor="background1" w:themeShade="A6"/>
            </w:tcBorders>
            <w:shd w:val="clear" w:color="auto" w:fill="95B3D7" w:themeFill="accent1" w:themeFillTint="99"/>
            <w:vAlign w:val="center"/>
          </w:tcPr>
          <w:p w:rsidR="00FF2BB5" w:rsidRPr="00A87A95" w:rsidRDefault="00FF2BB5" w:rsidP="004D1716">
            <w:pPr>
              <w:jc w:val="center"/>
              <w:rPr>
                <w:rFonts w:ascii="Cambria" w:hAnsi="Cambria" w:cs="Arial"/>
                <w:b/>
                <w:bCs/>
                <w:noProof/>
                <w:lang w:val="sr-Cyrl-CS"/>
              </w:rPr>
            </w:pPr>
          </w:p>
        </w:tc>
        <w:tc>
          <w:tcPr>
            <w:tcW w:w="1395" w:type="dxa"/>
            <w:tcBorders>
              <w:top w:val="single" w:sz="4" w:space="0" w:color="A6A6A6" w:themeColor="background1" w:themeShade="A6"/>
              <w:left w:val="single" w:sz="4" w:space="0" w:color="A6A6A6" w:themeColor="background1" w:themeShade="A6"/>
              <w:bottom w:val="single" w:sz="18"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76923C" w:themeColor="accent3" w:themeShade="BF"/>
                <w:lang w:val="sr-Cyrl-CS"/>
              </w:rPr>
            </w:pPr>
          </w:p>
        </w:tc>
        <w:tc>
          <w:tcPr>
            <w:tcW w:w="1471" w:type="dxa"/>
            <w:tcBorders>
              <w:top w:val="single" w:sz="4" w:space="0" w:color="A6A6A6" w:themeColor="background1" w:themeShade="A6"/>
              <w:left w:val="single" w:sz="4" w:space="0" w:color="A6A6A6" w:themeColor="background1" w:themeShade="A6"/>
              <w:bottom w:val="single" w:sz="18"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76923C" w:themeColor="accent3" w:themeShade="BF"/>
                <w:lang w:val="sr-Cyrl-CS"/>
              </w:rPr>
            </w:pPr>
          </w:p>
        </w:tc>
        <w:tc>
          <w:tcPr>
            <w:tcW w:w="2084" w:type="dxa"/>
            <w:tcBorders>
              <w:top w:val="single" w:sz="4" w:space="0" w:color="A6A6A6" w:themeColor="background1" w:themeShade="A6"/>
              <w:left w:val="single" w:sz="4" w:space="0" w:color="A6A6A6" w:themeColor="background1" w:themeShade="A6"/>
              <w:bottom w:val="single" w:sz="18" w:space="0" w:color="A6A6A6" w:themeColor="background1" w:themeShade="A6"/>
              <w:right w:val="single" w:sz="4"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5F497A" w:themeColor="accent4" w:themeShade="BF"/>
                <w:lang w:val="sr-Cyrl-CS"/>
              </w:rPr>
            </w:pPr>
          </w:p>
        </w:tc>
        <w:tc>
          <w:tcPr>
            <w:tcW w:w="2084" w:type="dxa"/>
            <w:tcBorders>
              <w:top w:val="single" w:sz="4" w:space="0" w:color="A6A6A6" w:themeColor="background1" w:themeShade="A6"/>
              <w:left w:val="single" w:sz="4" w:space="0" w:color="A6A6A6" w:themeColor="background1" w:themeShade="A6"/>
              <w:bottom w:val="single" w:sz="18" w:space="0" w:color="A6A6A6" w:themeColor="background1" w:themeShade="A6"/>
              <w:right w:val="single" w:sz="18" w:space="0" w:color="A6A6A6" w:themeColor="background1" w:themeShade="A6"/>
            </w:tcBorders>
            <w:shd w:val="clear" w:color="auto" w:fill="auto"/>
            <w:vAlign w:val="center"/>
          </w:tcPr>
          <w:p w:rsidR="00FF2BB5" w:rsidRPr="00A87A95" w:rsidRDefault="00FF2BB5" w:rsidP="004D1716">
            <w:pPr>
              <w:jc w:val="center"/>
              <w:rPr>
                <w:rFonts w:ascii="Cambria" w:hAnsi="Cambria" w:cs="Arial"/>
                <w:b/>
                <w:bCs/>
                <w:noProof/>
                <w:color w:val="1F497D" w:themeColor="text2"/>
                <w:lang w:val="sr-Cyrl-CS"/>
              </w:rPr>
            </w:pPr>
          </w:p>
        </w:tc>
      </w:tr>
    </w:tbl>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Претходна класификације ризика на низак ризик, ризик средњег интензитета, висок ризик и екстреман ризик измењена је тако да су ризици рангирани у складу са степеном њиховог утицаја на пословање Друштва на:  Незнатан ризик, Мали ризик, Значајан ризик, Критчан ризик и Неприхватљив ризик.</w:t>
      </w:r>
    </w:p>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Обзиром на нову методологију,класификацију  појединих  ризика који имају промене у нивоу рангирања не прате и промене ранга у предходној,тј старој класификацији.Разлог такве позиције је  у различитом броју рангирања ризика,као и њиховом опсегу.</w:t>
      </w:r>
    </w:p>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Поред редовних активност које се спроводе са циљем управљања ризицима у пословању, Друштво је извршило анализу утицаја новог Закона о осигурању и Одлука које је у току другог квартала предлагала и усвајала Народна банка Србије.</w:t>
      </w:r>
    </w:p>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Спроведене су и анализе са аспекта примене нових прописа које су се пре свега односиле на следеће ризике:</w:t>
      </w:r>
    </w:p>
    <w:p w:rsidR="00FF2BB5" w:rsidRPr="00521CE0" w:rsidRDefault="00FF2BB5" w:rsidP="00521CE0">
      <w:pPr>
        <w:pStyle w:val="ListParagraph"/>
        <w:numPr>
          <w:ilvl w:val="0"/>
          <w:numId w:val="35"/>
        </w:numPr>
        <w:spacing w:before="120" w:after="120"/>
        <w:jc w:val="both"/>
        <w:rPr>
          <w:rFonts w:eastAsiaTheme="minorEastAsia" w:cs="Tahoma"/>
          <w:noProof/>
          <w:sz w:val="20"/>
          <w:szCs w:val="20"/>
          <w:lang w:val="sr-Cyrl-CS" w:eastAsia="ja-JP"/>
        </w:rPr>
      </w:pPr>
      <w:r w:rsidRPr="00521CE0">
        <w:rPr>
          <w:rFonts w:eastAsiaTheme="minorEastAsia" w:cs="Tahoma"/>
          <w:noProof/>
          <w:sz w:val="20"/>
          <w:szCs w:val="20"/>
          <w:lang w:val="sr-Cyrl-CS" w:eastAsia="ja-JP"/>
        </w:rPr>
        <w:t>Ризик адекватности техничких резерви и ризици у вези са планирањем техничких резерви Друштва,</w:t>
      </w:r>
    </w:p>
    <w:p w:rsidR="00FF2BB5" w:rsidRPr="00521CE0" w:rsidRDefault="00FF2BB5" w:rsidP="00521CE0">
      <w:pPr>
        <w:pStyle w:val="ListParagraph"/>
        <w:numPr>
          <w:ilvl w:val="0"/>
          <w:numId w:val="35"/>
        </w:numPr>
        <w:spacing w:before="120" w:after="120"/>
        <w:jc w:val="both"/>
        <w:rPr>
          <w:rFonts w:eastAsiaTheme="minorEastAsia" w:cs="Tahoma"/>
          <w:noProof/>
          <w:sz w:val="20"/>
          <w:szCs w:val="20"/>
          <w:lang w:val="sr-Cyrl-CS" w:eastAsia="ja-JP"/>
        </w:rPr>
      </w:pPr>
      <w:r w:rsidRPr="00521CE0">
        <w:rPr>
          <w:rFonts w:eastAsiaTheme="minorEastAsia" w:cs="Tahoma"/>
          <w:noProof/>
          <w:sz w:val="20"/>
          <w:szCs w:val="20"/>
          <w:lang w:val="sr-Cyrl-CS" w:eastAsia="ja-JP"/>
        </w:rPr>
        <w:t>Ризик адекватности капитала – потребан ниво солвентног капитала и</w:t>
      </w:r>
    </w:p>
    <w:p w:rsidR="00FF2BB5" w:rsidRPr="00521CE0" w:rsidRDefault="00FF2BB5" w:rsidP="00521CE0">
      <w:pPr>
        <w:pStyle w:val="ListParagraph"/>
        <w:numPr>
          <w:ilvl w:val="0"/>
          <w:numId w:val="35"/>
        </w:numPr>
        <w:spacing w:before="120" w:after="120"/>
        <w:jc w:val="both"/>
        <w:rPr>
          <w:rFonts w:eastAsiaTheme="minorEastAsia" w:cs="Tahoma"/>
          <w:noProof/>
          <w:sz w:val="20"/>
          <w:szCs w:val="20"/>
          <w:lang w:val="sr-Cyrl-CS" w:eastAsia="ja-JP"/>
        </w:rPr>
      </w:pPr>
      <w:r w:rsidRPr="00521CE0">
        <w:rPr>
          <w:rFonts w:eastAsiaTheme="minorEastAsia" w:cs="Tahoma"/>
          <w:noProof/>
          <w:sz w:val="20"/>
          <w:szCs w:val="20"/>
          <w:lang w:val="sr-Cyrl-CS" w:eastAsia="ja-JP"/>
        </w:rPr>
        <w:t>Ризик неусклађених пословних аката и ризици у вези примене прописа којима је регулисана делатност (ре)осигурања.</w:t>
      </w:r>
    </w:p>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На основу добијених резултата, утврђено је да измена Закона и подзаконских аката, односно методологије за утврђивања техничких резерви, маргине солвентности и гарантне резерве неће материјално значајно утицати на ризике пословања.</w:t>
      </w:r>
    </w:p>
    <w:p w:rsidR="00FF2BB5" w:rsidRPr="00FF2BB5" w:rsidRDefault="00FF2BB5" w:rsidP="00FF2BB5">
      <w:pPr>
        <w:spacing w:before="120" w:after="120"/>
        <w:jc w:val="both"/>
        <w:rPr>
          <w:rFonts w:eastAsiaTheme="minorEastAsia" w:cs="Tahoma"/>
          <w:noProof/>
          <w:sz w:val="20"/>
          <w:szCs w:val="20"/>
          <w:lang w:val="sr-Cyrl-CS" w:eastAsia="ja-JP"/>
        </w:rPr>
      </w:pPr>
      <w:r w:rsidRPr="00FF2BB5">
        <w:rPr>
          <w:rFonts w:eastAsiaTheme="minorEastAsia" w:cs="Tahoma"/>
          <w:noProof/>
          <w:sz w:val="20"/>
          <w:szCs w:val="20"/>
          <w:lang w:val="sr-Cyrl-CS" w:eastAsia="ja-JP"/>
        </w:rPr>
        <w:t>Ризици су груписани у 5 група и то:</w:t>
      </w:r>
    </w:p>
    <w:p w:rsidR="00FF2BB5" w:rsidRPr="00521CE0" w:rsidRDefault="00FF2BB5" w:rsidP="00521CE0">
      <w:pPr>
        <w:pStyle w:val="ListParagraph"/>
        <w:numPr>
          <w:ilvl w:val="0"/>
          <w:numId w:val="36"/>
        </w:numPr>
        <w:spacing w:before="120" w:after="120"/>
        <w:jc w:val="both"/>
        <w:rPr>
          <w:rFonts w:eastAsiaTheme="minorEastAsia" w:cs="Tahoma"/>
          <w:noProof/>
          <w:sz w:val="20"/>
          <w:szCs w:val="20"/>
          <w:lang w:val="sr-Cyrl-CS" w:eastAsia="ja-JP"/>
        </w:rPr>
      </w:pPr>
      <w:r w:rsidRPr="00521CE0">
        <w:rPr>
          <w:rFonts w:eastAsiaTheme="minorEastAsia" w:cs="Tahoma"/>
          <w:noProof/>
          <w:sz w:val="20"/>
          <w:szCs w:val="20"/>
          <w:lang w:val="sr-Cyrl-CS" w:eastAsia="ja-JP"/>
        </w:rPr>
        <w:t>ризици реосигурања,</w:t>
      </w:r>
    </w:p>
    <w:p w:rsidR="00FF2BB5" w:rsidRPr="00521CE0" w:rsidRDefault="00FF2BB5" w:rsidP="00521CE0">
      <w:pPr>
        <w:pStyle w:val="ListParagraph"/>
        <w:numPr>
          <w:ilvl w:val="0"/>
          <w:numId w:val="36"/>
        </w:numPr>
        <w:spacing w:before="120" w:after="120"/>
        <w:jc w:val="both"/>
        <w:rPr>
          <w:rFonts w:eastAsiaTheme="minorEastAsia" w:cs="Tahoma"/>
          <w:noProof/>
          <w:sz w:val="20"/>
          <w:szCs w:val="20"/>
          <w:lang w:val="sr-Cyrl-CS" w:eastAsia="ja-JP"/>
        </w:rPr>
      </w:pPr>
      <w:r w:rsidRPr="00521CE0">
        <w:rPr>
          <w:rFonts w:eastAsiaTheme="minorEastAsia" w:cs="Tahoma"/>
          <w:noProof/>
          <w:sz w:val="20"/>
          <w:szCs w:val="20"/>
          <w:lang w:val="sr-Cyrl-CS" w:eastAsia="ja-JP"/>
        </w:rPr>
        <w:t>тржишни ризици,</w:t>
      </w:r>
    </w:p>
    <w:p w:rsidR="00FF2BB5" w:rsidRPr="00521CE0" w:rsidRDefault="00FF2BB5" w:rsidP="00521CE0">
      <w:pPr>
        <w:pStyle w:val="ListParagraph"/>
        <w:numPr>
          <w:ilvl w:val="0"/>
          <w:numId w:val="36"/>
        </w:numPr>
        <w:spacing w:before="120" w:after="120"/>
        <w:jc w:val="both"/>
        <w:rPr>
          <w:rFonts w:eastAsiaTheme="minorEastAsia" w:cs="Tahoma"/>
          <w:noProof/>
          <w:sz w:val="20"/>
          <w:szCs w:val="20"/>
          <w:lang w:val="sr-Cyrl-CS" w:eastAsia="ja-JP"/>
        </w:rPr>
      </w:pPr>
      <w:r w:rsidRPr="00521CE0">
        <w:rPr>
          <w:rFonts w:eastAsiaTheme="minorEastAsia" w:cs="Tahoma"/>
          <w:noProof/>
          <w:sz w:val="20"/>
          <w:szCs w:val="20"/>
          <w:lang w:val="sr-Cyrl-CS" w:eastAsia="ja-JP"/>
        </w:rPr>
        <w:t>оперативни ризикци,</w:t>
      </w:r>
    </w:p>
    <w:p w:rsidR="00FF2BB5" w:rsidRPr="00521CE0" w:rsidRDefault="00FF2BB5" w:rsidP="00521CE0">
      <w:pPr>
        <w:pStyle w:val="ListParagraph"/>
        <w:numPr>
          <w:ilvl w:val="0"/>
          <w:numId w:val="36"/>
        </w:numPr>
        <w:spacing w:before="120" w:after="120"/>
        <w:jc w:val="both"/>
        <w:rPr>
          <w:rFonts w:eastAsiaTheme="minorEastAsia" w:cs="Tahoma"/>
          <w:noProof/>
          <w:sz w:val="20"/>
          <w:szCs w:val="20"/>
          <w:lang w:val="sr-Cyrl-CS" w:eastAsia="ja-JP"/>
        </w:rPr>
      </w:pPr>
      <w:r w:rsidRPr="00521CE0">
        <w:rPr>
          <w:rFonts w:eastAsiaTheme="minorEastAsia" w:cs="Tahoma"/>
          <w:noProof/>
          <w:sz w:val="20"/>
          <w:szCs w:val="20"/>
          <w:lang w:val="sr-Cyrl-CS" w:eastAsia="ja-JP"/>
        </w:rPr>
        <w:t xml:space="preserve">ризици рочне и структурне неусклађености имовине са обавезама и </w:t>
      </w:r>
    </w:p>
    <w:p w:rsidR="00FF2BB5" w:rsidRPr="00521CE0" w:rsidRDefault="00FF2BB5" w:rsidP="00521CE0">
      <w:pPr>
        <w:pStyle w:val="ListParagraph"/>
        <w:numPr>
          <w:ilvl w:val="0"/>
          <w:numId w:val="36"/>
        </w:numPr>
        <w:spacing w:before="120" w:after="120"/>
        <w:jc w:val="both"/>
        <w:rPr>
          <w:rFonts w:eastAsiaTheme="minorEastAsia" w:cs="Tahoma"/>
          <w:noProof/>
          <w:sz w:val="20"/>
          <w:szCs w:val="20"/>
          <w:lang w:val="sr-Cyrl-CS" w:eastAsia="ja-JP"/>
        </w:rPr>
      </w:pPr>
      <w:r w:rsidRPr="00521CE0">
        <w:rPr>
          <w:rFonts w:eastAsiaTheme="minorEastAsia" w:cs="Tahoma"/>
          <w:noProof/>
          <w:sz w:val="20"/>
          <w:szCs w:val="20"/>
          <w:lang w:val="sr-Cyrl-CS" w:eastAsia="ja-JP"/>
        </w:rPr>
        <w:t>правни и репутациони ризици.</w:t>
      </w:r>
    </w:p>
    <w:p w:rsidR="00FF2BB5" w:rsidRDefault="00FF2BB5" w:rsidP="00FF2BB5">
      <w:pPr>
        <w:spacing w:before="120" w:after="120"/>
        <w:jc w:val="both"/>
        <w:rPr>
          <w:rFonts w:ascii="Tahoma" w:hAnsi="Tahoma" w:cs="Tahoma"/>
          <w:noProof/>
          <w:lang w:val="sr-Latn-RS"/>
        </w:rPr>
      </w:pPr>
      <w:r w:rsidRPr="00FF2BB5">
        <w:rPr>
          <w:rFonts w:eastAsiaTheme="minorEastAsia" w:cs="Tahoma"/>
          <w:noProof/>
          <w:sz w:val="20"/>
          <w:szCs w:val="20"/>
          <w:lang w:val="sr-Cyrl-CS" w:eastAsia="ja-JP"/>
        </w:rPr>
        <w:t>Приликом класификације ризика исти су рангирани у  складу са степеном њиховог утицаја на пословање Друштва и то на: низак ризик, ризик средњег интензитета, висок ризик и екстреман ризик,тј. незнатан,мали,значајан,критичан и неприхватљив</w:t>
      </w:r>
      <w:r w:rsidRPr="001F58A9">
        <w:rPr>
          <w:rFonts w:ascii="Tahoma" w:hAnsi="Tahoma" w:cs="Tahoma"/>
          <w:noProof/>
          <w:lang w:val="sr-Cyrl-RS"/>
        </w:rPr>
        <w:t>.</w:t>
      </w: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ascii="Tahoma" w:hAnsi="Tahoma" w:cs="Tahoma"/>
          <w:noProof/>
          <w:lang w:val="sr-Latn-RS"/>
        </w:rPr>
        <w:t>Стратегијом</w:t>
      </w:r>
      <w:r w:rsidRPr="00342949">
        <w:rPr>
          <w:rFonts w:eastAsiaTheme="minorEastAsia" w:cs="Tahoma"/>
          <w:noProof/>
          <w:sz w:val="20"/>
          <w:szCs w:val="20"/>
          <w:lang w:val="sr-Cyrl-CS" w:eastAsia="ja-JP"/>
        </w:rPr>
        <w:t xml:space="preserve"> управљања ризицима, успоставља се свеобухватно, поуздано и ефикасно управљање ризицима, на начин који обезбеђује да Друштво за реосигурање ''ДУНАВ РЕ'' а.д.о. управља свим ризицима дефинисаним Стратегијом управљања ризицима који обезбеђује трајно одржавање степена изложености ризицима на нивоу који не угрожава имовину и пословање Друштва, као и заштиту права и интереса корисника услуга реосигурања. </w:t>
      </w: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Стратегијом управљања ризицима успоставља се интегрисани систем управљања и праћења ризика, дефинише организација процеса, надлежности и одговорности, успостављају механизми за контролу ризика .</w:t>
      </w: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Стратегијом управљања ризицима дефинишу се начини успостављања хоризонталне и вертикалне организације послова управљања ризицима, врсте ризика који су предмет праћења и управљања, обезбеђују се претпоставке и утврђују начини размене информација између функције управљања ризицима са једне стране и других организационих јединица и органа управљања и руковођења са друге стране. </w:t>
      </w: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Саставни део Стратегије управљања ризицима, чине Политике управљања ризицима, процеси и процедуре управљања ризицима и преузимања ризика. </w:t>
      </w: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Идентификација, процена, мерење и контрола ризика којима је Друштво изложено, континуирано се развија и прилагођава промењеним условима пословања у свим организационим јединицама, у складу са унутрашњом организацијом и систематизацијом послова, усвојеним интерним актима, правилима струке, добрим пословним обичајима, пословном етиком и важећим прописима.</w:t>
      </w:r>
    </w:p>
    <w:p w:rsidR="00FC29C0" w:rsidRDefault="008A0B1E" w:rsidP="00FC29C0">
      <w:pPr>
        <w:pStyle w:val="NoSpacing"/>
        <w:spacing w:line="276" w:lineRule="auto"/>
        <w:jc w:val="both"/>
        <w:rPr>
          <w:rFonts w:ascii="Tahoma" w:hAnsi="Tahoma" w:cs="Tahoma"/>
          <w:b/>
          <w:noProof/>
          <w:lang w:val="sr-Cyrl-RS"/>
        </w:rPr>
      </w:pPr>
      <w:r w:rsidRPr="00342949">
        <w:rPr>
          <w:rFonts w:ascii="Tahoma" w:hAnsi="Tahoma" w:cs="Tahoma"/>
          <w:b/>
          <w:noProof/>
          <w:lang w:val="sr-Cyrl-RS"/>
        </w:rPr>
        <w:t>Ризик реосигурања</w:t>
      </w:r>
    </w:p>
    <w:p w:rsidR="00FC29C0" w:rsidRPr="00342949" w:rsidRDefault="00FC29C0" w:rsidP="00FC29C0">
      <w:pPr>
        <w:pStyle w:val="NoSpacing"/>
        <w:spacing w:line="276" w:lineRule="auto"/>
        <w:jc w:val="both"/>
        <w:rPr>
          <w:rFonts w:cs="Tahoma"/>
          <w:noProof/>
          <w:sz w:val="20"/>
          <w:szCs w:val="20"/>
          <w:lang w:val="sr-Cyrl-CS"/>
        </w:rPr>
      </w:pPr>
      <w:r w:rsidRPr="00FC29C0">
        <w:rPr>
          <w:rFonts w:ascii="Tahoma" w:eastAsia="Times New Roman" w:hAnsi="Tahoma" w:cs="Tahoma"/>
          <w:noProof/>
          <w:lang w:val="sr-Cyrl-CS" w:eastAsia="en-US"/>
        </w:rPr>
        <w:t xml:space="preserve"> </w:t>
      </w:r>
      <w:r w:rsidRPr="00342949">
        <w:rPr>
          <w:rFonts w:cs="Tahoma"/>
          <w:noProof/>
          <w:sz w:val="20"/>
          <w:szCs w:val="20"/>
          <w:lang w:val="sr-Cyrl-CS"/>
        </w:rPr>
        <w:t xml:space="preserve">Ризик реосигурања проистиче из немогућности Друштва да апсорбује преузете ризике својствене делатности реосигурања. Друштво закључује активне уговоре о реосигурању којима се ризик осигурања преноси са осигуравача на Друштво, као и пасивне уговоре о реосигурању којима се ризик реосигурања преноси са Друштва на ретроцеденте. </w:t>
      </w:r>
    </w:p>
    <w:p w:rsidR="00FC29C0" w:rsidRPr="00342949" w:rsidRDefault="00FC29C0" w:rsidP="00FC29C0">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У оквиру ризика реосигурања Друштво редовно прати и анализира следеће ризике:</w:t>
      </w:r>
    </w:p>
    <w:p w:rsidR="00FC29C0" w:rsidRPr="00342949" w:rsidRDefault="00FC29C0" w:rsidP="00FC29C0">
      <w:pPr>
        <w:spacing w:after="0"/>
        <w:jc w:val="both"/>
        <w:rPr>
          <w:rFonts w:eastAsiaTheme="minorEastAsia" w:cs="Tahoma"/>
          <w:noProof/>
          <w:sz w:val="20"/>
          <w:szCs w:val="20"/>
          <w:lang w:val="sr-Cyrl-CS" w:eastAsia="ja-JP"/>
        </w:rPr>
      </w:pPr>
    </w:p>
    <w:p w:rsidR="00FC29C0" w:rsidRPr="00342949" w:rsidRDefault="00FC29C0" w:rsidP="0044694D">
      <w:pPr>
        <w:spacing w:after="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а) ризик адекватности техничких резерви и ризици у вези са планирањем техничких резерви Друштва,</w:t>
      </w:r>
    </w:p>
    <w:p w:rsidR="00FC29C0" w:rsidRPr="00342949" w:rsidRDefault="00FC29C0" w:rsidP="0044694D">
      <w:pPr>
        <w:spacing w:after="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б) ризик неадекватно обрачунате математичке резерве,</w:t>
      </w:r>
    </w:p>
    <w:p w:rsidR="00FC29C0" w:rsidRPr="00342949" w:rsidRDefault="00FC29C0" w:rsidP="0044694D">
      <w:pPr>
        <w:spacing w:after="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в) ризик неадекватно одређене премије реосигурања,</w:t>
      </w:r>
    </w:p>
    <w:p w:rsidR="00FC29C0" w:rsidRPr="00342949" w:rsidRDefault="00FC29C0" w:rsidP="0044694D">
      <w:pPr>
        <w:spacing w:after="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г) ризик неодговарајућег утврђивања услова  реосигурања,</w:t>
      </w:r>
    </w:p>
    <w:p w:rsidR="00FC29C0" w:rsidRPr="00342949" w:rsidRDefault="00FC29C0" w:rsidP="0044694D">
      <w:pPr>
        <w:spacing w:after="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д) ризик неадекватног одређивања нивоа самопридржаја и</w:t>
      </w:r>
    </w:p>
    <w:p w:rsidR="00FC29C0" w:rsidRPr="00342949" w:rsidRDefault="00FC29C0" w:rsidP="0044694D">
      <w:pPr>
        <w:spacing w:after="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ђ) ризик неадекватне процене ризика који се преузима у реосигурање,</w:t>
      </w:r>
    </w:p>
    <w:p w:rsidR="00FC29C0" w:rsidRPr="00342949" w:rsidRDefault="00FC29C0" w:rsidP="00FC29C0">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 </w:t>
      </w:r>
    </w:p>
    <w:p w:rsidR="00FC29C0" w:rsidRPr="00342949" w:rsidRDefault="00FC29C0" w:rsidP="00FC29C0">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како би обезбедило трајно одржавање степена изложености ризицима на нивоу који неће угрозити имовину и пословање и који ће обезбедити заштиту интереса цедената и других поверилаца.</w:t>
      </w:r>
    </w:p>
    <w:p w:rsidR="00FC29C0" w:rsidRPr="00342949" w:rsidRDefault="00FC29C0" w:rsidP="00FC29C0">
      <w:pPr>
        <w:spacing w:after="0"/>
        <w:jc w:val="both"/>
        <w:rPr>
          <w:rFonts w:eastAsiaTheme="minorEastAsia" w:cs="Tahoma"/>
          <w:noProof/>
          <w:sz w:val="20"/>
          <w:szCs w:val="20"/>
          <w:lang w:val="sr-Cyrl-CS" w:eastAsia="ja-JP"/>
        </w:rPr>
      </w:pPr>
    </w:p>
    <w:p w:rsidR="00FC29C0" w:rsidRPr="00342949" w:rsidRDefault="00FC29C0" w:rsidP="00FC29C0">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У оквиру групе ризика реосигурања сви су према њиховом утицају на пословање Друштва класификовани као ниски.</w:t>
      </w:r>
    </w:p>
    <w:p w:rsidR="00FC29C0" w:rsidRPr="00342949" w:rsidRDefault="00FC29C0" w:rsidP="00FC29C0">
      <w:pPr>
        <w:spacing w:after="0" w:line="240" w:lineRule="auto"/>
        <w:jc w:val="both"/>
        <w:rPr>
          <w:rFonts w:eastAsiaTheme="minorEastAsia" w:cs="Tahoma"/>
          <w:noProof/>
          <w:sz w:val="20"/>
          <w:szCs w:val="20"/>
          <w:lang w:val="sr-Cyrl-CS" w:eastAsia="ja-JP"/>
        </w:rPr>
      </w:pPr>
    </w:p>
    <w:p w:rsidR="00BA7A68" w:rsidRPr="00342949" w:rsidRDefault="00BA7A68" w:rsidP="00BA7A68">
      <w:pPr>
        <w:spacing w:before="120" w:after="120"/>
        <w:jc w:val="both"/>
        <w:rPr>
          <w:rFonts w:ascii="Tahoma" w:hAnsi="Tahoma" w:cs="Tahoma"/>
          <w:b/>
          <w:noProof/>
          <w:lang w:val="sr-Latn-RS"/>
        </w:rPr>
      </w:pPr>
      <w:r w:rsidRPr="00BA7A68">
        <w:rPr>
          <w:rFonts w:ascii="Tahoma" w:hAnsi="Tahoma" w:cs="Tahoma"/>
          <w:noProof/>
          <w:lang w:val="sr-Latn-RS"/>
        </w:rPr>
        <w:tab/>
      </w:r>
      <w:r w:rsidRPr="00342949">
        <w:rPr>
          <w:rFonts w:ascii="Tahoma" w:hAnsi="Tahoma" w:cs="Tahoma"/>
          <w:b/>
          <w:noProof/>
          <w:lang w:val="sr-Latn-RS"/>
        </w:rPr>
        <w:t>Тржишни ризик</w:t>
      </w: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Тржишни ризик проистиче из неповољних промена на тржишту, и то пре свега на тржишту осигурања и финансијском тржишту. Он може да се испољи и кроз потенцијални губитак и добитак.</w:t>
      </w:r>
    </w:p>
    <w:p w:rsidR="00BA7A68" w:rsidRPr="00342949" w:rsidRDefault="00BA7A68" w:rsidP="00BA7A68">
      <w:pPr>
        <w:spacing w:before="120" w:after="120"/>
        <w:jc w:val="both"/>
        <w:rPr>
          <w:rFonts w:eastAsiaTheme="minorEastAsia" w:cs="Tahoma"/>
          <w:noProof/>
          <w:sz w:val="20"/>
          <w:szCs w:val="20"/>
          <w:lang w:val="sr-Cyrl-CS" w:eastAsia="ja-JP"/>
        </w:rPr>
      </w:pP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Овај ризик нарочито обухвата:</w:t>
      </w:r>
    </w:p>
    <w:p w:rsidR="00BA7A68" w:rsidRPr="00342949" w:rsidRDefault="00BA7A68" w:rsidP="0044694D">
      <w:pPr>
        <w:spacing w:before="120" w:after="12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а) ризик конкуренције;</w:t>
      </w:r>
    </w:p>
    <w:p w:rsidR="00BA7A68" w:rsidRPr="00342949" w:rsidRDefault="00BA7A68" w:rsidP="0044694D">
      <w:pPr>
        <w:spacing w:before="120" w:after="12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б) ризик неадекватног прилагођавања захтевима корисника услуга реосигурања;</w:t>
      </w:r>
    </w:p>
    <w:p w:rsidR="00BA7A68" w:rsidRPr="00342949" w:rsidRDefault="00BA7A68" w:rsidP="0044694D">
      <w:pPr>
        <w:spacing w:before="120" w:after="12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в) ризик смањења премије у самопридржају;</w:t>
      </w:r>
    </w:p>
    <w:p w:rsidR="00BA7A68" w:rsidRPr="00342949" w:rsidRDefault="00BA7A68" w:rsidP="0044694D">
      <w:pPr>
        <w:spacing w:before="120" w:after="12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г) ризик промене каматних стопа;</w:t>
      </w:r>
    </w:p>
    <w:p w:rsidR="00BA7A68" w:rsidRPr="00342949" w:rsidRDefault="00BA7A68" w:rsidP="0044694D">
      <w:pPr>
        <w:spacing w:before="120" w:after="12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д) ризик промене цена хартија од вредности;</w:t>
      </w:r>
    </w:p>
    <w:p w:rsidR="00BA7A68" w:rsidRPr="00342949" w:rsidRDefault="00BA7A68" w:rsidP="0044694D">
      <w:pPr>
        <w:spacing w:before="120" w:after="120"/>
        <w:ind w:left="708"/>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ђ) девизни ризик.</w:t>
      </w: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У оквиру групе тржишних ризика сви су према њиховом утицају на пословање Друштва класификовани као средњи.</w:t>
      </w:r>
    </w:p>
    <w:p w:rsidR="00BA7A68" w:rsidRPr="00342949" w:rsidRDefault="002153A2" w:rsidP="00BA7A68">
      <w:pPr>
        <w:spacing w:before="120" w:after="120"/>
        <w:jc w:val="both"/>
        <w:rPr>
          <w:rFonts w:eastAsiaTheme="minorEastAsia" w:cs="Tahoma"/>
          <w:noProof/>
          <w:sz w:val="20"/>
          <w:szCs w:val="20"/>
          <w:u w:val="single"/>
          <w:lang w:val="sr-Cyrl-CS" w:eastAsia="ja-JP"/>
        </w:rPr>
      </w:pPr>
      <w:r w:rsidRPr="00342949">
        <w:rPr>
          <w:rFonts w:eastAsiaTheme="minorEastAsia" w:cs="Tahoma"/>
          <w:noProof/>
          <w:sz w:val="20"/>
          <w:szCs w:val="20"/>
          <w:u w:val="single"/>
          <w:lang w:val="sr-Cyrl-CS" w:eastAsia="ja-JP"/>
        </w:rPr>
        <w:t>а) Ризик конкуренције</w:t>
      </w:r>
    </w:p>
    <w:p w:rsidR="00BA7A68" w:rsidRPr="00342949" w:rsidRDefault="00BA7A68"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Друштво редовно врши анализу позиционираности Друштва на тржишту реосигурања у земљи и иностранству и ради на очувању поверења и реномеа на европском тржишту кроз директне контакте са реосигуравачима и повећање сарадње са реосигуравачима са простора Балкана (пре свега БиХ и Словенијом).</w:t>
      </w:r>
    </w:p>
    <w:p w:rsidR="00BA7A68" w:rsidRPr="00342949" w:rsidRDefault="00BA7A68" w:rsidP="00BA7A68">
      <w:pPr>
        <w:spacing w:after="0" w:line="240" w:lineRule="auto"/>
        <w:jc w:val="both"/>
        <w:rPr>
          <w:rFonts w:eastAsiaTheme="minorEastAsia" w:cs="Tahoma"/>
          <w:noProof/>
          <w:sz w:val="20"/>
          <w:szCs w:val="20"/>
          <w:u w:val="single"/>
          <w:lang w:val="sr-Cyrl-CS" w:eastAsia="ja-JP"/>
        </w:rPr>
      </w:pPr>
      <w:r w:rsidRPr="00342949">
        <w:rPr>
          <w:rFonts w:eastAsiaTheme="minorEastAsia" w:cs="Tahoma"/>
          <w:noProof/>
          <w:sz w:val="20"/>
          <w:szCs w:val="20"/>
          <w:lang w:val="sr-Cyrl-CS" w:eastAsia="ja-JP"/>
        </w:rPr>
        <w:t xml:space="preserve">б) </w:t>
      </w:r>
      <w:r w:rsidRPr="00342949">
        <w:rPr>
          <w:rFonts w:eastAsiaTheme="minorEastAsia" w:cs="Tahoma"/>
          <w:noProof/>
          <w:sz w:val="20"/>
          <w:szCs w:val="20"/>
          <w:u w:val="single"/>
          <w:lang w:val="sr-Cyrl-CS" w:eastAsia="ja-JP"/>
        </w:rPr>
        <w:t xml:space="preserve">Ризик неадекватног прилагођавања захтевима </w:t>
      </w:r>
    </w:p>
    <w:p w:rsidR="00BA7A68" w:rsidRPr="00342949" w:rsidRDefault="00BA7A68" w:rsidP="00BA7A68">
      <w:pPr>
        <w:spacing w:after="0" w:line="240" w:lineRule="auto"/>
        <w:ind w:left="360" w:hanging="90"/>
        <w:jc w:val="both"/>
        <w:rPr>
          <w:rFonts w:eastAsiaTheme="minorEastAsia" w:cs="Tahoma"/>
          <w:noProof/>
          <w:sz w:val="20"/>
          <w:szCs w:val="20"/>
          <w:u w:val="single"/>
          <w:lang w:val="sr-Cyrl-CS" w:eastAsia="ja-JP"/>
        </w:rPr>
      </w:pPr>
      <w:r w:rsidRPr="00342949">
        <w:rPr>
          <w:rFonts w:eastAsiaTheme="minorEastAsia" w:cs="Tahoma"/>
          <w:noProof/>
          <w:sz w:val="20"/>
          <w:szCs w:val="20"/>
          <w:u w:val="single"/>
          <w:lang w:val="sr-Cyrl-CS" w:eastAsia="ja-JP"/>
        </w:rPr>
        <w:t>корисника услуга реосигурања</w:t>
      </w:r>
    </w:p>
    <w:p w:rsidR="00BA7A68" w:rsidRPr="00342949" w:rsidRDefault="00BA7A68" w:rsidP="00BA7A68">
      <w:pPr>
        <w:spacing w:after="0" w:line="240" w:lineRule="auto"/>
        <w:jc w:val="both"/>
        <w:rPr>
          <w:rFonts w:eastAsiaTheme="minorEastAsia" w:cs="Tahoma"/>
          <w:noProof/>
          <w:sz w:val="20"/>
          <w:szCs w:val="20"/>
          <w:lang w:val="sr-Cyrl-CS" w:eastAsia="ja-JP"/>
        </w:rPr>
      </w:pPr>
    </w:p>
    <w:p w:rsidR="00BA7A68" w:rsidRPr="00342949" w:rsidRDefault="00BA7A68" w:rsidP="00BA7A68">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Како би ризик неадекватног прилагођавања захтевима корисника услуга осигурања свело на најмању меру Друштво редовно прати европске и светске трендове развоја нових производа реосигурања и оцењује адекватност њихове примене у односу на захтеве корисника.</w:t>
      </w:r>
    </w:p>
    <w:p w:rsidR="00BA7A68" w:rsidRPr="00342949" w:rsidRDefault="00BA7A68" w:rsidP="00BA7A68">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Као резултат бољег прилагођавања захтевима осигуравајућих друштава,дошло је до повећања активне премије реосигурања.</w:t>
      </w:r>
    </w:p>
    <w:p w:rsidR="002153A2" w:rsidRPr="00342949" w:rsidRDefault="002153A2" w:rsidP="002153A2">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в) Ризик смањења премије у самопридржају</w:t>
      </w:r>
    </w:p>
    <w:p w:rsidR="002153A2" w:rsidRPr="00342949" w:rsidRDefault="002153A2" w:rsidP="002153A2">
      <w:pPr>
        <w:spacing w:after="0" w:line="240" w:lineRule="auto"/>
        <w:jc w:val="both"/>
        <w:rPr>
          <w:rFonts w:eastAsiaTheme="minorEastAsia" w:cs="Tahoma"/>
          <w:noProof/>
          <w:sz w:val="20"/>
          <w:szCs w:val="20"/>
          <w:lang w:val="sr-Cyrl-CS" w:eastAsia="ja-JP"/>
        </w:rPr>
      </w:pPr>
    </w:p>
    <w:p w:rsidR="002153A2" w:rsidRPr="00342949" w:rsidRDefault="002153A2" w:rsidP="002153A2">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Друштво анализира остварења у одређеном периоду у однису на план и остварење у истом периоду предходне године.</w:t>
      </w:r>
    </w:p>
    <w:p w:rsidR="002153A2" w:rsidRPr="00342949" w:rsidRDefault="002153A2" w:rsidP="002153A2">
      <w:pPr>
        <w:spacing w:after="0" w:line="240" w:lineRule="auto"/>
        <w:jc w:val="both"/>
        <w:rPr>
          <w:rFonts w:eastAsiaTheme="minorEastAsia" w:cs="Tahoma"/>
          <w:noProof/>
          <w:sz w:val="20"/>
          <w:szCs w:val="20"/>
          <w:lang w:val="sr-Cyrl-CS" w:eastAsia="ja-JP"/>
        </w:rPr>
      </w:pPr>
    </w:p>
    <w:p w:rsidR="002153A2" w:rsidRPr="00342949" w:rsidRDefault="002153A2" w:rsidP="002153A2">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Друштво се фокусира на надокнађивање премије у самопридржају из других  послова реосигурања,</w:t>
      </w:r>
    </w:p>
    <w:p w:rsidR="002153A2" w:rsidRPr="00342949" w:rsidRDefault="002153A2" w:rsidP="0044694D">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                        а) закључивање нових уговора о реосигурању са другим цедент компанијама по којима би капацитети Друштва били максимално анагажовани. </w:t>
      </w:r>
    </w:p>
    <w:p w:rsidR="002153A2" w:rsidRPr="00342949" w:rsidRDefault="002153A2" w:rsidP="0044694D">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                        б) обезбеђење аутоматских капацитета за нове производе на тржишту као и за мање развијене производе који имају потенцијале на локаном тржишту.</w:t>
      </w:r>
    </w:p>
    <w:p w:rsidR="002153A2" w:rsidRPr="00342949" w:rsidRDefault="002153A2" w:rsidP="002153A2">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г)Ризик промене каматних стопа</w:t>
      </w:r>
    </w:p>
    <w:p w:rsidR="002153A2" w:rsidRPr="00342949" w:rsidRDefault="002153A2" w:rsidP="002153A2">
      <w:pPr>
        <w:spacing w:after="0" w:line="240" w:lineRule="auto"/>
        <w:jc w:val="both"/>
        <w:rPr>
          <w:rFonts w:eastAsiaTheme="minorEastAsia" w:cs="Tahoma"/>
          <w:noProof/>
          <w:sz w:val="20"/>
          <w:szCs w:val="20"/>
          <w:lang w:val="sr-Cyrl-CS" w:eastAsia="ja-JP"/>
        </w:rPr>
      </w:pPr>
    </w:p>
    <w:p w:rsidR="002153A2" w:rsidRPr="00342949" w:rsidRDefault="002153A2" w:rsidP="002153A2">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Каматни ризик се у целости односи на ризик смањења прихода Друштва услед промена у висини каматних стопа. Поред ризика везаног за смањење прихода, Друштво је такође изложено ризику промене будућих токова готовине, односно смањења прилива узрокованог падом каматне стопе. Друшво редовно прати и анализира утицај промене ризика каматних стопа који чини саставни део ризика смањења приноса од депоновања и улагања средстава услед смањења каматних стопа и цена власничких хартија од вредности </w:t>
      </w:r>
    </w:p>
    <w:p w:rsidR="002153A2" w:rsidRPr="00342949" w:rsidRDefault="002153A2" w:rsidP="002153A2">
      <w:pPr>
        <w:spacing w:after="0"/>
        <w:jc w:val="both"/>
        <w:rPr>
          <w:rFonts w:eastAsiaTheme="minorEastAsia" w:cs="Tahoma"/>
          <w:noProof/>
          <w:sz w:val="20"/>
          <w:szCs w:val="20"/>
          <w:lang w:val="sr-Cyrl-CS" w:eastAsia="ja-JP"/>
        </w:rPr>
      </w:pPr>
    </w:p>
    <w:p w:rsidR="002153A2" w:rsidRPr="00342949" w:rsidRDefault="002153A2" w:rsidP="002153A2">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Управа Друштва редовно прати и анализира приносе инвестиционог портфолиа и параметре на финансијском тржишту, посебно кретање каматних стопа ради контроле ризика промене вредности финансијских средстава.</w:t>
      </w:r>
    </w:p>
    <w:p w:rsidR="002153A2" w:rsidRDefault="002153A2" w:rsidP="002153A2">
      <w:pPr>
        <w:spacing w:after="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У 2015. години настављен је тренд пада каматних стопа . Референтна каматана стопа је четири пута смањивана у току године. Просечан пад каматних стопа је 20%. Друштво ће наставити редовно параћење кретања стопа приноса на финансијском тржишту како би инвестирала у финансисјке инструменте са највећим приносима.</w:t>
      </w:r>
    </w:p>
    <w:p w:rsidR="0044694D" w:rsidRPr="00342949" w:rsidRDefault="0044694D" w:rsidP="002153A2">
      <w:pPr>
        <w:spacing w:after="0"/>
        <w:jc w:val="both"/>
        <w:rPr>
          <w:rFonts w:eastAsiaTheme="minorEastAsia" w:cs="Tahoma"/>
          <w:noProof/>
          <w:sz w:val="20"/>
          <w:szCs w:val="20"/>
          <w:lang w:val="sr-Cyrl-CS" w:eastAsia="ja-JP"/>
        </w:rPr>
      </w:pPr>
    </w:p>
    <w:p w:rsidR="002153A2" w:rsidRPr="00342949" w:rsidRDefault="002153A2" w:rsidP="002153A2">
      <w:pPr>
        <w:spacing w:after="0" w:line="240" w:lineRule="auto"/>
        <w:jc w:val="both"/>
        <w:rPr>
          <w:rFonts w:eastAsiaTheme="minorEastAsia" w:cs="Tahoma"/>
          <w:noProof/>
          <w:sz w:val="20"/>
          <w:szCs w:val="20"/>
          <w:u w:val="single"/>
          <w:lang w:val="sr-Cyrl-CS" w:eastAsia="ja-JP"/>
        </w:rPr>
      </w:pPr>
      <w:r w:rsidRPr="00342949">
        <w:rPr>
          <w:rFonts w:eastAsiaTheme="minorEastAsia" w:cs="Tahoma"/>
          <w:noProof/>
          <w:sz w:val="20"/>
          <w:szCs w:val="20"/>
          <w:u w:val="single"/>
          <w:lang w:val="sr-Cyrl-CS" w:eastAsia="ja-JP"/>
        </w:rPr>
        <w:t>д) Ризик промене цена хартија од вредности</w:t>
      </w:r>
    </w:p>
    <w:p w:rsidR="002153A2" w:rsidRPr="00342949" w:rsidRDefault="002153A2" w:rsidP="002153A2">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Друштво анализира кретања вредности ХоВ у портфолију Друштва и прати утицај приноса/губитака од ових улагања у укупним добицима/губицима оствареним од депоновања и улагања средстава Друштва;</w:t>
      </w:r>
    </w:p>
    <w:p w:rsidR="002153A2" w:rsidRPr="00342949" w:rsidRDefault="002153A2" w:rsidP="002153A2">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  Редовно прати кретања вредности ХоВ у портфолију Друштва, и стална комуникација са корпоративним агентом у циљу сагледавања оптималних услова за продају или евентуално стицање нових.</w:t>
      </w:r>
    </w:p>
    <w:p w:rsidR="002153A2" w:rsidRPr="00342949" w:rsidRDefault="002153A2" w:rsidP="002153A2">
      <w:pPr>
        <w:spacing w:after="0" w:line="240" w:lineRule="auto"/>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Улагање средстава Друштва је у складу са Одлуком НБС и инвестиционом политиком.</w:t>
      </w:r>
    </w:p>
    <w:p w:rsidR="00BA7A68" w:rsidRPr="00342949" w:rsidRDefault="002153A2" w:rsidP="00BA7A68">
      <w:pPr>
        <w:spacing w:before="120" w:after="120"/>
        <w:jc w:val="both"/>
        <w:rPr>
          <w:rFonts w:eastAsiaTheme="minorEastAsia" w:cs="Tahoma"/>
          <w:noProof/>
          <w:sz w:val="20"/>
          <w:szCs w:val="20"/>
          <w:u w:val="single"/>
          <w:lang w:val="sr-Cyrl-CS" w:eastAsia="ja-JP"/>
        </w:rPr>
      </w:pPr>
      <w:r w:rsidRPr="00342949">
        <w:rPr>
          <w:rFonts w:eastAsiaTheme="minorEastAsia" w:cs="Tahoma"/>
          <w:noProof/>
          <w:sz w:val="20"/>
          <w:szCs w:val="20"/>
          <w:u w:val="single"/>
          <w:lang w:val="sr-Cyrl-CS" w:eastAsia="ja-JP"/>
        </w:rPr>
        <w:t>ђ) Девизни ризик</w:t>
      </w:r>
    </w:p>
    <w:p w:rsidR="00834E6C" w:rsidRPr="00342949" w:rsidRDefault="002153A2"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У циљу заштите од велике изложености девизном ризику, приликом уговарања реосигуравајућег покрића у земљи обавезно се примењује валутна клаузула, а активност депоновања и улагања средстава се спроводи на начин да обезбеди високо учешће валутних позиција на страни активе.</w:t>
      </w:r>
    </w:p>
    <w:p w:rsidR="002153A2" w:rsidRDefault="00834E6C" w:rsidP="00BA7A68">
      <w:pPr>
        <w:spacing w:before="120" w:after="120"/>
        <w:jc w:val="both"/>
        <w:rPr>
          <w:rFonts w:ascii="Tahoma" w:hAnsi="Tahoma" w:cs="Tahoma"/>
          <w:b/>
          <w:noProof/>
          <w:lang w:val="sr-Cyrl-RS"/>
        </w:rPr>
      </w:pPr>
      <w:r w:rsidRPr="00834E6C">
        <w:rPr>
          <w:rFonts w:ascii="Tahoma" w:hAnsi="Tahoma" w:cs="Tahoma"/>
          <w:noProof/>
          <w:lang w:val="sr-Cyrl-RS"/>
        </w:rPr>
        <w:tab/>
      </w:r>
      <w:r w:rsidRPr="00342949">
        <w:rPr>
          <w:rFonts w:ascii="Tahoma" w:hAnsi="Tahoma" w:cs="Tahoma"/>
          <w:b/>
          <w:noProof/>
          <w:lang w:val="sr-Cyrl-RS"/>
        </w:rPr>
        <w:t>Ризик рочне и структурне неусклађености имовине са обавезама</w:t>
      </w:r>
    </w:p>
    <w:p w:rsidR="00A3543E" w:rsidRPr="00342949" w:rsidRDefault="00A3543E"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У оквиру ове групе ризика редовно се прате и анализирају следеђи ризици:</w:t>
      </w:r>
    </w:p>
    <w:p w:rsidR="00A3543E" w:rsidRPr="00342949" w:rsidRDefault="00A3543E"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 а) Ризик адекватности капитала-потребан ниво солвентног капитала</w:t>
      </w:r>
    </w:p>
    <w:p w:rsidR="00A3543E" w:rsidRPr="00342949" w:rsidRDefault="00A3543E"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 б) Ризик солвентности и ликвидности и ризик неадекватног управљања имовином и обавезама</w:t>
      </w:r>
    </w:p>
    <w:p w:rsidR="00A3543E" w:rsidRPr="00342949" w:rsidRDefault="00A3543E"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 в) Ризик наплате потраживања</w:t>
      </w:r>
    </w:p>
    <w:p w:rsidR="00A3543E" w:rsidRPr="00342949" w:rsidRDefault="00A3543E"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 xml:space="preserve"> г) Ризик покривености трошкова спровођења реосигурања</w:t>
      </w:r>
    </w:p>
    <w:p w:rsidR="002153A2" w:rsidRPr="00342949" w:rsidRDefault="00834E6C" w:rsidP="00BA7A68">
      <w:pPr>
        <w:spacing w:before="120" w:after="120"/>
        <w:jc w:val="both"/>
        <w:rPr>
          <w:rFonts w:eastAsiaTheme="minorEastAsia" w:cs="Tahoma"/>
          <w:noProof/>
          <w:sz w:val="20"/>
          <w:szCs w:val="20"/>
          <w:lang w:val="sr-Cyrl-CS" w:eastAsia="ja-JP"/>
        </w:rPr>
      </w:pPr>
      <w:r w:rsidRPr="00342949">
        <w:rPr>
          <w:rFonts w:eastAsiaTheme="minorEastAsia" w:cs="Tahoma"/>
          <w:noProof/>
          <w:sz w:val="20"/>
          <w:szCs w:val="20"/>
          <w:lang w:val="sr-Cyrl-CS" w:eastAsia="ja-JP"/>
        </w:rPr>
        <w:t>Анализа ликвидности, солвентности и финансијског положаја Друштва, применом инструмената анализе активе и пасиве по вертикали и хоризонтали, као и референтни рацио показатељи , указују да  Друштво није изложено значајном ризику од рочне и структурне неусклађености имовине са обавезама. Одржавање ликвидности и солвентности није дошло  у питање</w:t>
      </w:r>
    </w:p>
    <w:p w:rsidR="00CA531C" w:rsidRPr="00700C18" w:rsidRDefault="00CA531C" w:rsidP="00860C32">
      <w:pPr>
        <w:pStyle w:val="Heading1"/>
        <w:numPr>
          <w:ilvl w:val="0"/>
          <w:numId w:val="28"/>
        </w:numPr>
      </w:pPr>
      <w:bookmarkStart w:id="71" w:name="_Toc445975050"/>
      <w:bookmarkStart w:id="72" w:name="_Toc362514673"/>
      <w:r w:rsidRPr="00700C18">
        <w:t>ВАЖНИЈИ ПОСЛОВНИ ДОГАЂАЈИ КОЈИ СУ НАСТУПИЛИ НАКОН ПРОТЕКА ПОСЛОВНЕ 201</w:t>
      </w:r>
      <w:r w:rsidR="00521CE0" w:rsidRPr="00700C18">
        <w:t>5</w:t>
      </w:r>
      <w:r w:rsidRPr="00700C18">
        <w:t>. ГОДИНЕ</w:t>
      </w:r>
      <w:bookmarkEnd w:id="71"/>
    </w:p>
    <w:p w:rsidR="00D50EE5" w:rsidRPr="00BF6376" w:rsidRDefault="00700C18" w:rsidP="007550D4">
      <w:pPr>
        <w:pStyle w:val="NoSpacing"/>
        <w:spacing w:before="240" w:line="276" w:lineRule="auto"/>
        <w:ind w:firstLine="425"/>
        <w:jc w:val="both"/>
        <w:rPr>
          <w:rFonts w:cs="Tahoma"/>
          <w:noProof/>
          <w:sz w:val="20"/>
          <w:szCs w:val="20"/>
          <w:highlight w:val="yellow"/>
          <w:lang w:val="sr-Cyrl-CS"/>
        </w:rPr>
      </w:pPr>
      <w:r w:rsidRPr="00700C18">
        <w:rPr>
          <w:rFonts w:cs="Tahoma"/>
          <w:noProof/>
          <w:sz w:val="20"/>
          <w:szCs w:val="20"/>
          <w:lang w:val="sr-Cyrl-CS"/>
        </w:rPr>
        <w:t>Код израде годишњег финансијског извештаја   нису примењени догађаји након биланса стања,  јер исти нису идентификовани у мери које би значајније утицали на финансијске извештаје.</w:t>
      </w:r>
    </w:p>
    <w:p w:rsidR="00CA531C" w:rsidRPr="00700C18" w:rsidRDefault="00665116" w:rsidP="00860C32">
      <w:pPr>
        <w:pStyle w:val="Heading1"/>
        <w:numPr>
          <w:ilvl w:val="0"/>
          <w:numId w:val="28"/>
        </w:numPr>
      </w:pPr>
      <w:bookmarkStart w:id="73" w:name="_Toc445975051"/>
      <w:r w:rsidRPr="00700C18">
        <w:t xml:space="preserve">ОЧЕКИВАНИ РАЗВОЈ, ПЛАН И ПОСЛОВНА ПОЛИТИКА </w:t>
      </w:r>
      <w:r w:rsidR="00F46A33">
        <w:t>ДРУШТВА</w:t>
      </w:r>
      <w:r w:rsidRPr="00700C18">
        <w:t xml:space="preserve"> У НАРЕДНОМ ПЕРИОДУ И ГЛАВНИ РИЗИЦИ И ПРЕТЊЕ КОЈИМА ЈЕ ПОСЛОВАЊЕ </w:t>
      </w:r>
      <w:r w:rsidR="00F46A33">
        <w:t>ДРУШТВА</w:t>
      </w:r>
      <w:r w:rsidRPr="00700C18">
        <w:t xml:space="preserve"> ИЗЛОЖЕНО</w:t>
      </w:r>
      <w:bookmarkEnd w:id="73"/>
    </w:p>
    <w:p w:rsidR="00536368" w:rsidRPr="00700C18" w:rsidRDefault="00536368" w:rsidP="00D50EE5">
      <w:pPr>
        <w:pStyle w:val="NoSpacing"/>
        <w:spacing w:before="240" w:after="240" w:line="276" w:lineRule="auto"/>
        <w:ind w:firstLine="425"/>
        <w:jc w:val="both"/>
        <w:rPr>
          <w:rFonts w:cs="Tahoma"/>
          <w:noProof/>
          <w:sz w:val="20"/>
          <w:szCs w:val="20"/>
        </w:rPr>
      </w:pPr>
      <w:r w:rsidRPr="00700C18">
        <w:rPr>
          <w:rFonts w:cs="Tahoma"/>
          <w:noProof/>
          <w:sz w:val="20"/>
          <w:szCs w:val="20"/>
          <w:lang w:val="sr-Cyrl-CS"/>
        </w:rPr>
        <w:t>Друштво има искуство на пољу реосигурања преко 30 година што га чини препознатљивим партнером на тржишту рео</w:t>
      </w:r>
      <w:r w:rsidR="00D20867" w:rsidRPr="00700C18">
        <w:rPr>
          <w:rFonts w:cs="Tahoma"/>
          <w:noProof/>
          <w:sz w:val="20"/>
          <w:szCs w:val="20"/>
          <w:lang w:val="sr-Cyrl-CS"/>
        </w:rPr>
        <w:t>сигурања у земљи и иностранству</w:t>
      </w:r>
      <w:r w:rsidR="00D20867" w:rsidRPr="00700C18">
        <w:rPr>
          <w:rFonts w:cs="Tahoma"/>
          <w:noProof/>
          <w:sz w:val="20"/>
          <w:szCs w:val="20"/>
        </w:rPr>
        <w:t xml:space="preserve"> </w:t>
      </w:r>
      <w:r w:rsidR="00D20867" w:rsidRPr="00700C18">
        <w:rPr>
          <w:rFonts w:cs="Tahoma"/>
          <w:noProof/>
          <w:sz w:val="20"/>
          <w:szCs w:val="20"/>
          <w:lang w:val="sr-Cyrl-RS"/>
        </w:rPr>
        <w:t xml:space="preserve">са </w:t>
      </w:r>
      <w:r w:rsidR="00D20867" w:rsidRPr="00700C18">
        <w:rPr>
          <w:rFonts w:cs="Tahoma"/>
          <w:noProof/>
          <w:sz w:val="20"/>
          <w:szCs w:val="20"/>
          <w:lang w:val="sr-Cyrl-CS"/>
        </w:rPr>
        <w:t>угледом високо-професионалног реосигуравача и на међународном тржишту.</w:t>
      </w:r>
    </w:p>
    <w:p w:rsidR="00536368" w:rsidRPr="00700C18" w:rsidRDefault="00536368"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 xml:space="preserve">У наредном периоду предстоји очување и јачање постојеће позиције како на домаћем тржишту, тaко и на иностраном. </w:t>
      </w:r>
    </w:p>
    <w:p w:rsidR="00536368" w:rsidRPr="00700C18" w:rsidRDefault="00536368"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Као слабости Друштва препознају се:</w:t>
      </w:r>
    </w:p>
    <w:p w:rsidR="00536368" w:rsidRPr="00700C18" w:rsidRDefault="00536368"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w:t>
      </w:r>
      <w:r w:rsidRPr="00700C18">
        <w:rPr>
          <w:rFonts w:cs="Tahoma"/>
          <w:noProof/>
          <w:sz w:val="20"/>
          <w:szCs w:val="20"/>
          <w:lang w:val="sr-Cyrl-CS"/>
        </w:rPr>
        <w:tab/>
        <w:t>недостатак стратешког партенра – инореосигуравача са високим бонитетом који би својим капацитетима у форми аутоматских покрића за Дунав Ре, омогућио Друштву даљи развој и раст,</w:t>
      </w:r>
    </w:p>
    <w:p w:rsidR="00536368" w:rsidRPr="00700C18" w:rsidRDefault="00536368"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w:t>
      </w:r>
      <w:r w:rsidRPr="00700C18">
        <w:rPr>
          <w:rFonts w:cs="Tahoma"/>
          <w:noProof/>
          <w:sz w:val="20"/>
          <w:szCs w:val="20"/>
          <w:lang w:val="sr-Cyrl-CS"/>
        </w:rPr>
        <w:tab/>
        <w:t>недостатак рејтинга додељеног од међународно признате агенције, уз ограничавајући фактор тренутно слабог рејтинга земље.</w:t>
      </w:r>
    </w:p>
    <w:p w:rsidR="00536368" w:rsidRPr="00700C18" w:rsidRDefault="00536368"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Могућности друштва према капацитетима локаног и иностраног тржишта су:</w:t>
      </w:r>
    </w:p>
    <w:p w:rsidR="00536368" w:rsidRPr="00700C18" w:rsidRDefault="00536368"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w:t>
      </w:r>
      <w:r w:rsidRPr="00700C18">
        <w:rPr>
          <w:rFonts w:cs="Tahoma"/>
          <w:noProof/>
          <w:sz w:val="20"/>
          <w:szCs w:val="20"/>
          <w:lang w:val="sr-Cyrl-CS"/>
        </w:rPr>
        <w:tab/>
        <w:t>развој хоризонталне ретроцесије на локалном тржишту реосигурања,</w:t>
      </w:r>
    </w:p>
    <w:p w:rsidR="00536368" w:rsidRPr="00700C18" w:rsidRDefault="00536368"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w:t>
      </w:r>
      <w:r w:rsidRPr="00700C18">
        <w:rPr>
          <w:rFonts w:cs="Tahoma"/>
          <w:noProof/>
          <w:sz w:val="20"/>
          <w:szCs w:val="20"/>
          <w:lang w:val="sr-Cyrl-CS"/>
        </w:rPr>
        <w:tab/>
        <w:t>обезбеђење додатних капацитета за аутоматска реосигурања на ино-тржишту за нове послове према развоју потреба тржишта тј. аутоматски капацитети реосигурања и за мање портфеље тј. Цеденте, подршка за  нове производе и производе који нису још увек у потпуности развијени.</w:t>
      </w:r>
    </w:p>
    <w:p w:rsidR="007550D4" w:rsidRPr="00700C18" w:rsidRDefault="00536368"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 xml:space="preserve">Посебна пажња у даљем пословању ће бити посевећена првенствено повећању нивоа премије у самопридржају, кроз подршку цедентима за развој нових производа, аутомастку заштиту обезбеђену из реосигурања за устињена протфолиа у директном осигурању, иницијативу према свим учесницима на локалном тржишту, едукацију цедент компанија са фокусом на указивање  неопходности квалитетног реосигурања као и  примене новог методолошког оквира за управљање ризицима, </w:t>
      </w:r>
      <w:r w:rsidRPr="00700C18">
        <w:rPr>
          <w:rFonts w:cs="Tahoma"/>
          <w:i/>
          <w:noProof/>
          <w:sz w:val="20"/>
          <w:szCs w:val="20"/>
          <w:lang w:val="sr-Cyrl-CS"/>
        </w:rPr>
        <w:t>Solvency II</w:t>
      </w:r>
      <w:r w:rsidRPr="00700C18">
        <w:rPr>
          <w:rFonts w:cs="Tahoma"/>
          <w:noProof/>
          <w:sz w:val="20"/>
          <w:szCs w:val="20"/>
          <w:lang w:val="sr-Cyrl-CS"/>
        </w:rPr>
        <w:t>.</w:t>
      </w:r>
    </w:p>
    <w:p w:rsidR="00536368" w:rsidRDefault="00BA442A" w:rsidP="00D50EE5">
      <w:pPr>
        <w:pStyle w:val="NoSpacing"/>
        <w:spacing w:before="240" w:after="240" w:line="276" w:lineRule="auto"/>
        <w:ind w:firstLine="425"/>
        <w:jc w:val="both"/>
        <w:rPr>
          <w:rFonts w:cs="Tahoma"/>
          <w:noProof/>
          <w:sz w:val="20"/>
          <w:szCs w:val="20"/>
          <w:lang w:val="sr-Cyrl-CS"/>
        </w:rPr>
      </w:pPr>
      <w:r w:rsidRPr="00700C18">
        <w:rPr>
          <w:rFonts w:cs="Tahoma"/>
          <w:noProof/>
          <w:sz w:val="20"/>
          <w:szCs w:val="20"/>
          <w:lang w:val="sr-Cyrl-CS"/>
        </w:rPr>
        <w:t xml:space="preserve">Друштво ће такође пратити кретања каматних стопа и цене власничких хартија од вредности на финасијским тржиштима и у зависности од кретања стопе приноса вршити дисперзију улагања. </w:t>
      </w:r>
      <w:r w:rsidR="00536368" w:rsidRPr="00700C18">
        <w:rPr>
          <w:rFonts w:cs="Tahoma"/>
          <w:noProof/>
          <w:sz w:val="20"/>
          <w:szCs w:val="20"/>
          <w:lang w:val="sr-Cyrl-CS"/>
        </w:rPr>
        <w:t xml:space="preserve">Имајући у виду негативне трендове </w:t>
      </w:r>
      <w:r w:rsidRPr="00700C18">
        <w:rPr>
          <w:rFonts w:cs="Tahoma"/>
          <w:noProof/>
          <w:sz w:val="20"/>
          <w:szCs w:val="20"/>
          <w:lang w:val="sr-Cyrl-CS"/>
        </w:rPr>
        <w:t xml:space="preserve">каматних стопа </w:t>
      </w:r>
      <w:r w:rsidR="00536368" w:rsidRPr="00700C18">
        <w:rPr>
          <w:rFonts w:cs="Tahoma"/>
          <w:noProof/>
          <w:sz w:val="20"/>
          <w:szCs w:val="20"/>
          <w:lang w:val="sr-Cyrl-CS"/>
        </w:rPr>
        <w:t>на фина</w:t>
      </w:r>
      <w:r w:rsidRPr="00700C18">
        <w:rPr>
          <w:rFonts w:cs="Tahoma"/>
          <w:noProof/>
          <w:sz w:val="20"/>
          <w:szCs w:val="20"/>
          <w:lang w:val="sr-Cyrl-CS"/>
        </w:rPr>
        <w:t>сијском тржишту, извесно је да Друштво ће у наредној години повећавати улагање у државне хартије од вредности које доносе и највише приносе.</w:t>
      </w:r>
    </w:p>
    <w:p w:rsidR="008C2B46" w:rsidRDefault="008C2B46" w:rsidP="00860C32">
      <w:pPr>
        <w:pStyle w:val="Heading1"/>
        <w:numPr>
          <w:ilvl w:val="0"/>
          <w:numId w:val="28"/>
        </w:numPr>
      </w:pPr>
      <w:bookmarkStart w:id="74" w:name="_Toc445975052"/>
      <w:r w:rsidRPr="00700C18">
        <w:t>ЗАКЉУЧАК</w:t>
      </w:r>
      <w:bookmarkEnd w:id="70"/>
      <w:bookmarkEnd w:id="72"/>
      <w:bookmarkEnd w:id="74"/>
    </w:p>
    <w:p w:rsidR="00C30548" w:rsidRPr="00C30548" w:rsidRDefault="00C30548" w:rsidP="00C30548">
      <w:pPr>
        <w:rPr>
          <w:rFonts w:eastAsiaTheme="minorEastAsia" w:cs="Tahoma"/>
          <w:b/>
          <w:i/>
          <w:noProof/>
          <w:color w:val="4F81BD" w:themeColor="accent1"/>
          <w:sz w:val="20"/>
          <w:szCs w:val="20"/>
          <w:lang w:val="sr-Cyrl-CS" w:eastAsia="ja-JP"/>
        </w:rPr>
      </w:pPr>
      <w:r w:rsidRPr="00C30548">
        <w:rPr>
          <w:rFonts w:eastAsiaTheme="minorEastAsia" w:cs="Tahoma"/>
          <w:b/>
          <w:i/>
          <w:noProof/>
          <w:color w:val="4F81BD" w:themeColor="accent1"/>
          <w:sz w:val="20"/>
          <w:szCs w:val="20"/>
          <w:lang w:val="sr-Cyrl-CS" w:eastAsia="ja-JP"/>
        </w:rPr>
        <w:t>Рекапитулација резултата</w:t>
      </w:r>
    </w:p>
    <w:tbl>
      <w:tblPr>
        <w:tblpPr w:leftFromText="180" w:rightFromText="180" w:vertAnchor="text" w:horzAnchor="margin" w:tblpY="52"/>
        <w:tblW w:w="9053" w:type="dxa"/>
        <w:tblLook w:val="04A0" w:firstRow="1" w:lastRow="0" w:firstColumn="1" w:lastColumn="0" w:noHBand="0" w:noVBand="1"/>
      </w:tblPr>
      <w:tblGrid>
        <w:gridCol w:w="3632"/>
        <w:gridCol w:w="1807"/>
        <w:gridCol w:w="1807"/>
        <w:gridCol w:w="1807"/>
      </w:tblGrid>
      <w:tr w:rsidR="00E021E5" w:rsidRPr="00021462" w:rsidTr="00E021E5">
        <w:trPr>
          <w:trHeight w:val="308"/>
        </w:trPr>
        <w:tc>
          <w:tcPr>
            <w:tcW w:w="3632" w:type="dxa"/>
            <w:tcBorders>
              <w:top w:val="nil"/>
              <w:left w:val="nil"/>
              <w:bottom w:val="single" w:sz="8" w:space="0" w:color="1F497D"/>
              <w:right w:val="nil"/>
            </w:tcBorders>
            <w:shd w:val="clear" w:color="auto" w:fill="auto"/>
            <w:noWrap/>
            <w:vAlign w:val="bottom"/>
            <w:hideMark/>
          </w:tcPr>
          <w:p w:rsidR="00E021E5" w:rsidRPr="00021462" w:rsidRDefault="00E021E5" w:rsidP="00E021E5">
            <w:pPr>
              <w:spacing w:after="0" w:line="240" w:lineRule="auto"/>
              <w:rPr>
                <w:rFonts w:ascii="Calibri" w:eastAsia="Times New Roman" w:hAnsi="Calibri" w:cs="Times New Roman"/>
                <w:color w:val="000000"/>
                <w:lang w:val="sr-Latn-RS" w:eastAsia="sr-Latn-RS"/>
              </w:rPr>
            </w:pPr>
            <w:r w:rsidRPr="00021462">
              <w:rPr>
                <w:rFonts w:ascii="Calibri" w:eastAsia="Times New Roman" w:hAnsi="Calibri" w:cs="Times New Roman"/>
                <w:color w:val="000000"/>
                <w:lang w:val="sr-Latn-RS" w:eastAsia="sr-Latn-RS"/>
              </w:rPr>
              <w:t> </w:t>
            </w:r>
          </w:p>
        </w:tc>
        <w:tc>
          <w:tcPr>
            <w:tcW w:w="1807" w:type="dxa"/>
            <w:tcBorders>
              <w:top w:val="nil"/>
              <w:left w:val="nil"/>
              <w:bottom w:val="single" w:sz="8" w:space="0" w:color="1F497D"/>
              <w:right w:val="nil"/>
            </w:tcBorders>
            <w:shd w:val="clear" w:color="auto" w:fill="auto"/>
            <w:noWrap/>
            <w:vAlign w:val="bottom"/>
            <w:hideMark/>
          </w:tcPr>
          <w:p w:rsidR="00E021E5" w:rsidRPr="00021462" w:rsidRDefault="00E021E5" w:rsidP="00E021E5">
            <w:pPr>
              <w:spacing w:after="0" w:line="240" w:lineRule="auto"/>
              <w:rPr>
                <w:rFonts w:ascii="Calibri" w:eastAsia="Times New Roman" w:hAnsi="Calibri" w:cs="Times New Roman"/>
                <w:color w:val="000000"/>
                <w:lang w:val="sr-Latn-RS" w:eastAsia="sr-Latn-RS"/>
              </w:rPr>
            </w:pPr>
            <w:r w:rsidRPr="00021462">
              <w:rPr>
                <w:rFonts w:ascii="Calibri" w:eastAsia="Times New Roman" w:hAnsi="Calibri" w:cs="Times New Roman"/>
                <w:color w:val="000000"/>
                <w:lang w:val="sr-Latn-RS" w:eastAsia="sr-Latn-RS"/>
              </w:rPr>
              <w:t> </w:t>
            </w:r>
          </w:p>
        </w:tc>
        <w:tc>
          <w:tcPr>
            <w:tcW w:w="1807" w:type="dxa"/>
            <w:tcBorders>
              <w:top w:val="nil"/>
              <w:left w:val="nil"/>
              <w:bottom w:val="single" w:sz="8" w:space="0" w:color="1F497D"/>
              <w:right w:val="nil"/>
            </w:tcBorders>
            <w:shd w:val="clear" w:color="auto" w:fill="auto"/>
            <w:noWrap/>
            <w:vAlign w:val="bottom"/>
            <w:hideMark/>
          </w:tcPr>
          <w:p w:rsidR="00E021E5" w:rsidRPr="00021462" w:rsidRDefault="00E021E5" w:rsidP="00E021E5">
            <w:pPr>
              <w:spacing w:after="0" w:line="240" w:lineRule="auto"/>
              <w:rPr>
                <w:rFonts w:ascii="Calibri" w:eastAsia="Times New Roman" w:hAnsi="Calibri" w:cs="Times New Roman"/>
                <w:color w:val="000000"/>
                <w:lang w:val="sr-Latn-RS" w:eastAsia="sr-Latn-RS"/>
              </w:rPr>
            </w:pPr>
            <w:r w:rsidRPr="00021462">
              <w:rPr>
                <w:rFonts w:ascii="Calibri" w:eastAsia="Times New Roman" w:hAnsi="Calibri" w:cs="Times New Roman"/>
                <w:color w:val="000000"/>
                <w:lang w:val="sr-Latn-RS" w:eastAsia="sr-Latn-RS"/>
              </w:rPr>
              <w:t> </w:t>
            </w:r>
          </w:p>
        </w:tc>
        <w:tc>
          <w:tcPr>
            <w:tcW w:w="1807" w:type="dxa"/>
            <w:tcBorders>
              <w:top w:val="nil"/>
              <w:left w:val="nil"/>
              <w:bottom w:val="single" w:sz="8" w:space="0" w:color="1F497D"/>
              <w:right w:val="nil"/>
            </w:tcBorders>
            <w:shd w:val="clear" w:color="auto" w:fill="auto"/>
            <w:noWrap/>
            <w:vAlign w:val="bottom"/>
            <w:hideMark/>
          </w:tcPr>
          <w:p w:rsidR="00E021E5" w:rsidRPr="00021462" w:rsidRDefault="00E021E5" w:rsidP="00E021E5">
            <w:pPr>
              <w:spacing w:after="0" w:line="240" w:lineRule="auto"/>
              <w:jc w:val="right"/>
              <w:rPr>
                <w:rFonts w:ascii="Verdana" w:eastAsia="Times New Roman" w:hAnsi="Verdana" w:cs="Times New Roman"/>
                <w:color w:val="000000"/>
                <w:sz w:val="20"/>
                <w:szCs w:val="20"/>
                <w:lang w:val="sr-Latn-RS" w:eastAsia="sr-Latn-RS"/>
              </w:rPr>
            </w:pPr>
            <w:r w:rsidRPr="00021462">
              <w:rPr>
                <w:rFonts w:ascii="Verdana" w:eastAsia="Times New Roman" w:hAnsi="Verdana" w:cs="Times New Roman"/>
                <w:color w:val="000000"/>
                <w:sz w:val="20"/>
                <w:szCs w:val="20"/>
                <w:lang w:val="sr-Cyrl-CS" w:eastAsia="sr-Latn-RS"/>
              </w:rPr>
              <w:t>у 000 РСД</w:t>
            </w:r>
          </w:p>
        </w:tc>
      </w:tr>
      <w:tr w:rsidR="00E021E5" w:rsidRPr="00021462" w:rsidTr="00E021E5">
        <w:trPr>
          <w:trHeight w:val="293"/>
        </w:trPr>
        <w:tc>
          <w:tcPr>
            <w:tcW w:w="3632" w:type="dxa"/>
            <w:tcBorders>
              <w:top w:val="nil"/>
              <w:left w:val="nil"/>
              <w:bottom w:val="single" w:sz="4"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b/>
                <w:bCs/>
                <w:color w:val="000000"/>
                <w:sz w:val="20"/>
                <w:szCs w:val="20"/>
                <w:lang w:val="sr-Latn-RS" w:eastAsia="sr-Latn-RS"/>
              </w:rPr>
            </w:pPr>
            <w:r w:rsidRPr="00021462">
              <w:rPr>
                <w:rFonts w:ascii="Verdana" w:eastAsia="Times New Roman" w:hAnsi="Verdana" w:cs="Times New Roman"/>
                <w:b/>
                <w:bCs/>
                <w:color w:val="000000"/>
                <w:sz w:val="20"/>
                <w:szCs w:val="20"/>
                <w:lang w:val="sr-Latn-RS" w:eastAsia="sr-Latn-RS"/>
              </w:rPr>
              <w:t>КАТЕГОРИЈА</w:t>
            </w:r>
          </w:p>
        </w:tc>
        <w:tc>
          <w:tcPr>
            <w:tcW w:w="1807" w:type="dxa"/>
            <w:tcBorders>
              <w:top w:val="nil"/>
              <w:left w:val="nil"/>
              <w:bottom w:val="single" w:sz="4"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b/>
                <w:bCs/>
                <w:color w:val="000000"/>
                <w:sz w:val="20"/>
                <w:szCs w:val="20"/>
                <w:lang w:val="sr-Latn-RS" w:eastAsia="sr-Latn-RS"/>
              </w:rPr>
            </w:pPr>
            <w:r w:rsidRPr="00021462">
              <w:rPr>
                <w:rFonts w:ascii="Verdana" w:eastAsia="Times New Roman" w:hAnsi="Verdana" w:cs="Times New Roman"/>
                <w:b/>
                <w:bCs/>
                <w:color w:val="000000"/>
                <w:sz w:val="20"/>
                <w:szCs w:val="20"/>
                <w:lang w:val="sr-Latn-RS" w:eastAsia="sr-Latn-RS"/>
              </w:rPr>
              <w:t>2015</w:t>
            </w:r>
          </w:p>
        </w:tc>
        <w:tc>
          <w:tcPr>
            <w:tcW w:w="1807" w:type="dxa"/>
            <w:tcBorders>
              <w:top w:val="nil"/>
              <w:left w:val="nil"/>
              <w:bottom w:val="single" w:sz="4"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b/>
                <w:bCs/>
                <w:color w:val="000000"/>
                <w:sz w:val="20"/>
                <w:szCs w:val="20"/>
                <w:lang w:val="sr-Latn-RS" w:eastAsia="sr-Latn-RS"/>
              </w:rPr>
            </w:pPr>
            <w:r w:rsidRPr="00021462">
              <w:rPr>
                <w:rFonts w:ascii="Verdana" w:eastAsia="Times New Roman" w:hAnsi="Verdana" w:cs="Times New Roman"/>
                <w:b/>
                <w:bCs/>
                <w:color w:val="000000"/>
                <w:sz w:val="20"/>
                <w:szCs w:val="20"/>
                <w:lang w:val="sr-Latn-RS" w:eastAsia="sr-Latn-RS"/>
              </w:rPr>
              <w:t>2014</w:t>
            </w:r>
          </w:p>
        </w:tc>
        <w:tc>
          <w:tcPr>
            <w:tcW w:w="1807" w:type="dxa"/>
            <w:tcBorders>
              <w:top w:val="nil"/>
              <w:left w:val="nil"/>
              <w:bottom w:val="single" w:sz="4"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b/>
                <w:bCs/>
                <w:color w:val="000000"/>
                <w:sz w:val="20"/>
                <w:szCs w:val="20"/>
                <w:lang w:val="sr-Latn-RS" w:eastAsia="sr-Latn-RS"/>
              </w:rPr>
            </w:pPr>
            <w:r w:rsidRPr="00021462">
              <w:rPr>
                <w:rFonts w:ascii="Verdana" w:eastAsia="Times New Roman" w:hAnsi="Verdana" w:cs="Times New Roman"/>
                <w:b/>
                <w:bCs/>
                <w:color w:val="000000"/>
                <w:sz w:val="20"/>
                <w:szCs w:val="20"/>
                <w:lang w:val="sr-Latn-RS" w:eastAsia="sr-Latn-RS"/>
              </w:rPr>
              <w:t>ИНДЕКС</w:t>
            </w:r>
          </w:p>
        </w:tc>
      </w:tr>
      <w:tr w:rsidR="00E021E5" w:rsidRPr="00021462" w:rsidTr="00E021E5">
        <w:trPr>
          <w:trHeight w:val="205"/>
        </w:trPr>
        <w:tc>
          <w:tcPr>
            <w:tcW w:w="3632" w:type="dxa"/>
            <w:tcBorders>
              <w:top w:val="nil"/>
              <w:left w:val="nil"/>
              <w:bottom w:val="single" w:sz="8"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color w:val="000000"/>
                <w:sz w:val="14"/>
                <w:szCs w:val="14"/>
                <w:lang w:val="sr-Latn-RS" w:eastAsia="sr-Latn-RS"/>
              </w:rPr>
            </w:pPr>
            <w:r w:rsidRPr="00021462">
              <w:rPr>
                <w:rFonts w:ascii="Verdana" w:eastAsia="Times New Roman" w:hAnsi="Verdana" w:cs="Times New Roman"/>
                <w:color w:val="000000"/>
                <w:sz w:val="14"/>
                <w:szCs w:val="14"/>
                <w:lang w:val="sr-Latn-RS" w:eastAsia="sr-Latn-RS"/>
              </w:rPr>
              <w:t>1</w:t>
            </w:r>
          </w:p>
        </w:tc>
        <w:tc>
          <w:tcPr>
            <w:tcW w:w="1807" w:type="dxa"/>
            <w:tcBorders>
              <w:top w:val="nil"/>
              <w:left w:val="nil"/>
              <w:bottom w:val="single" w:sz="8"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color w:val="000000"/>
                <w:sz w:val="14"/>
                <w:szCs w:val="14"/>
                <w:lang w:val="sr-Latn-RS" w:eastAsia="sr-Latn-RS"/>
              </w:rPr>
            </w:pPr>
            <w:r w:rsidRPr="00021462">
              <w:rPr>
                <w:rFonts w:ascii="Verdana" w:eastAsia="Times New Roman" w:hAnsi="Verdana" w:cs="Times New Roman"/>
                <w:color w:val="000000"/>
                <w:sz w:val="14"/>
                <w:szCs w:val="14"/>
                <w:lang w:val="sr-Latn-RS" w:eastAsia="sr-Latn-RS"/>
              </w:rPr>
              <w:t>2</w:t>
            </w:r>
          </w:p>
        </w:tc>
        <w:tc>
          <w:tcPr>
            <w:tcW w:w="1807" w:type="dxa"/>
            <w:tcBorders>
              <w:top w:val="nil"/>
              <w:left w:val="nil"/>
              <w:bottom w:val="single" w:sz="8"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color w:val="000000"/>
                <w:sz w:val="14"/>
                <w:szCs w:val="14"/>
                <w:lang w:val="sr-Latn-RS" w:eastAsia="sr-Latn-RS"/>
              </w:rPr>
            </w:pPr>
            <w:r w:rsidRPr="00021462">
              <w:rPr>
                <w:rFonts w:ascii="Verdana" w:eastAsia="Times New Roman" w:hAnsi="Verdana" w:cs="Times New Roman"/>
                <w:color w:val="000000"/>
                <w:sz w:val="14"/>
                <w:szCs w:val="14"/>
                <w:lang w:val="sr-Latn-RS" w:eastAsia="sr-Latn-RS"/>
              </w:rPr>
              <w:t>3</w:t>
            </w:r>
          </w:p>
        </w:tc>
        <w:tc>
          <w:tcPr>
            <w:tcW w:w="1807" w:type="dxa"/>
            <w:tcBorders>
              <w:top w:val="nil"/>
              <w:left w:val="nil"/>
              <w:bottom w:val="single" w:sz="8"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color w:val="000000"/>
                <w:sz w:val="14"/>
                <w:szCs w:val="14"/>
                <w:lang w:val="sr-Latn-RS" w:eastAsia="sr-Latn-RS"/>
              </w:rPr>
            </w:pPr>
            <w:r w:rsidRPr="00021462">
              <w:rPr>
                <w:rFonts w:ascii="Verdana" w:eastAsia="Times New Roman" w:hAnsi="Verdana" w:cs="Times New Roman"/>
                <w:color w:val="000000"/>
                <w:sz w:val="14"/>
                <w:szCs w:val="14"/>
                <w:lang w:val="sr-Latn-RS" w:eastAsia="sr-Latn-RS"/>
              </w:rPr>
              <w:t>4(2/3)</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Пословни приходи</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6.897.704</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3.614.868</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190,81</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Пословни расходи</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6.576.735</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3.801.409</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1,73</w:t>
            </w:r>
          </w:p>
        </w:tc>
      </w:tr>
      <w:tr w:rsidR="00E021E5" w:rsidRPr="00021462" w:rsidTr="00E021E5">
        <w:trPr>
          <w:trHeight w:val="293"/>
        </w:trPr>
        <w:tc>
          <w:tcPr>
            <w:tcW w:w="3632"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Пословни резултат</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320.969</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-186.541</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-1,72</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Финансијски приходи</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92.572</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85.303</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1,09</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Финансијски расходи</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107.686</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123.214</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0,87</w:t>
            </w:r>
          </w:p>
        </w:tc>
      </w:tr>
      <w:tr w:rsidR="00E021E5" w:rsidRPr="00021462" w:rsidTr="00E021E5">
        <w:trPr>
          <w:trHeight w:val="293"/>
        </w:trPr>
        <w:tc>
          <w:tcPr>
            <w:tcW w:w="3632"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Финансијски резултат осали резултат</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-15.114</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-37.911</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0,40</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Pr>
                <w:rFonts w:ascii="Verdana" w:eastAsia="Times New Roman" w:hAnsi="Verdana" w:cs="Times New Roman"/>
                <w:color w:val="000000"/>
                <w:sz w:val="18"/>
                <w:szCs w:val="18"/>
                <w:lang w:val="sr-Latn-RS" w:eastAsia="sr-Latn-RS"/>
              </w:rPr>
              <w:t>O</w:t>
            </w:r>
            <w:r w:rsidRPr="00E021E5">
              <w:rPr>
                <w:rFonts w:ascii="Verdana" w:eastAsia="Times New Roman" w:hAnsi="Verdana" w:cs="Times New Roman"/>
                <w:color w:val="000000"/>
                <w:sz w:val="18"/>
                <w:szCs w:val="18"/>
                <w:lang w:val="sr-Latn-RS" w:eastAsia="sr-Latn-RS"/>
              </w:rPr>
              <w:t>стали приходи</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92.520</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2981</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31,04</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Pr>
                <w:rFonts w:ascii="Verdana" w:eastAsia="Times New Roman" w:hAnsi="Verdana" w:cs="Times New Roman"/>
                <w:color w:val="000000"/>
                <w:sz w:val="18"/>
                <w:szCs w:val="18"/>
                <w:lang w:val="sr-Latn-RS" w:eastAsia="sr-Latn-RS"/>
              </w:rPr>
              <w:t>O</w:t>
            </w:r>
            <w:r w:rsidRPr="00E021E5">
              <w:rPr>
                <w:rFonts w:ascii="Verdana" w:eastAsia="Times New Roman" w:hAnsi="Verdana" w:cs="Times New Roman"/>
                <w:color w:val="000000"/>
                <w:sz w:val="18"/>
                <w:szCs w:val="18"/>
                <w:lang w:val="sr-Latn-RS" w:eastAsia="sr-Latn-RS"/>
              </w:rPr>
              <w:t>стали расходи</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25.950</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2874</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9,03</w:t>
            </w:r>
          </w:p>
        </w:tc>
      </w:tr>
      <w:tr w:rsidR="00E021E5" w:rsidRPr="00021462" w:rsidTr="00E021E5">
        <w:trPr>
          <w:trHeight w:val="293"/>
        </w:trPr>
        <w:tc>
          <w:tcPr>
            <w:tcW w:w="3632"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rPr>
                <w:rFonts w:ascii="Verdana" w:eastAsia="Times New Roman" w:hAnsi="Verdana" w:cs="Times New Roman"/>
                <w:b/>
                <w:bCs/>
                <w:color w:val="000000"/>
                <w:sz w:val="18"/>
                <w:szCs w:val="18"/>
                <w:lang w:val="sr-Latn-RS" w:eastAsia="sr-Latn-RS"/>
              </w:rPr>
            </w:pPr>
            <w:r>
              <w:rPr>
                <w:rFonts w:ascii="Verdana" w:eastAsia="Times New Roman" w:hAnsi="Verdana" w:cs="Times New Roman"/>
                <w:b/>
                <w:bCs/>
                <w:color w:val="000000"/>
                <w:sz w:val="18"/>
                <w:szCs w:val="18"/>
                <w:lang w:val="sr-Latn-RS" w:eastAsia="sr-Latn-RS"/>
              </w:rPr>
              <w:t>O</w:t>
            </w:r>
            <w:r w:rsidRPr="00E021E5">
              <w:rPr>
                <w:rFonts w:ascii="Verdana" w:eastAsia="Times New Roman" w:hAnsi="Verdana" w:cs="Times New Roman"/>
                <w:b/>
                <w:bCs/>
                <w:color w:val="000000"/>
                <w:sz w:val="18"/>
                <w:szCs w:val="18"/>
                <w:lang w:val="sr-Latn-RS" w:eastAsia="sr-Latn-RS"/>
              </w:rPr>
              <w:t>сали резултат</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66.570</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107</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622,15</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Приходи од обезвређења имовине</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90.987</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235.095</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0,39</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Расходи од обезвређења имовине</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68.172</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90.747</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0,75</w:t>
            </w:r>
          </w:p>
        </w:tc>
      </w:tr>
      <w:tr w:rsidR="00E021E5" w:rsidRPr="00021462" w:rsidTr="00E021E5">
        <w:trPr>
          <w:trHeight w:val="293"/>
        </w:trPr>
        <w:tc>
          <w:tcPr>
            <w:tcW w:w="3632"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Резултат од обезвређења</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22.815</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144.348</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0,16</w:t>
            </w:r>
          </w:p>
        </w:tc>
      </w:tr>
      <w:tr w:rsidR="00E021E5" w:rsidRPr="00021462" w:rsidTr="00E021E5">
        <w:trPr>
          <w:trHeight w:val="293"/>
        </w:trPr>
        <w:tc>
          <w:tcPr>
            <w:tcW w:w="3632"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Добит из редовног пословања</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395.240</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-79.997</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-4,94</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Приходи из ранијих година</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2320</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0,00</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Расходи ранијих година</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16</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p>
        </w:tc>
      </w:tr>
      <w:tr w:rsidR="00E021E5" w:rsidRPr="00021462" w:rsidTr="00E021E5">
        <w:trPr>
          <w:trHeight w:val="293"/>
        </w:trPr>
        <w:tc>
          <w:tcPr>
            <w:tcW w:w="3632"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Резултат пословања ранијих година</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-16</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2320</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-0,01</w:t>
            </w:r>
          </w:p>
        </w:tc>
      </w:tr>
      <w:tr w:rsidR="00E021E5" w:rsidRPr="00021462" w:rsidTr="00E021E5">
        <w:trPr>
          <w:trHeight w:val="293"/>
        </w:trPr>
        <w:tc>
          <w:tcPr>
            <w:tcW w:w="3632"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Добит пре опорезивања</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395.224</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right"/>
              <w:rPr>
                <w:rFonts w:ascii="Verdana" w:eastAsia="Times New Roman" w:hAnsi="Verdana" w:cs="Times New Roman"/>
                <w:b/>
                <w:bCs/>
                <w:color w:val="000000"/>
                <w:sz w:val="18"/>
                <w:szCs w:val="18"/>
                <w:lang w:val="sr-Latn-RS" w:eastAsia="sr-Latn-RS"/>
              </w:rPr>
            </w:pPr>
            <w:r w:rsidRPr="00E021E5">
              <w:rPr>
                <w:rFonts w:ascii="Verdana" w:eastAsia="Times New Roman" w:hAnsi="Verdana" w:cs="Times New Roman"/>
                <w:b/>
                <w:bCs/>
                <w:color w:val="000000"/>
                <w:sz w:val="18"/>
                <w:szCs w:val="18"/>
                <w:lang w:val="sr-Latn-RS" w:eastAsia="sr-Latn-RS"/>
              </w:rPr>
              <w:t>-77.677</w:t>
            </w:r>
          </w:p>
        </w:tc>
        <w:tc>
          <w:tcPr>
            <w:tcW w:w="1807" w:type="dxa"/>
            <w:tcBorders>
              <w:top w:val="nil"/>
              <w:left w:val="nil"/>
              <w:bottom w:val="nil"/>
              <w:right w:val="nil"/>
            </w:tcBorders>
            <w:shd w:val="clear" w:color="000000" w:fill="B8CCE4"/>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-5,09</w:t>
            </w: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Порески расход периода</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56.499</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p>
        </w:tc>
      </w:tr>
      <w:tr w:rsidR="00E021E5" w:rsidRPr="00021462" w:rsidTr="00E021E5">
        <w:trPr>
          <w:trHeight w:val="293"/>
        </w:trPr>
        <w:tc>
          <w:tcPr>
            <w:tcW w:w="3632"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Добит од смањења одлож пореза</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4.332</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right"/>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2620</w:t>
            </w:r>
          </w:p>
        </w:tc>
        <w:tc>
          <w:tcPr>
            <w:tcW w:w="1807" w:type="dxa"/>
            <w:tcBorders>
              <w:top w:val="nil"/>
              <w:left w:val="nil"/>
              <w:bottom w:val="nil"/>
              <w:right w:val="nil"/>
            </w:tcBorders>
            <w:shd w:val="clear" w:color="auto" w:fill="auto"/>
            <w:noWrap/>
            <w:vAlign w:val="center"/>
            <w:hideMark/>
          </w:tcPr>
          <w:p w:rsidR="00E021E5" w:rsidRPr="00E021E5" w:rsidRDefault="00E021E5" w:rsidP="00E021E5">
            <w:pPr>
              <w:spacing w:after="0" w:line="240" w:lineRule="auto"/>
              <w:jc w:val="center"/>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1,65</w:t>
            </w:r>
          </w:p>
        </w:tc>
      </w:tr>
      <w:tr w:rsidR="00E021E5" w:rsidRPr="00021462" w:rsidTr="00E021E5">
        <w:trPr>
          <w:trHeight w:val="308"/>
        </w:trPr>
        <w:tc>
          <w:tcPr>
            <w:tcW w:w="3632" w:type="dxa"/>
            <w:tcBorders>
              <w:top w:val="nil"/>
              <w:left w:val="nil"/>
              <w:bottom w:val="single" w:sz="8" w:space="0" w:color="1F497D"/>
              <w:right w:val="nil"/>
            </w:tcBorders>
            <w:shd w:val="clear" w:color="auto" w:fill="auto"/>
            <w:noWrap/>
            <w:vAlign w:val="center"/>
            <w:hideMark/>
          </w:tcPr>
          <w:p w:rsidR="00E021E5" w:rsidRPr="00E021E5" w:rsidRDefault="00E021E5" w:rsidP="00E021E5">
            <w:pPr>
              <w:spacing w:after="0" w:line="240" w:lineRule="auto"/>
              <w:rPr>
                <w:rFonts w:ascii="Verdana" w:eastAsia="Times New Roman" w:hAnsi="Verdana" w:cs="Times New Roman"/>
                <w:color w:val="000000"/>
                <w:sz w:val="18"/>
                <w:szCs w:val="18"/>
                <w:lang w:val="sr-Latn-RS" w:eastAsia="sr-Latn-RS"/>
              </w:rPr>
            </w:pPr>
            <w:r w:rsidRPr="00E021E5">
              <w:rPr>
                <w:rFonts w:ascii="Verdana" w:eastAsia="Times New Roman" w:hAnsi="Verdana" w:cs="Times New Roman"/>
                <w:color w:val="000000"/>
                <w:sz w:val="18"/>
                <w:szCs w:val="18"/>
                <w:lang w:val="sr-Latn-RS" w:eastAsia="sr-Latn-RS"/>
              </w:rPr>
              <w:t>Губитак од укидања одл пореза</w:t>
            </w:r>
          </w:p>
        </w:tc>
        <w:tc>
          <w:tcPr>
            <w:tcW w:w="1807" w:type="dxa"/>
            <w:tcBorders>
              <w:top w:val="nil"/>
              <w:left w:val="nil"/>
              <w:bottom w:val="single" w:sz="8" w:space="0" w:color="1F497D"/>
              <w:right w:val="nil"/>
            </w:tcBorders>
            <w:shd w:val="clear" w:color="auto" w:fill="auto"/>
            <w:noWrap/>
            <w:vAlign w:val="center"/>
            <w:hideMark/>
          </w:tcPr>
          <w:p w:rsidR="00E021E5" w:rsidRPr="00021462" w:rsidRDefault="00E021E5" w:rsidP="00E021E5">
            <w:pPr>
              <w:spacing w:after="0" w:line="240" w:lineRule="auto"/>
              <w:jc w:val="right"/>
              <w:rPr>
                <w:rFonts w:ascii="Verdana" w:eastAsia="Times New Roman" w:hAnsi="Verdana" w:cs="Times New Roman"/>
                <w:color w:val="000000"/>
                <w:sz w:val="20"/>
                <w:szCs w:val="20"/>
                <w:lang w:val="sr-Latn-RS" w:eastAsia="sr-Latn-RS"/>
              </w:rPr>
            </w:pPr>
            <w:r w:rsidRPr="00021462">
              <w:rPr>
                <w:rFonts w:ascii="Verdana" w:eastAsia="Times New Roman" w:hAnsi="Verdana" w:cs="Times New Roman"/>
                <w:color w:val="000000"/>
                <w:sz w:val="20"/>
                <w:szCs w:val="20"/>
                <w:lang w:val="sr-Latn-RS" w:eastAsia="sr-Latn-RS"/>
              </w:rPr>
              <w:t> </w:t>
            </w:r>
          </w:p>
        </w:tc>
        <w:tc>
          <w:tcPr>
            <w:tcW w:w="1807" w:type="dxa"/>
            <w:tcBorders>
              <w:top w:val="nil"/>
              <w:left w:val="nil"/>
              <w:bottom w:val="single" w:sz="8" w:space="0" w:color="1F497D"/>
              <w:right w:val="nil"/>
            </w:tcBorders>
            <w:shd w:val="clear" w:color="auto" w:fill="auto"/>
            <w:noWrap/>
            <w:vAlign w:val="center"/>
            <w:hideMark/>
          </w:tcPr>
          <w:p w:rsidR="00E021E5" w:rsidRPr="00021462" w:rsidRDefault="00E021E5" w:rsidP="00E021E5">
            <w:pPr>
              <w:spacing w:after="0" w:line="240" w:lineRule="auto"/>
              <w:jc w:val="right"/>
              <w:rPr>
                <w:rFonts w:ascii="Verdana" w:eastAsia="Times New Roman" w:hAnsi="Verdana" w:cs="Times New Roman"/>
                <w:color w:val="000000"/>
                <w:sz w:val="20"/>
                <w:szCs w:val="20"/>
                <w:lang w:val="sr-Latn-RS" w:eastAsia="sr-Latn-RS"/>
              </w:rPr>
            </w:pPr>
            <w:r w:rsidRPr="00021462">
              <w:rPr>
                <w:rFonts w:ascii="Verdana" w:eastAsia="Times New Roman" w:hAnsi="Verdana" w:cs="Times New Roman"/>
                <w:color w:val="000000"/>
                <w:sz w:val="20"/>
                <w:szCs w:val="20"/>
                <w:lang w:val="sr-Latn-RS" w:eastAsia="sr-Latn-RS"/>
              </w:rPr>
              <w:t> </w:t>
            </w:r>
          </w:p>
        </w:tc>
        <w:tc>
          <w:tcPr>
            <w:tcW w:w="1807" w:type="dxa"/>
            <w:tcBorders>
              <w:top w:val="nil"/>
              <w:left w:val="nil"/>
              <w:bottom w:val="single" w:sz="8" w:space="0" w:color="1F497D"/>
              <w:right w:val="nil"/>
            </w:tcBorders>
            <w:shd w:val="clear" w:color="auto" w:fill="auto"/>
            <w:noWrap/>
            <w:vAlign w:val="center"/>
            <w:hideMark/>
          </w:tcPr>
          <w:p w:rsidR="00E021E5" w:rsidRPr="00021462" w:rsidRDefault="00E021E5" w:rsidP="00E021E5">
            <w:pPr>
              <w:spacing w:after="0" w:line="240" w:lineRule="auto"/>
              <w:jc w:val="center"/>
              <w:rPr>
                <w:rFonts w:ascii="Verdana" w:eastAsia="Times New Roman" w:hAnsi="Verdana" w:cs="Times New Roman"/>
                <w:color w:val="000000"/>
                <w:sz w:val="20"/>
                <w:szCs w:val="20"/>
                <w:lang w:val="sr-Latn-RS" w:eastAsia="sr-Latn-RS"/>
              </w:rPr>
            </w:pPr>
            <w:r w:rsidRPr="00021462">
              <w:rPr>
                <w:rFonts w:ascii="Verdana" w:eastAsia="Times New Roman" w:hAnsi="Verdana" w:cs="Times New Roman"/>
                <w:color w:val="000000"/>
                <w:sz w:val="20"/>
                <w:szCs w:val="20"/>
                <w:lang w:val="sr-Latn-RS" w:eastAsia="sr-Latn-RS"/>
              </w:rPr>
              <w:t> </w:t>
            </w:r>
          </w:p>
        </w:tc>
      </w:tr>
      <w:tr w:rsidR="00E021E5" w:rsidRPr="00021462" w:rsidTr="00E021E5">
        <w:trPr>
          <w:trHeight w:val="308"/>
        </w:trPr>
        <w:tc>
          <w:tcPr>
            <w:tcW w:w="3632" w:type="dxa"/>
            <w:tcBorders>
              <w:top w:val="nil"/>
              <w:left w:val="nil"/>
              <w:bottom w:val="single" w:sz="8" w:space="0" w:color="1F497D"/>
              <w:right w:val="nil"/>
            </w:tcBorders>
            <w:shd w:val="clear" w:color="000000" w:fill="4F81BD"/>
            <w:noWrap/>
            <w:vAlign w:val="center"/>
            <w:hideMark/>
          </w:tcPr>
          <w:p w:rsidR="00E021E5" w:rsidRPr="00021462" w:rsidRDefault="00E021E5" w:rsidP="00E021E5">
            <w:pPr>
              <w:spacing w:after="0" w:line="240" w:lineRule="auto"/>
              <w:rPr>
                <w:rFonts w:ascii="Verdana" w:eastAsia="Times New Roman" w:hAnsi="Verdana" w:cs="Times New Roman"/>
                <w:b/>
                <w:bCs/>
                <w:color w:val="FFFFFF"/>
                <w:sz w:val="20"/>
                <w:szCs w:val="20"/>
                <w:lang w:val="sr-Latn-RS" w:eastAsia="sr-Latn-RS"/>
              </w:rPr>
            </w:pPr>
            <w:r w:rsidRPr="00021462">
              <w:rPr>
                <w:rFonts w:ascii="Verdana" w:eastAsia="Times New Roman" w:hAnsi="Verdana" w:cs="Times New Roman"/>
                <w:b/>
                <w:bCs/>
                <w:color w:val="FFFFFF"/>
                <w:sz w:val="20"/>
                <w:szCs w:val="20"/>
                <w:lang w:val="sr-Latn-RS" w:eastAsia="sr-Latn-RS"/>
              </w:rPr>
              <w:t>Добит након опорезивања</w:t>
            </w:r>
          </w:p>
        </w:tc>
        <w:tc>
          <w:tcPr>
            <w:tcW w:w="1807" w:type="dxa"/>
            <w:tcBorders>
              <w:top w:val="nil"/>
              <w:left w:val="nil"/>
              <w:bottom w:val="single" w:sz="8" w:space="0" w:color="1F497D"/>
              <w:right w:val="nil"/>
            </w:tcBorders>
            <w:shd w:val="clear" w:color="000000" w:fill="4F81BD"/>
            <w:noWrap/>
            <w:vAlign w:val="center"/>
            <w:hideMark/>
          </w:tcPr>
          <w:p w:rsidR="00E021E5" w:rsidRPr="00021462" w:rsidRDefault="00E021E5" w:rsidP="00E021E5">
            <w:pPr>
              <w:spacing w:after="0" w:line="240" w:lineRule="auto"/>
              <w:jc w:val="right"/>
              <w:rPr>
                <w:rFonts w:ascii="Verdana" w:eastAsia="Times New Roman" w:hAnsi="Verdana" w:cs="Times New Roman"/>
                <w:b/>
                <w:bCs/>
                <w:color w:val="FFFFFF"/>
                <w:sz w:val="20"/>
                <w:szCs w:val="20"/>
                <w:lang w:val="sr-Latn-RS" w:eastAsia="sr-Latn-RS"/>
              </w:rPr>
            </w:pPr>
            <w:r w:rsidRPr="00021462">
              <w:rPr>
                <w:rFonts w:ascii="Verdana" w:eastAsia="Times New Roman" w:hAnsi="Verdana" w:cs="Times New Roman"/>
                <w:b/>
                <w:bCs/>
                <w:color w:val="FFFFFF"/>
                <w:sz w:val="20"/>
                <w:szCs w:val="20"/>
                <w:lang w:val="sr-Latn-RS" w:eastAsia="sr-Latn-RS"/>
              </w:rPr>
              <w:t>343.057</w:t>
            </w:r>
          </w:p>
        </w:tc>
        <w:tc>
          <w:tcPr>
            <w:tcW w:w="1807" w:type="dxa"/>
            <w:tcBorders>
              <w:top w:val="nil"/>
              <w:left w:val="nil"/>
              <w:bottom w:val="single" w:sz="8" w:space="0" w:color="1F497D"/>
              <w:right w:val="nil"/>
            </w:tcBorders>
            <w:shd w:val="clear" w:color="000000" w:fill="4F81BD"/>
            <w:noWrap/>
            <w:vAlign w:val="center"/>
            <w:hideMark/>
          </w:tcPr>
          <w:p w:rsidR="00E021E5" w:rsidRPr="00021462" w:rsidRDefault="00E021E5" w:rsidP="00E021E5">
            <w:pPr>
              <w:spacing w:after="0" w:line="240" w:lineRule="auto"/>
              <w:jc w:val="right"/>
              <w:rPr>
                <w:rFonts w:ascii="Verdana" w:eastAsia="Times New Roman" w:hAnsi="Verdana" w:cs="Times New Roman"/>
                <w:b/>
                <w:bCs/>
                <w:color w:val="FFFFFF"/>
                <w:sz w:val="20"/>
                <w:szCs w:val="20"/>
                <w:lang w:val="sr-Latn-RS" w:eastAsia="sr-Latn-RS"/>
              </w:rPr>
            </w:pPr>
            <w:r w:rsidRPr="00021462">
              <w:rPr>
                <w:rFonts w:ascii="Verdana" w:eastAsia="Times New Roman" w:hAnsi="Verdana" w:cs="Times New Roman"/>
                <w:b/>
                <w:bCs/>
                <w:color w:val="FFFFFF"/>
                <w:sz w:val="20"/>
                <w:szCs w:val="20"/>
                <w:lang w:val="sr-Latn-RS" w:eastAsia="sr-Latn-RS"/>
              </w:rPr>
              <w:t>-75.057</w:t>
            </w:r>
          </w:p>
        </w:tc>
        <w:tc>
          <w:tcPr>
            <w:tcW w:w="1807" w:type="dxa"/>
            <w:tcBorders>
              <w:top w:val="nil"/>
              <w:left w:val="nil"/>
              <w:bottom w:val="single" w:sz="8" w:space="0" w:color="1F497D"/>
              <w:right w:val="nil"/>
            </w:tcBorders>
            <w:shd w:val="clear" w:color="000000" w:fill="4F81BD"/>
            <w:noWrap/>
            <w:vAlign w:val="center"/>
            <w:hideMark/>
          </w:tcPr>
          <w:p w:rsidR="00E021E5" w:rsidRPr="00021462" w:rsidRDefault="00E021E5" w:rsidP="00E021E5">
            <w:pPr>
              <w:spacing w:after="0" w:line="240" w:lineRule="auto"/>
              <w:jc w:val="center"/>
              <w:rPr>
                <w:rFonts w:ascii="Verdana" w:eastAsia="Times New Roman" w:hAnsi="Verdana" w:cs="Times New Roman"/>
                <w:b/>
                <w:bCs/>
                <w:color w:val="FFFFFF"/>
                <w:sz w:val="20"/>
                <w:szCs w:val="20"/>
                <w:lang w:val="sr-Latn-RS" w:eastAsia="sr-Latn-RS"/>
              </w:rPr>
            </w:pPr>
            <w:r w:rsidRPr="00021462">
              <w:rPr>
                <w:rFonts w:ascii="Verdana" w:eastAsia="Times New Roman" w:hAnsi="Verdana" w:cs="Times New Roman"/>
                <w:b/>
                <w:bCs/>
                <w:color w:val="FFFFFF"/>
                <w:sz w:val="20"/>
                <w:szCs w:val="20"/>
                <w:lang w:val="sr-Latn-RS" w:eastAsia="sr-Latn-RS"/>
              </w:rPr>
              <w:t>-4,57</w:t>
            </w:r>
          </w:p>
        </w:tc>
      </w:tr>
    </w:tbl>
    <w:p w:rsidR="00534583" w:rsidRDefault="00534583" w:rsidP="0033177D">
      <w:pPr>
        <w:rPr>
          <w:rFonts w:eastAsiaTheme="minorEastAsia" w:cs="Tahoma"/>
          <w:b/>
          <w:i/>
          <w:noProof/>
          <w:color w:val="4F81BD" w:themeColor="accent1"/>
          <w:sz w:val="20"/>
          <w:szCs w:val="20"/>
          <w:lang w:val="sr-Cyrl-CS" w:eastAsia="ja-JP"/>
        </w:rPr>
      </w:pPr>
    </w:p>
    <w:p w:rsidR="007976E0" w:rsidRPr="00C30548" w:rsidRDefault="007976E0" w:rsidP="0033177D">
      <w:pPr>
        <w:rPr>
          <w:rFonts w:eastAsiaTheme="minorEastAsia" w:cs="Tahoma"/>
          <w:b/>
          <w:i/>
          <w:noProof/>
          <w:color w:val="4F81BD" w:themeColor="accent1"/>
          <w:sz w:val="20"/>
          <w:szCs w:val="20"/>
          <w:lang w:val="sr-Cyrl-CS" w:eastAsia="ja-JP"/>
        </w:rPr>
      </w:pPr>
      <w:r w:rsidRPr="00C30548">
        <w:rPr>
          <w:rFonts w:eastAsiaTheme="minorEastAsia" w:cs="Tahoma"/>
          <w:b/>
          <w:i/>
          <w:noProof/>
          <w:color w:val="4F81BD" w:themeColor="accent1"/>
          <w:sz w:val="20"/>
          <w:szCs w:val="20"/>
          <w:lang w:val="sr-Cyrl-CS" w:eastAsia="ja-JP"/>
        </w:rPr>
        <w:t>Коначна оцена овлашћеног актуара:</w:t>
      </w:r>
    </w:p>
    <w:p w:rsidR="006A2CC9" w:rsidRPr="00C30548" w:rsidRDefault="006A2CC9" w:rsidP="00E021E5">
      <w:pPr>
        <w:spacing w:before="60" w:after="60"/>
        <w:jc w:val="both"/>
        <w:rPr>
          <w:rFonts w:eastAsiaTheme="minorEastAsia" w:cs="Tahoma"/>
          <w:noProof/>
          <w:sz w:val="20"/>
          <w:szCs w:val="20"/>
          <w:lang w:val="sr-Cyrl-CS" w:eastAsia="ja-JP"/>
        </w:rPr>
      </w:pPr>
    </w:p>
    <w:p w:rsidR="007976E0" w:rsidRPr="00C30548" w:rsidRDefault="007976E0" w:rsidP="007976E0">
      <w:pPr>
        <w:spacing w:before="60" w:after="60"/>
        <w:ind w:firstLine="284"/>
        <w:jc w:val="both"/>
        <w:rPr>
          <w:rFonts w:eastAsiaTheme="minorEastAsia" w:cs="Tahoma"/>
          <w:noProof/>
          <w:sz w:val="20"/>
          <w:szCs w:val="20"/>
          <w:lang w:val="sr-Cyrl-CS" w:eastAsia="ja-JP"/>
        </w:rPr>
      </w:pPr>
      <w:r w:rsidRPr="00C30548">
        <w:rPr>
          <w:rFonts w:eastAsiaTheme="minorEastAsia" w:cs="Tahoma"/>
          <w:noProof/>
          <w:sz w:val="20"/>
          <w:szCs w:val="20"/>
          <w:lang w:val="sr-Cyrl-CS" w:eastAsia="ja-JP"/>
        </w:rPr>
        <w:t>­</w:t>
      </w:r>
      <w:r w:rsidRPr="00C30548">
        <w:rPr>
          <w:rFonts w:eastAsiaTheme="minorEastAsia" w:cs="Tahoma"/>
          <w:noProof/>
          <w:sz w:val="20"/>
          <w:szCs w:val="20"/>
          <w:lang w:val="sr-Cyrl-CS" w:eastAsia="ja-JP"/>
        </w:rPr>
        <w:tab/>
        <w:t xml:space="preserve">Друштвo je у пoслoвнoj 2015. гoдину oствaрилo пoзитивaн финaнсиjски рeзултaт. </w:t>
      </w:r>
    </w:p>
    <w:p w:rsidR="007976E0" w:rsidRPr="00C30548" w:rsidRDefault="007976E0" w:rsidP="007976E0">
      <w:pPr>
        <w:spacing w:before="60" w:after="60"/>
        <w:ind w:firstLine="284"/>
        <w:jc w:val="both"/>
        <w:rPr>
          <w:rFonts w:eastAsiaTheme="minorEastAsia" w:cs="Tahoma"/>
          <w:noProof/>
          <w:sz w:val="20"/>
          <w:szCs w:val="20"/>
          <w:lang w:val="sr-Cyrl-CS" w:eastAsia="ja-JP"/>
        </w:rPr>
      </w:pPr>
      <w:r w:rsidRPr="00C30548">
        <w:rPr>
          <w:rFonts w:eastAsiaTheme="minorEastAsia" w:cs="Tahoma"/>
          <w:noProof/>
          <w:sz w:val="20"/>
          <w:szCs w:val="20"/>
          <w:lang w:val="sr-Cyrl-CS" w:eastAsia="ja-JP"/>
        </w:rPr>
        <w:t>­</w:t>
      </w:r>
      <w:r w:rsidRPr="00C30548">
        <w:rPr>
          <w:rFonts w:eastAsiaTheme="minorEastAsia" w:cs="Tahoma"/>
          <w:noProof/>
          <w:sz w:val="20"/>
          <w:szCs w:val="20"/>
          <w:lang w:val="sr-Cyrl-CS" w:eastAsia="ja-JP"/>
        </w:rPr>
        <w:tab/>
        <w:t xml:space="preserve">Друштвo je у 2015. гoдини oствaрилo пoвeћaњe укупнe прeмиje зa 14,48% у oднoсу нa прeтхoдну пoслoвну гoдину. </w:t>
      </w:r>
    </w:p>
    <w:p w:rsidR="007976E0" w:rsidRPr="00C30548" w:rsidRDefault="007976E0" w:rsidP="007976E0">
      <w:pPr>
        <w:spacing w:before="60" w:after="60"/>
        <w:ind w:firstLine="284"/>
        <w:jc w:val="both"/>
        <w:rPr>
          <w:rFonts w:eastAsiaTheme="minorEastAsia" w:cs="Tahoma"/>
          <w:noProof/>
          <w:sz w:val="20"/>
          <w:szCs w:val="20"/>
          <w:lang w:val="sr-Cyrl-CS" w:eastAsia="ja-JP"/>
        </w:rPr>
      </w:pPr>
      <w:r w:rsidRPr="00C30548">
        <w:rPr>
          <w:rFonts w:eastAsiaTheme="minorEastAsia" w:cs="Tahoma"/>
          <w:noProof/>
          <w:sz w:val="20"/>
          <w:szCs w:val="20"/>
          <w:lang w:val="sr-Cyrl-CS" w:eastAsia="ja-JP"/>
        </w:rPr>
        <w:t>­</w:t>
      </w:r>
      <w:r w:rsidRPr="00C30548">
        <w:rPr>
          <w:rFonts w:eastAsiaTheme="minorEastAsia" w:cs="Tahoma"/>
          <w:noProof/>
          <w:sz w:val="20"/>
          <w:szCs w:val="20"/>
          <w:lang w:val="sr-Cyrl-CS" w:eastAsia="ja-JP"/>
        </w:rPr>
        <w:tab/>
        <w:t xml:space="preserve">Прeмиja реoсигурaњa утврђeнa je у склaду сa aктуaрскoм струкoм и прoписимa и дoвoљнa je зa трajнo испуњeњe oбaвeзa Друштвa из угoвoрa. </w:t>
      </w:r>
    </w:p>
    <w:p w:rsidR="007976E0" w:rsidRPr="00C30548" w:rsidRDefault="007976E0" w:rsidP="007976E0">
      <w:pPr>
        <w:spacing w:before="60" w:after="60"/>
        <w:ind w:firstLine="284"/>
        <w:jc w:val="both"/>
        <w:rPr>
          <w:rFonts w:eastAsiaTheme="minorEastAsia" w:cs="Tahoma"/>
          <w:noProof/>
          <w:sz w:val="20"/>
          <w:szCs w:val="20"/>
          <w:lang w:val="sr-Cyrl-CS" w:eastAsia="ja-JP"/>
        </w:rPr>
      </w:pPr>
      <w:r w:rsidRPr="00C30548">
        <w:rPr>
          <w:rFonts w:eastAsiaTheme="minorEastAsia" w:cs="Tahoma"/>
          <w:noProof/>
          <w:sz w:val="20"/>
          <w:szCs w:val="20"/>
          <w:lang w:val="sr-Cyrl-CS" w:eastAsia="ja-JP"/>
        </w:rPr>
        <w:t>­</w:t>
      </w:r>
      <w:r w:rsidRPr="00C30548">
        <w:rPr>
          <w:rFonts w:eastAsiaTheme="minorEastAsia" w:cs="Tahoma"/>
          <w:noProof/>
          <w:sz w:val="20"/>
          <w:szCs w:val="20"/>
          <w:lang w:val="sr-Cyrl-CS" w:eastAsia="ja-JP"/>
        </w:rPr>
        <w:tab/>
        <w:t>Teхничкe рeзeрвe утврђeнe су у склaду сa принципoм дoвoљнoсти уз примeну aдeквaтних мeтoдa oбрaчунa и кao тaквe oбeзбeђуjу трajнo испуњeњe свих прeузeтих угoвoрних oбaвeзa Друштвa. Oбрaчунaтe су у склaду сa прaвилимa aктуaрскe струкe, прoписимa, aктимa Друштвa и Oдлукoм o тeхничким рeзeрвaмa НБС. У 2015. гoдини зaбeлeжнo je пoвeћaњe тeхничких рeзeрви у oднoсу нa прeтхoдну гoдину.</w:t>
      </w:r>
    </w:p>
    <w:p w:rsidR="007976E0" w:rsidRPr="00C30548" w:rsidRDefault="007976E0" w:rsidP="007976E0">
      <w:pPr>
        <w:spacing w:before="60" w:after="60"/>
        <w:ind w:firstLine="284"/>
        <w:jc w:val="both"/>
        <w:rPr>
          <w:rFonts w:eastAsiaTheme="minorEastAsia" w:cs="Tahoma"/>
          <w:noProof/>
          <w:sz w:val="20"/>
          <w:szCs w:val="20"/>
          <w:lang w:val="sr-Cyrl-CS" w:eastAsia="ja-JP"/>
        </w:rPr>
      </w:pPr>
      <w:r w:rsidRPr="00C30548">
        <w:rPr>
          <w:rFonts w:eastAsiaTheme="minorEastAsia" w:cs="Tahoma"/>
          <w:noProof/>
          <w:sz w:val="20"/>
          <w:szCs w:val="20"/>
          <w:lang w:val="sr-Cyrl-CS" w:eastAsia="ja-JP"/>
        </w:rPr>
        <w:t>­</w:t>
      </w:r>
      <w:r w:rsidRPr="00C30548">
        <w:rPr>
          <w:rFonts w:eastAsiaTheme="minorEastAsia" w:cs="Tahoma"/>
          <w:noProof/>
          <w:sz w:val="20"/>
          <w:szCs w:val="20"/>
          <w:lang w:val="sr-Cyrl-CS" w:eastAsia="ja-JP"/>
        </w:rPr>
        <w:tab/>
        <w:t xml:space="preserve">Дeпoнoвaњe и улaгaњe срeдстaвa Друштвa извршeнo je у склaду сa зaкoнским прoписимa.  </w:t>
      </w:r>
    </w:p>
    <w:p w:rsidR="007976E0" w:rsidRPr="00C30548" w:rsidRDefault="007976E0" w:rsidP="007976E0">
      <w:pPr>
        <w:spacing w:before="60" w:after="60"/>
        <w:ind w:firstLine="284"/>
        <w:jc w:val="both"/>
        <w:rPr>
          <w:rFonts w:eastAsiaTheme="minorEastAsia" w:cs="Tahoma"/>
          <w:noProof/>
          <w:sz w:val="20"/>
          <w:szCs w:val="20"/>
          <w:lang w:val="sr-Cyrl-CS" w:eastAsia="ja-JP"/>
        </w:rPr>
      </w:pPr>
      <w:r w:rsidRPr="00C30548">
        <w:rPr>
          <w:rFonts w:eastAsiaTheme="minorEastAsia" w:cs="Tahoma"/>
          <w:noProof/>
          <w:sz w:val="20"/>
          <w:szCs w:val="20"/>
          <w:lang w:val="sr-Cyrl-CS" w:eastAsia="ja-JP"/>
        </w:rPr>
        <w:t>­</w:t>
      </w:r>
      <w:r w:rsidRPr="00C30548">
        <w:rPr>
          <w:rFonts w:eastAsiaTheme="minorEastAsia" w:cs="Tahoma"/>
          <w:noProof/>
          <w:sz w:val="20"/>
          <w:szCs w:val="20"/>
          <w:lang w:val="sr-Cyrl-CS" w:eastAsia="ja-JP"/>
        </w:rPr>
        <w:tab/>
        <w:t>Услoви и нaчин преноса вишкoвa ризикa изнaд сaмoпридржaja Друштвa извршeни су у склaду сa зaкључeним угoвoримa o рeoсигурaњу, Oдлукoм o критeриjумимa, нaчину утврђивaњa и тaбeли мaксимaлнoг сaмoпридржaja и укупнoм изнoсу сaмoпридржaja и у склaду сa Прaвилникoм o услoвимa и нaчину сaoсигурaњa и рeoсигурaњa. Адекватним преносмо вишкoвa ризикa oбeзбeђeнa je трajнa стaбилнoст и сигурнoст пoслoвaњa Друштвa. Ово се може сагледати пре свега кроз остварени повољан рацио штета, рацио трошкова и комбиновани рацио у самопридржају. Комбиновани рацио у самопридржају у 2015. години износи 78,71%. Само у неживотним осигурањима овај рацио износи 79,91% и нижи је у односу на претходну пословну годину за чак 62,61% (у 2014: 142,52%).</w:t>
      </w:r>
    </w:p>
    <w:p w:rsidR="00D20867" w:rsidRPr="00C30548" w:rsidRDefault="007976E0" w:rsidP="007976E0">
      <w:pPr>
        <w:spacing w:before="60" w:after="60"/>
        <w:ind w:firstLine="284"/>
        <w:jc w:val="both"/>
        <w:rPr>
          <w:rFonts w:eastAsiaTheme="minorEastAsia" w:cs="Tahoma"/>
          <w:noProof/>
          <w:sz w:val="20"/>
          <w:szCs w:val="20"/>
          <w:lang w:val="sr-Cyrl-CS" w:eastAsia="ja-JP"/>
        </w:rPr>
      </w:pPr>
      <w:r w:rsidRPr="00C30548">
        <w:rPr>
          <w:rFonts w:eastAsiaTheme="minorEastAsia" w:cs="Tahoma"/>
          <w:noProof/>
          <w:sz w:val="20"/>
          <w:szCs w:val="20"/>
          <w:lang w:val="sr-Cyrl-CS" w:eastAsia="ja-JP"/>
        </w:rPr>
        <w:t>­</w:t>
      </w:r>
      <w:r w:rsidRPr="00C30548">
        <w:rPr>
          <w:rFonts w:eastAsiaTheme="minorEastAsia" w:cs="Tahoma"/>
          <w:noProof/>
          <w:sz w:val="20"/>
          <w:szCs w:val="20"/>
          <w:lang w:val="sr-Cyrl-CS" w:eastAsia="ja-JP"/>
        </w:rPr>
        <w:tab/>
        <w:t>Друштвo испуњaвa свe зaкoнскe зaхтeвe aдeквaтнoсти кaпитaлa. Гaрaнтни кaпитaл je вeћи oд 1/3 зaхтeвaнe мaргинe сoлвeнтнoсти и вeћи je oд oснoвнoг кaпитaлa прoписaн члaнoм 27 Зaкoнa o oсигурaњу. Taкoђe, гaрaнтнa рeзeрвa (рaспoлoживa мaргинa сoлвeнтнoсти) je вeћa oд зaхтeвaнe мaргинe сoлвeнтнoсти.</w:t>
      </w:r>
    </w:p>
    <w:p w:rsidR="007976E0" w:rsidRPr="00C30548" w:rsidRDefault="007976E0" w:rsidP="007976E0">
      <w:pPr>
        <w:spacing w:before="60" w:after="60"/>
        <w:ind w:firstLine="284"/>
        <w:jc w:val="both"/>
        <w:rPr>
          <w:rFonts w:eastAsiaTheme="minorEastAsia" w:cs="Tahoma"/>
          <w:noProof/>
          <w:sz w:val="20"/>
          <w:szCs w:val="20"/>
          <w:lang w:val="sr-Cyrl-CS" w:eastAsia="ja-JP"/>
        </w:rPr>
      </w:pPr>
      <w:r w:rsidRPr="00C30548">
        <w:rPr>
          <w:rFonts w:eastAsiaTheme="minorEastAsia" w:cs="Tahoma"/>
          <w:noProof/>
          <w:sz w:val="20"/>
          <w:szCs w:val="20"/>
          <w:lang w:val="sr-Cyrl-CS" w:eastAsia="ja-JP"/>
        </w:rPr>
        <w:t>Свe aктуaрскe пoзициje и другe вeличинe нa кoje oвлaшћeни aктуaр дaje мишљeњe у склaду су сa Зaкoнoм o oсигурaњу, прoписимa дoнeтим нa oснoву Зaкoнa и другим прoписимa кojимa сe урeђуje дeлaтнoст oсигурaњa/реосигурања. Taкoђe, у склaду су сa aктимa Друштвa, eкoнoмским нaчeлимa, прaвилимa aктуaрскe струкe и струкe oсигурaњa. Прeмиja реoсигурaњa и утврђeнe тeхничкe рeзeрвe дoвoљнe су зa трajнo испуњeњe oбaвeзa Друштвa из угoвoрa. Teхничкe рeзeрвe и кaпитaл Друштвa гaрaнтуjу трajну стaбилнoст и сoлвeнтнoст у пoслoвaњу. Друштво је у пословној години забележило повећање премије, повећање техничких резерви и позитиван финансијски резултат.</w:t>
      </w:r>
    </w:p>
    <w:p w:rsidR="00D20867" w:rsidRPr="00BF3CDE" w:rsidRDefault="00D20867" w:rsidP="001316D9">
      <w:pPr>
        <w:spacing w:before="60" w:after="60"/>
        <w:ind w:firstLine="284"/>
        <w:jc w:val="both"/>
        <w:rPr>
          <w:rFonts w:ascii="Calibri" w:hAnsi="Calibri" w:cs="Calibri"/>
          <w:b/>
          <w:noProof/>
          <w:color w:val="000000" w:themeColor="text1"/>
          <w:lang w:val="sr-Cyrl-CS"/>
        </w:rPr>
      </w:pPr>
    </w:p>
    <w:p w:rsidR="008C2B46" w:rsidRPr="005F78E3" w:rsidRDefault="00A71AD8" w:rsidP="00A71AD8">
      <w:pPr>
        <w:pStyle w:val="ListParagraph"/>
        <w:spacing w:before="60" w:after="60"/>
        <w:ind w:left="5664"/>
        <w:jc w:val="center"/>
        <w:rPr>
          <w:rFonts w:eastAsiaTheme="minorEastAsia" w:cs="Tahoma"/>
          <w:noProof/>
          <w:sz w:val="20"/>
          <w:szCs w:val="20"/>
          <w:lang w:val="sr-Cyrl-CS" w:eastAsia="ja-JP"/>
        </w:rPr>
      </w:pPr>
      <w:r w:rsidRPr="005F78E3">
        <w:rPr>
          <w:rFonts w:eastAsiaTheme="minorEastAsia" w:cs="Tahoma"/>
          <w:noProof/>
          <w:sz w:val="20"/>
          <w:szCs w:val="20"/>
          <w:lang w:val="sr-Cyrl-CS" w:eastAsia="ja-JP"/>
        </w:rPr>
        <w:t>ГЕНЕРАЛНИ ДИРЕКТОР</w:t>
      </w:r>
    </w:p>
    <w:p w:rsidR="008C2B46" w:rsidRPr="005F78E3" w:rsidRDefault="00A71AD8" w:rsidP="008C2B46">
      <w:pPr>
        <w:pStyle w:val="NoSpacing"/>
        <w:ind w:left="5664" w:firstLine="708"/>
        <w:jc w:val="both"/>
        <w:rPr>
          <w:rFonts w:cs="Tahoma"/>
          <w:noProof/>
          <w:sz w:val="20"/>
          <w:szCs w:val="20"/>
          <w:lang w:val="sr-Cyrl-CS"/>
        </w:rPr>
      </w:pPr>
      <w:r w:rsidRPr="005F78E3">
        <w:rPr>
          <w:rFonts w:cs="Tahoma"/>
          <w:noProof/>
          <w:sz w:val="20"/>
          <w:szCs w:val="20"/>
          <w:lang w:val="sr-Cyrl-CS"/>
        </w:rPr>
        <w:t>Зорана Пејчић</w:t>
      </w:r>
    </w:p>
    <w:p w:rsidR="008C2B46" w:rsidRPr="00BF3CDE" w:rsidRDefault="008C2B46" w:rsidP="008C2B46">
      <w:pPr>
        <w:pStyle w:val="NoSpacing"/>
        <w:jc w:val="both"/>
        <w:rPr>
          <w:b/>
          <w:noProof/>
          <w:sz w:val="20"/>
          <w:lang w:val="sr-Cyrl-CS"/>
        </w:rPr>
      </w:pPr>
      <w:r w:rsidRPr="00BF3CDE">
        <w:rPr>
          <w:b/>
          <w:noProof/>
          <w:sz w:val="20"/>
          <w:lang w:val="sr-Cyrl-CS"/>
        </w:rPr>
        <w:t>ПРИЛОГ:</w:t>
      </w:r>
    </w:p>
    <w:p w:rsidR="008C2B46" w:rsidRPr="00BF3CDE" w:rsidRDefault="008C2B46" w:rsidP="008C2B46">
      <w:pPr>
        <w:pStyle w:val="NoSpacing"/>
        <w:jc w:val="both"/>
        <w:rPr>
          <w:b/>
          <w:noProof/>
          <w:sz w:val="20"/>
          <w:lang w:val="sr-Cyrl-CS"/>
        </w:rPr>
      </w:pPr>
    </w:p>
    <w:p w:rsidR="008C2B46" w:rsidRPr="00BF3CDE" w:rsidRDefault="008C2B46" w:rsidP="008C2B46">
      <w:pPr>
        <w:pStyle w:val="NoSpacing"/>
        <w:jc w:val="both"/>
        <w:rPr>
          <w:b/>
          <w:noProof/>
          <w:sz w:val="20"/>
          <w:lang w:val="sr-Cyrl-CS"/>
        </w:rPr>
      </w:pPr>
      <w:r w:rsidRPr="00BF3CDE">
        <w:rPr>
          <w:b/>
          <w:noProof/>
          <w:sz w:val="20"/>
          <w:lang w:val="sr-Cyrl-CS"/>
        </w:rPr>
        <w:t>1. БИЛАНС СТАЊА НА ДАН  3</w:t>
      </w:r>
      <w:r w:rsidR="001316D9" w:rsidRPr="00BF3CDE">
        <w:rPr>
          <w:b/>
          <w:noProof/>
          <w:sz w:val="20"/>
          <w:lang w:val="sr-Cyrl-CS"/>
        </w:rPr>
        <w:t>1.12</w:t>
      </w:r>
      <w:r w:rsidRPr="00BF3CDE">
        <w:rPr>
          <w:b/>
          <w:noProof/>
          <w:sz w:val="20"/>
          <w:lang w:val="sr-Cyrl-CS"/>
        </w:rPr>
        <w:t>.201</w:t>
      </w:r>
      <w:r w:rsidR="00B41083">
        <w:rPr>
          <w:b/>
          <w:noProof/>
          <w:sz w:val="20"/>
          <w:lang w:val="sr-Latn-RS"/>
        </w:rPr>
        <w:t>5</w:t>
      </w:r>
      <w:r w:rsidRPr="00BF3CDE">
        <w:rPr>
          <w:b/>
          <w:noProof/>
          <w:sz w:val="20"/>
          <w:lang w:val="sr-Cyrl-CS"/>
        </w:rPr>
        <w:t>.</w:t>
      </w:r>
    </w:p>
    <w:p w:rsidR="008C2B46" w:rsidRPr="00BF3CDE" w:rsidRDefault="008C2B46" w:rsidP="008C2B46">
      <w:pPr>
        <w:pStyle w:val="NoSpacing"/>
        <w:jc w:val="both"/>
        <w:rPr>
          <w:b/>
          <w:noProof/>
          <w:sz w:val="6"/>
          <w:szCs w:val="6"/>
          <w:lang w:val="sr-Cyrl-CS"/>
        </w:rPr>
      </w:pPr>
    </w:p>
    <w:p w:rsidR="008C2B46" w:rsidRPr="00BF3CDE" w:rsidRDefault="008C2B46" w:rsidP="008C2B46">
      <w:pPr>
        <w:pStyle w:val="NoSpacing"/>
        <w:jc w:val="both"/>
        <w:rPr>
          <w:b/>
          <w:noProof/>
          <w:sz w:val="20"/>
          <w:lang w:val="sr-Cyrl-CS"/>
        </w:rPr>
      </w:pPr>
      <w:r w:rsidRPr="00BF3CDE">
        <w:rPr>
          <w:b/>
          <w:noProof/>
          <w:sz w:val="20"/>
          <w:lang w:val="sr-Cyrl-CS"/>
        </w:rPr>
        <w:t>2. БИЛАНС УСПЕХА У ПЕРИОДУ  01.01. - 3</w:t>
      </w:r>
      <w:r w:rsidR="001316D9" w:rsidRPr="00BF3CDE">
        <w:rPr>
          <w:b/>
          <w:noProof/>
          <w:sz w:val="20"/>
          <w:lang w:val="sr-Cyrl-CS"/>
        </w:rPr>
        <w:t>1</w:t>
      </w:r>
      <w:r w:rsidRPr="00BF3CDE">
        <w:rPr>
          <w:b/>
          <w:noProof/>
          <w:sz w:val="20"/>
          <w:lang w:val="sr-Cyrl-CS"/>
        </w:rPr>
        <w:t>.</w:t>
      </w:r>
      <w:r w:rsidR="001316D9" w:rsidRPr="00BF3CDE">
        <w:rPr>
          <w:b/>
          <w:noProof/>
          <w:sz w:val="20"/>
          <w:lang w:val="sr-Cyrl-CS"/>
        </w:rPr>
        <w:t>12</w:t>
      </w:r>
      <w:r w:rsidRPr="00BF3CDE">
        <w:rPr>
          <w:b/>
          <w:noProof/>
          <w:sz w:val="20"/>
          <w:lang w:val="sr-Cyrl-CS"/>
        </w:rPr>
        <w:t>.201</w:t>
      </w:r>
      <w:r w:rsidR="00B41083">
        <w:rPr>
          <w:b/>
          <w:noProof/>
          <w:sz w:val="20"/>
          <w:lang w:val="sr-Latn-RS"/>
        </w:rPr>
        <w:t>5</w:t>
      </w:r>
      <w:r w:rsidRPr="00BF3CDE">
        <w:rPr>
          <w:b/>
          <w:noProof/>
          <w:sz w:val="20"/>
          <w:lang w:val="sr-Cyrl-CS"/>
        </w:rPr>
        <w:t>.</w:t>
      </w:r>
    </w:p>
    <w:p w:rsidR="008C2B46" w:rsidRPr="00BF3CDE" w:rsidRDefault="008C2B46" w:rsidP="008C2B46">
      <w:pPr>
        <w:pStyle w:val="NoSpacing"/>
        <w:jc w:val="both"/>
        <w:rPr>
          <w:b/>
          <w:noProof/>
          <w:sz w:val="6"/>
          <w:szCs w:val="6"/>
          <w:lang w:val="sr-Cyrl-CS"/>
        </w:rPr>
      </w:pPr>
    </w:p>
    <w:p w:rsidR="00987DDA" w:rsidRPr="00BF3CDE" w:rsidRDefault="008C2B46" w:rsidP="006A2CC9">
      <w:pPr>
        <w:pStyle w:val="NoSpacing"/>
        <w:jc w:val="both"/>
        <w:rPr>
          <w:noProof/>
          <w:lang w:val="sr-Cyrl-CS" w:eastAsia="ar-SA"/>
        </w:rPr>
      </w:pPr>
      <w:r w:rsidRPr="00BF3CDE">
        <w:rPr>
          <w:b/>
          <w:noProof/>
          <w:sz w:val="20"/>
          <w:lang w:val="sr-Cyrl-CS"/>
        </w:rPr>
        <w:t>3. ЗАКЉУЧНИ ЛИСТ</w:t>
      </w:r>
    </w:p>
    <w:sectPr w:rsidR="00987DDA" w:rsidRPr="00BF3CDE" w:rsidSect="00342949">
      <w:headerReference w:type="default" r:id="rId35"/>
      <w:footerReference w:type="default" r:id="rId36"/>
      <w:footerReference w:type="first" r:id="rId37"/>
      <w:type w:val="continuous"/>
      <w:pgSz w:w="11906" w:h="16838"/>
      <w:pgMar w:top="709" w:right="1418" w:bottom="1418" w:left="1418" w:header="284" w:footer="0"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833303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0DE9" w:rsidRDefault="001E0DE9" w:rsidP="00856492">
      <w:pPr>
        <w:spacing w:after="0" w:line="240" w:lineRule="auto"/>
      </w:pPr>
      <w:r>
        <w:separator/>
      </w:r>
    </w:p>
  </w:endnote>
  <w:endnote w:type="continuationSeparator" w:id="0">
    <w:p w:rsidR="001E0DE9" w:rsidRDefault="001E0DE9" w:rsidP="008564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Helvetica 11pt">
    <w:altName w:val="Arial"/>
    <w:panose1 w:val="00000000000000000000"/>
    <w:charset w:val="00"/>
    <w:family w:val="swiss"/>
    <w:notTrueType/>
    <w:pitch w:val="default"/>
    <w:sig w:usb0="00000003" w:usb1="00000000" w:usb2="00000000" w:usb3="00000000" w:csb0="00000001" w:csb1="00000000"/>
  </w:font>
  <w:font w:name="StarSymbol">
    <w:altName w:val="Arial Unicode MS"/>
    <w:panose1 w:val="00000000000000000000"/>
    <w:charset w:val="02"/>
    <w:family w:val="auto"/>
    <w:notTrueType/>
    <w:pitch w:val="default"/>
  </w:font>
  <w:font w:name="Calibri">
    <w:panose1 w:val="020F0502020204030204"/>
    <w:charset w:val="EE"/>
    <w:family w:val="swiss"/>
    <w:pitch w:val="variable"/>
    <w:sig w:usb0="E00002FF" w:usb1="4000ACFF" w:usb2="00000001" w:usb3="00000000" w:csb0="0000019F" w:csb1="00000000"/>
  </w:font>
  <w:font w:name="Cirilica Times">
    <w:altName w:val="Times New Roman"/>
    <w:charset w:val="00"/>
    <w:family w:val="roman"/>
    <w:pitch w:val="variable"/>
    <w:sig w:usb0="00000003" w:usb1="00000000" w:usb2="00000000" w:usb3="00000000" w:csb0="00000001" w:csb1="00000000"/>
  </w:font>
  <w:font w:name="Cirilica Helvetica">
    <w:altName w:val="Arial"/>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Palatino Linotype">
    <w:panose1 w:val="02040502050505030304"/>
    <w:charset w:val="EE"/>
    <w:family w:val="roman"/>
    <w:pitch w:val="variable"/>
    <w:sig w:usb0="E0000287" w:usb1="40000013" w:usb2="00000000" w:usb3="00000000" w:csb0="0000019F" w:csb1="00000000"/>
  </w:font>
  <w:font w:name="Aharoni">
    <w:panose1 w:val="02010803020104030203"/>
    <w:charset w:val="B1"/>
    <w:family w:val="auto"/>
    <w:pitch w:val="variable"/>
    <w:sig w:usb0="00000801" w:usb1="00000000" w:usb2="00000000" w:usb3="00000000" w:csb0="00000020" w:csb1="00000000"/>
  </w:font>
  <w:font w:name="Arial Narrow">
    <w:panose1 w:val="020B0606020202030204"/>
    <w:charset w:val="EE"/>
    <w:family w:val="swiss"/>
    <w:pitch w:val="variable"/>
    <w:sig w:usb0="00000287" w:usb1="00000800" w:usb2="00000000" w:usb3="00000000" w:csb0="0000009F" w:csb1="00000000"/>
  </w:font>
  <w:font w:name="в">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65" w:type="pct"/>
      <w:tblInd w:w="-113" w:type="dxa"/>
      <w:tblBorders>
        <w:top w:val="single" w:sz="4" w:space="0" w:color="4F81BD" w:themeColor="accent1"/>
      </w:tblBorders>
      <w:tblCellMar>
        <w:top w:w="72" w:type="dxa"/>
        <w:left w:w="115" w:type="dxa"/>
        <w:bottom w:w="72" w:type="dxa"/>
        <w:right w:w="115" w:type="dxa"/>
      </w:tblCellMar>
      <w:tblLook w:val="00A0" w:firstRow="1" w:lastRow="0" w:firstColumn="1" w:lastColumn="0" w:noHBand="0" w:noVBand="0"/>
    </w:tblPr>
    <w:tblGrid>
      <w:gridCol w:w="8673"/>
      <w:gridCol w:w="606"/>
    </w:tblGrid>
    <w:tr w:rsidR="009F57E4" w:rsidTr="00095D5A">
      <w:trPr>
        <w:trHeight w:val="551"/>
      </w:trPr>
      <w:tc>
        <w:tcPr>
          <w:tcW w:w="4604" w:type="pct"/>
        </w:tcPr>
        <w:tbl>
          <w:tblPr>
            <w:tblStyle w:val="TableGrid"/>
            <w:tblW w:w="8442" w:type="dxa"/>
            <w:tblInd w:w="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24"/>
            <w:gridCol w:w="718"/>
          </w:tblGrid>
          <w:tr w:rsidR="009F57E4" w:rsidRPr="00B723F0" w:rsidTr="00095D5A">
            <w:trPr>
              <w:trHeight w:val="276"/>
            </w:trPr>
            <w:tc>
              <w:tcPr>
                <w:tcW w:w="7724" w:type="dxa"/>
                <w:tcBorders>
                  <w:right w:val="single" w:sz="4" w:space="0" w:color="7F7F7F" w:themeColor="text1" w:themeTint="80"/>
                </w:tcBorders>
                <w:vAlign w:val="center"/>
              </w:tcPr>
              <w:p w:rsidR="009F57E4" w:rsidRPr="00B723F0" w:rsidRDefault="009F57E4" w:rsidP="00201BD0">
                <w:pPr>
                  <w:pStyle w:val="Footer"/>
                  <w:tabs>
                    <w:tab w:val="clear" w:pos="4536"/>
                  </w:tabs>
                  <w:ind w:right="34"/>
                  <w:jc w:val="right"/>
                  <w:rPr>
                    <w:rFonts w:asciiTheme="majorHAnsi" w:hAnsiTheme="majorHAnsi" w:cs="Tahoma"/>
                    <w:sz w:val="18"/>
                    <w:szCs w:val="20"/>
                    <w:lang w:val="sr-Cyrl-CS"/>
                  </w:rPr>
                </w:pPr>
                <w:r w:rsidRPr="00B723F0">
                  <w:rPr>
                    <w:rFonts w:asciiTheme="majorHAnsi" w:hAnsiTheme="majorHAnsi" w:cs="Tahoma"/>
                    <w:sz w:val="18"/>
                    <w:szCs w:val="20"/>
                    <w:lang w:val="sr-Cyrl-CS"/>
                  </w:rPr>
                  <w:t>Годишњи извештај о пословању за 201</w:t>
                </w:r>
                <w:r>
                  <w:rPr>
                    <w:rFonts w:asciiTheme="majorHAnsi" w:hAnsiTheme="majorHAnsi" w:cs="Tahoma"/>
                    <w:sz w:val="18"/>
                    <w:szCs w:val="20"/>
                    <w:lang w:val="sr-Latn-RS"/>
                  </w:rPr>
                  <w:t>5</w:t>
                </w:r>
                <w:r w:rsidRPr="00B723F0">
                  <w:rPr>
                    <w:rFonts w:asciiTheme="majorHAnsi" w:hAnsiTheme="majorHAnsi" w:cs="Tahoma"/>
                    <w:sz w:val="18"/>
                    <w:szCs w:val="20"/>
                    <w:lang w:val="sr-Cyrl-CS"/>
                  </w:rPr>
                  <w:t xml:space="preserve">. годину </w:t>
                </w:r>
              </w:p>
            </w:tc>
            <w:tc>
              <w:tcPr>
                <w:tcW w:w="718" w:type="dxa"/>
                <w:vMerge w:val="restart"/>
                <w:tcBorders>
                  <w:left w:val="single" w:sz="4" w:space="0" w:color="7F7F7F" w:themeColor="text1" w:themeTint="80"/>
                </w:tcBorders>
                <w:vAlign w:val="center"/>
              </w:tcPr>
              <w:p w:rsidR="009F57E4" w:rsidRPr="00B723F0" w:rsidRDefault="009F57E4" w:rsidP="00B7143F">
                <w:pPr>
                  <w:pStyle w:val="Footer"/>
                  <w:ind w:right="-108" w:hanging="108"/>
                  <w:jc w:val="right"/>
                  <w:rPr>
                    <w:rFonts w:asciiTheme="majorHAnsi" w:hAnsiTheme="majorHAnsi" w:cs="Tahoma"/>
                    <w:sz w:val="18"/>
                    <w:szCs w:val="20"/>
                    <w:lang w:val="sr-Cyrl-CS"/>
                  </w:rPr>
                </w:pPr>
                <w:r w:rsidRPr="00B723F0">
                  <w:rPr>
                    <w:rFonts w:asciiTheme="majorHAnsi" w:hAnsiTheme="majorHAnsi" w:cs="Tahoma"/>
                    <w:sz w:val="18"/>
                    <w:szCs w:val="20"/>
                    <w:lang w:val="sr-Cyrl-CS"/>
                  </w:rPr>
                  <w:t>страна</w:t>
                </w:r>
              </w:p>
            </w:tc>
          </w:tr>
          <w:tr w:rsidR="009F57E4" w:rsidRPr="00B723F0" w:rsidTr="00095D5A">
            <w:trPr>
              <w:trHeight w:val="257"/>
            </w:trPr>
            <w:tc>
              <w:tcPr>
                <w:tcW w:w="7724" w:type="dxa"/>
                <w:tcBorders>
                  <w:right w:val="single" w:sz="4" w:space="0" w:color="7F7F7F" w:themeColor="text1" w:themeTint="80"/>
                </w:tcBorders>
                <w:vAlign w:val="center"/>
              </w:tcPr>
              <w:p w:rsidR="009F57E4" w:rsidRPr="00B723F0" w:rsidRDefault="009F57E4" w:rsidP="00B7143F">
                <w:pPr>
                  <w:pStyle w:val="Footer"/>
                  <w:ind w:right="34"/>
                  <w:jc w:val="right"/>
                  <w:rPr>
                    <w:rFonts w:asciiTheme="majorHAnsi" w:hAnsiTheme="majorHAnsi" w:cs="Tahoma"/>
                    <w:sz w:val="18"/>
                    <w:szCs w:val="20"/>
                    <w:lang w:val="sr-Cyrl-CS"/>
                  </w:rPr>
                </w:pPr>
                <w:r w:rsidRPr="00B723F0">
                  <w:rPr>
                    <w:rFonts w:asciiTheme="majorHAnsi" w:hAnsiTheme="majorHAnsi" w:cs="Tahoma"/>
                    <w:sz w:val="18"/>
                    <w:szCs w:val="20"/>
                    <w:lang w:val="sr-Cyrl-CS"/>
                  </w:rPr>
                  <w:t>Акционарског друштва за реосигурање „Дунав РЕ“</w:t>
                </w:r>
                <w:r w:rsidRPr="00B723F0">
                  <w:rPr>
                    <w:rFonts w:asciiTheme="majorHAnsi" w:hAnsiTheme="majorHAnsi" w:cs="Tahoma"/>
                    <w:sz w:val="18"/>
                    <w:szCs w:val="20"/>
                    <w:lang w:val="ru-RU"/>
                  </w:rPr>
                  <w:t xml:space="preserve"> </w:t>
                </w:r>
              </w:p>
            </w:tc>
            <w:tc>
              <w:tcPr>
                <w:tcW w:w="718" w:type="dxa"/>
                <w:vMerge/>
                <w:tcBorders>
                  <w:left w:val="single" w:sz="4" w:space="0" w:color="7F7F7F" w:themeColor="text1" w:themeTint="80"/>
                </w:tcBorders>
              </w:tcPr>
              <w:p w:rsidR="009F57E4" w:rsidRPr="00B723F0" w:rsidRDefault="009F57E4" w:rsidP="00EE19E9">
                <w:pPr>
                  <w:pStyle w:val="Footer"/>
                  <w:jc w:val="right"/>
                  <w:rPr>
                    <w:rFonts w:asciiTheme="majorHAnsi" w:hAnsiTheme="majorHAnsi" w:cs="Tahoma"/>
                    <w:sz w:val="18"/>
                    <w:szCs w:val="20"/>
                    <w:lang w:val="sr-Cyrl-CS"/>
                  </w:rPr>
                </w:pPr>
              </w:p>
            </w:tc>
          </w:tr>
        </w:tbl>
        <w:p w:rsidR="009F57E4" w:rsidRPr="005353CD" w:rsidRDefault="009F57E4" w:rsidP="005353CD">
          <w:pPr>
            <w:pStyle w:val="Footer"/>
            <w:jc w:val="right"/>
            <w:rPr>
              <w:rFonts w:asciiTheme="majorHAnsi" w:hAnsiTheme="majorHAnsi" w:cs="Tahoma"/>
              <w:sz w:val="20"/>
              <w:szCs w:val="20"/>
              <w:lang w:val="sr-Cyrl-CS"/>
            </w:rPr>
          </w:pPr>
        </w:p>
      </w:tc>
      <w:tc>
        <w:tcPr>
          <w:tcW w:w="396" w:type="pct"/>
          <w:shd w:val="clear" w:color="auto" w:fill="4F81BD" w:themeFill="accent1"/>
          <w:vAlign w:val="center"/>
        </w:tcPr>
        <w:p w:rsidR="009F57E4" w:rsidRDefault="009F57E4" w:rsidP="00B7143F">
          <w:pPr>
            <w:pStyle w:val="Header"/>
            <w:jc w:val="center"/>
            <w:rPr>
              <w:color w:val="FFFFFF"/>
            </w:rPr>
          </w:pPr>
          <w:r>
            <w:fldChar w:fldCharType="begin"/>
          </w:r>
          <w:r>
            <w:instrText xml:space="preserve"> PAGE   \* MERGEFORMAT </w:instrText>
          </w:r>
          <w:r>
            <w:fldChar w:fldCharType="separate"/>
          </w:r>
          <w:r w:rsidR="003F2B32" w:rsidRPr="003F2B32">
            <w:rPr>
              <w:noProof/>
              <w:color w:val="FFFFFF"/>
            </w:rPr>
            <w:t>3</w:t>
          </w:r>
          <w:r>
            <w:rPr>
              <w:noProof/>
              <w:color w:val="FFFFFF"/>
            </w:rPr>
            <w:fldChar w:fldCharType="end"/>
          </w:r>
        </w:p>
      </w:tc>
    </w:tr>
  </w:tbl>
  <w:p w:rsidR="009F57E4" w:rsidRDefault="009F57E4">
    <w:pPr>
      <w:pStyle w:val="Footer"/>
    </w:pPr>
  </w:p>
  <w:p w:rsidR="009F57E4" w:rsidRDefault="009F57E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65" w:type="pct"/>
      <w:tblInd w:w="-113" w:type="dxa"/>
      <w:tblBorders>
        <w:top w:val="single" w:sz="4" w:space="0" w:color="4F81BD" w:themeColor="accent1"/>
      </w:tblBorders>
      <w:tblCellMar>
        <w:top w:w="72" w:type="dxa"/>
        <w:left w:w="115" w:type="dxa"/>
        <w:bottom w:w="72" w:type="dxa"/>
        <w:right w:w="115" w:type="dxa"/>
      </w:tblCellMar>
      <w:tblLook w:val="00A0" w:firstRow="1" w:lastRow="0" w:firstColumn="1" w:lastColumn="0" w:noHBand="0" w:noVBand="0"/>
    </w:tblPr>
    <w:tblGrid>
      <w:gridCol w:w="8675"/>
      <w:gridCol w:w="746"/>
    </w:tblGrid>
    <w:tr w:rsidR="009F57E4" w:rsidTr="00314796">
      <w:trPr>
        <w:trHeight w:val="551"/>
      </w:trPr>
      <w:tc>
        <w:tcPr>
          <w:tcW w:w="4604" w:type="pct"/>
        </w:tcPr>
        <w:tbl>
          <w:tblPr>
            <w:tblStyle w:val="TableGrid"/>
            <w:tblW w:w="8442" w:type="dxa"/>
            <w:tblInd w:w="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24"/>
            <w:gridCol w:w="718"/>
          </w:tblGrid>
          <w:tr w:rsidR="009F57E4" w:rsidRPr="00B723F0" w:rsidTr="00314796">
            <w:trPr>
              <w:trHeight w:val="276"/>
            </w:trPr>
            <w:tc>
              <w:tcPr>
                <w:tcW w:w="7724" w:type="dxa"/>
                <w:tcBorders>
                  <w:right w:val="single" w:sz="4" w:space="0" w:color="7F7F7F" w:themeColor="text1" w:themeTint="80"/>
                </w:tcBorders>
                <w:vAlign w:val="center"/>
              </w:tcPr>
              <w:p w:rsidR="009F57E4" w:rsidRPr="00B723F0" w:rsidRDefault="009F57E4" w:rsidP="00314796">
                <w:pPr>
                  <w:pStyle w:val="Footer"/>
                  <w:tabs>
                    <w:tab w:val="clear" w:pos="4536"/>
                  </w:tabs>
                  <w:ind w:right="34"/>
                  <w:jc w:val="right"/>
                  <w:rPr>
                    <w:rFonts w:asciiTheme="majorHAnsi" w:hAnsiTheme="majorHAnsi" w:cs="Tahoma"/>
                    <w:sz w:val="18"/>
                    <w:szCs w:val="20"/>
                    <w:lang w:val="sr-Cyrl-CS"/>
                  </w:rPr>
                </w:pPr>
                <w:r w:rsidRPr="00B723F0">
                  <w:rPr>
                    <w:rFonts w:asciiTheme="majorHAnsi" w:hAnsiTheme="majorHAnsi" w:cs="Tahoma"/>
                    <w:sz w:val="18"/>
                    <w:szCs w:val="20"/>
                    <w:lang w:val="sr-Cyrl-CS"/>
                  </w:rPr>
                  <w:t>Годишњи извештај о пословању за 201</w:t>
                </w:r>
                <w:r>
                  <w:rPr>
                    <w:rFonts w:asciiTheme="majorHAnsi" w:hAnsiTheme="majorHAnsi" w:cs="Tahoma"/>
                    <w:sz w:val="18"/>
                    <w:szCs w:val="20"/>
                    <w:lang w:val="sr-Latn-RS"/>
                  </w:rPr>
                  <w:t>4</w:t>
                </w:r>
                <w:r w:rsidRPr="00B723F0">
                  <w:rPr>
                    <w:rFonts w:asciiTheme="majorHAnsi" w:hAnsiTheme="majorHAnsi" w:cs="Tahoma"/>
                    <w:sz w:val="18"/>
                    <w:szCs w:val="20"/>
                    <w:lang w:val="sr-Cyrl-CS"/>
                  </w:rPr>
                  <w:t xml:space="preserve">. годину </w:t>
                </w:r>
              </w:p>
            </w:tc>
            <w:tc>
              <w:tcPr>
                <w:tcW w:w="718" w:type="dxa"/>
                <w:vMerge w:val="restart"/>
                <w:tcBorders>
                  <w:left w:val="single" w:sz="4" w:space="0" w:color="7F7F7F" w:themeColor="text1" w:themeTint="80"/>
                </w:tcBorders>
                <w:vAlign w:val="center"/>
              </w:tcPr>
              <w:p w:rsidR="009F57E4" w:rsidRPr="00B723F0" w:rsidRDefault="009F57E4" w:rsidP="00314796">
                <w:pPr>
                  <w:pStyle w:val="Footer"/>
                  <w:ind w:right="-108" w:hanging="108"/>
                  <w:jc w:val="right"/>
                  <w:rPr>
                    <w:rFonts w:asciiTheme="majorHAnsi" w:hAnsiTheme="majorHAnsi" w:cs="Tahoma"/>
                    <w:sz w:val="18"/>
                    <w:szCs w:val="20"/>
                    <w:lang w:val="sr-Cyrl-CS"/>
                  </w:rPr>
                </w:pPr>
                <w:r w:rsidRPr="00B723F0">
                  <w:rPr>
                    <w:rFonts w:asciiTheme="majorHAnsi" w:hAnsiTheme="majorHAnsi" w:cs="Tahoma"/>
                    <w:sz w:val="18"/>
                    <w:szCs w:val="20"/>
                    <w:lang w:val="sr-Cyrl-CS"/>
                  </w:rPr>
                  <w:t>страна</w:t>
                </w:r>
              </w:p>
            </w:tc>
          </w:tr>
          <w:tr w:rsidR="009F57E4" w:rsidRPr="00B723F0" w:rsidTr="00314796">
            <w:trPr>
              <w:trHeight w:val="257"/>
            </w:trPr>
            <w:tc>
              <w:tcPr>
                <w:tcW w:w="7724" w:type="dxa"/>
                <w:tcBorders>
                  <w:right w:val="single" w:sz="4" w:space="0" w:color="7F7F7F" w:themeColor="text1" w:themeTint="80"/>
                </w:tcBorders>
                <w:vAlign w:val="center"/>
              </w:tcPr>
              <w:p w:rsidR="009F57E4" w:rsidRPr="00B723F0" w:rsidRDefault="009F57E4" w:rsidP="00314796">
                <w:pPr>
                  <w:pStyle w:val="Footer"/>
                  <w:ind w:right="34"/>
                  <w:jc w:val="right"/>
                  <w:rPr>
                    <w:rFonts w:asciiTheme="majorHAnsi" w:hAnsiTheme="majorHAnsi" w:cs="Tahoma"/>
                    <w:sz w:val="18"/>
                    <w:szCs w:val="20"/>
                    <w:lang w:val="sr-Cyrl-CS"/>
                  </w:rPr>
                </w:pPr>
                <w:r w:rsidRPr="00B723F0">
                  <w:rPr>
                    <w:rFonts w:asciiTheme="majorHAnsi" w:hAnsiTheme="majorHAnsi" w:cs="Tahoma"/>
                    <w:sz w:val="18"/>
                    <w:szCs w:val="20"/>
                    <w:lang w:val="sr-Cyrl-CS"/>
                  </w:rPr>
                  <w:t>Акционарског друштва за реосигурање „Дунав РЕ“</w:t>
                </w:r>
                <w:r w:rsidRPr="00B723F0">
                  <w:rPr>
                    <w:rFonts w:asciiTheme="majorHAnsi" w:hAnsiTheme="majorHAnsi" w:cs="Tahoma"/>
                    <w:sz w:val="18"/>
                    <w:szCs w:val="20"/>
                    <w:lang w:val="ru-RU"/>
                  </w:rPr>
                  <w:t xml:space="preserve"> </w:t>
                </w:r>
              </w:p>
            </w:tc>
            <w:tc>
              <w:tcPr>
                <w:tcW w:w="718" w:type="dxa"/>
                <w:vMerge/>
                <w:tcBorders>
                  <w:left w:val="single" w:sz="4" w:space="0" w:color="7F7F7F" w:themeColor="text1" w:themeTint="80"/>
                </w:tcBorders>
              </w:tcPr>
              <w:p w:rsidR="009F57E4" w:rsidRPr="00B723F0" w:rsidRDefault="009F57E4" w:rsidP="00314796">
                <w:pPr>
                  <w:pStyle w:val="Footer"/>
                  <w:jc w:val="right"/>
                  <w:rPr>
                    <w:rFonts w:asciiTheme="majorHAnsi" w:hAnsiTheme="majorHAnsi" w:cs="Tahoma"/>
                    <w:sz w:val="18"/>
                    <w:szCs w:val="20"/>
                    <w:lang w:val="sr-Cyrl-CS"/>
                  </w:rPr>
                </w:pPr>
              </w:p>
            </w:tc>
          </w:tr>
        </w:tbl>
        <w:p w:rsidR="009F57E4" w:rsidRPr="005353CD" w:rsidRDefault="009F57E4" w:rsidP="00314796">
          <w:pPr>
            <w:pStyle w:val="Footer"/>
            <w:jc w:val="right"/>
            <w:rPr>
              <w:rFonts w:asciiTheme="majorHAnsi" w:hAnsiTheme="majorHAnsi" w:cs="Tahoma"/>
              <w:sz w:val="20"/>
              <w:szCs w:val="20"/>
              <w:lang w:val="sr-Cyrl-CS"/>
            </w:rPr>
          </w:pPr>
        </w:p>
      </w:tc>
      <w:tc>
        <w:tcPr>
          <w:tcW w:w="396" w:type="pct"/>
          <w:shd w:val="clear" w:color="auto" w:fill="4F81BD" w:themeFill="accent1"/>
          <w:vAlign w:val="center"/>
        </w:tcPr>
        <w:p w:rsidR="009F57E4" w:rsidRDefault="009F57E4" w:rsidP="00314796">
          <w:pPr>
            <w:pStyle w:val="Header"/>
            <w:jc w:val="center"/>
            <w:rPr>
              <w:color w:val="FFFFFF"/>
            </w:rPr>
          </w:pPr>
          <w:r>
            <w:fldChar w:fldCharType="begin"/>
          </w:r>
          <w:r>
            <w:instrText xml:space="preserve"> PAGE   \* MERGEFORMAT </w:instrText>
          </w:r>
          <w:r>
            <w:fldChar w:fldCharType="separate"/>
          </w:r>
          <w:r w:rsidRPr="00F46F35">
            <w:rPr>
              <w:noProof/>
              <w:color w:val="FFFFFF"/>
            </w:rPr>
            <w:t>63</w:t>
          </w:r>
          <w:r>
            <w:rPr>
              <w:noProof/>
              <w:color w:val="FFFFFF"/>
            </w:rPr>
            <w:fldChar w:fldCharType="end"/>
          </w:r>
        </w:p>
      </w:tc>
    </w:tr>
  </w:tbl>
  <w:p w:rsidR="009F57E4" w:rsidRDefault="009F57E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0DE9" w:rsidRDefault="001E0DE9" w:rsidP="00856492">
      <w:pPr>
        <w:spacing w:after="0" w:line="240" w:lineRule="auto"/>
      </w:pPr>
      <w:r>
        <w:separator/>
      </w:r>
    </w:p>
  </w:footnote>
  <w:footnote w:type="continuationSeparator" w:id="0">
    <w:p w:rsidR="001E0DE9" w:rsidRDefault="001E0DE9" w:rsidP="0085649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57E4" w:rsidRPr="008C2890" w:rsidRDefault="009F57E4" w:rsidP="008C2890">
    <w:pPr>
      <w:pStyle w:val="Header"/>
    </w:pPr>
    <w:r>
      <w:rPr>
        <w:rFonts w:asciiTheme="majorHAnsi" w:eastAsiaTheme="majorEastAsia" w:hAnsiTheme="majorHAnsi" w:cstheme="majorBidi"/>
        <w:noProof/>
        <w:lang w:val="sr-Latn-RS" w:eastAsia="sr-Latn-RS"/>
      </w:rPr>
      <mc:AlternateContent>
        <mc:Choice Requires="wpg">
          <w:drawing>
            <wp:anchor distT="0" distB="0" distL="114300" distR="114300" simplePos="0" relativeHeight="251667456" behindDoc="0" locked="0" layoutInCell="1" allowOverlap="1" wp14:anchorId="254A1427" wp14:editId="25F3E227">
              <wp:simplePos x="0" y="0"/>
              <wp:positionH relativeFrom="page">
                <wp:align>center</wp:align>
              </wp:positionH>
              <wp:positionV relativeFrom="page">
                <wp:align>top</wp:align>
              </wp:positionV>
              <wp:extent cx="7559040" cy="832485"/>
              <wp:effectExtent l="0" t="0" r="0" b="0"/>
              <wp:wrapNone/>
              <wp:docPr id="468" name="Group 4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832485"/>
                        <a:chOff x="8" y="9"/>
                        <a:chExt cx="15823" cy="1439"/>
                      </a:xfrm>
                    </wpg:grpSpPr>
                    <wps:wsp>
                      <wps:cNvPr id="469" name="AutoShape 4"/>
                      <wps:cNvCnPr>
                        <a:cxnSpLocks noChangeShapeType="1"/>
                      </wps:cNvCnPr>
                      <wps:spPr bwMode="auto">
                        <a:xfrm>
                          <a:off x="9" y="1431"/>
                          <a:ext cx="15822" cy="0"/>
                        </a:xfrm>
                        <a:prstGeom prst="straightConnector1">
                          <a:avLst/>
                        </a:prstGeom>
                        <a:noFill/>
                        <a:ln w="9525">
                          <a:noFill/>
                          <a:round/>
                          <a:headEnd/>
                          <a:tailEnd/>
                        </a:ln>
                        <a:extLst>
                          <a:ext uri="{909E8E84-426E-40DD-AFC4-6F175D3DCCD1}">
                            <a14:hiddenFill xmlns:a14="http://schemas.microsoft.com/office/drawing/2010/main">
                              <a:noFill/>
                            </a14:hiddenFill>
                          </a:ext>
                        </a:extLst>
                      </wps:spPr>
                      <wps:bodyPr/>
                    </wps:wsp>
                    <wps:wsp>
                      <wps:cNvPr id="470" name="Rectangle 470"/>
                      <wps:cNvSpPr>
                        <a:spLocks noChangeArrowheads="1"/>
                      </wps:cNvSpPr>
                      <wps:spPr bwMode="auto">
                        <a:xfrm>
                          <a:off x="8" y="9"/>
                          <a:ext cx="4031" cy="1439"/>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topMargin">
                <wp14:pctHeight>92500</wp14:pctHeight>
              </wp14:sizeRelV>
            </wp:anchor>
          </w:drawing>
        </mc:Choice>
        <mc:Fallback>
          <w:pict>
            <v:group id="Group 468" o:spid="_x0000_s1026" style="position:absolute;margin-left:0;margin-top:0;width:595.2pt;height:65.55pt;z-index:251667456;mso-width-percent:1000;mso-height-percent:925;mso-position-horizontal:center;mso-position-horizontal-relative:page;mso-position-vertical:top;mso-position-vertical-relative:page;mso-width-percent:1000;mso-height-percent:925;mso-height-relative:top-margin-area" coordorigin="8,9" coordsize="15823,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">
              <v:shapetype id="_x0000_t32" coordsize="21600,21600" o:spt="32" o:oned="t" path="m,l21600,21600e" filled="f">
                <v:path arrowok="t" fillok="f" o:connecttype="none"/>
                <o:lock v:ext="edit" shapetype="t"/>
              </v:shapetype>
              <v:shape id="AutoShape 4" o:spid="_x0000_s1027" type="#_x0000_t32" style="position:absolute;left:9;top:1431;width:1582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JLq8UAAADcAAAADwAAAGRycy9kb3ducmV2LnhtbESPT2sCMRTE7wW/Q3iCl6JZlyK6NYoI&#10;Ym+lqxdvj83bP3TzsiZxXf30TaHQ4zAzv2HW28G0oifnG8sK5rMEBHFhdcOVgvPpMF2C8AFZY2uZ&#10;FDzIw3Yzelljpu2dv6jPQyUihH2GCuoQukxKX9Rk0M9sRxy90jqDIUpXSe3wHuGmlWmSLKTBhuNC&#10;jR3tayq+85tR8PQupPv+OpTyma9u6Wt52R0/lZqMh907iEBD+A//tT+0grfFCn7PxCMgN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NJLq8UAAADcAAAADwAAAAAAAAAA&#10;AAAAAAChAgAAZHJzL2Rvd25yZXYueG1sUEsFBgAAAAAEAAQA+QAAAJMDAAAAAA==&#10;" stroked="f"/>
              <v:rect id="Rectangle 470" o:spid="_x0000_s1028" style="position:absolute;left:8;top:9;width:4031;height:1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pL68MA&#10;AADcAAAADwAAAGRycy9kb3ducmV2LnhtbERPTWvCQBC9F/oflil4Ed1YxJY0GymCNEhBmlTPQ3aa&#10;hGZnY3ZN4r93D4UeH+872U6mFQP1rrGsYLWMQBCXVjdcKfgu9otXEM4ja2wtk4IbOdimjw8JxtqO&#10;/EVD7isRQtjFqKD2vouldGVNBt3SdsSB+7G9QR9gX0nd4xjCTSufo2gjDTYcGmrsaFdT+ZtfjYKx&#10;PA7n4vNDHufnzPIlu+zy00Gp2dP0/gbC0+T/xX/uTCtYv4T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pL68MAAADcAAAADwAAAAAAAAAAAAAAAACYAgAAZHJzL2Rv&#10;d25yZXYueG1sUEsFBgAAAAAEAAQA9QAAAIgDAAAAAA==&#10;" filled="f" stroked="f"/>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E4D7F"/>
    <w:multiLevelType w:val="hybridMultilevel"/>
    <w:tmpl w:val="937459D8"/>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
    <w:nsid w:val="01D91141"/>
    <w:multiLevelType w:val="multilevel"/>
    <w:tmpl w:val="BEA8EB6C"/>
    <w:lvl w:ilvl="0">
      <w:start w:val="1"/>
      <w:numFmt w:val="decimal"/>
      <w:pStyle w:val="Style2"/>
      <w:lvlText w:val="%1."/>
      <w:lvlJc w:val="left"/>
      <w:pPr>
        <w:tabs>
          <w:tab w:val="num" w:pos="720"/>
        </w:tabs>
        <w:ind w:left="720" w:hanging="360"/>
      </w:pPr>
      <w:rPr>
        <w:rFonts w:hint="default"/>
      </w:rPr>
    </w:lvl>
    <w:lvl w:ilvl="1">
      <w:start w:val="1"/>
      <w:numFmt w:val="lowerLetter"/>
      <w:pStyle w:val="Style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nsid w:val="121907D2"/>
    <w:multiLevelType w:val="multilevel"/>
    <w:tmpl w:val="4CF496CA"/>
    <w:lvl w:ilvl="0">
      <w:start w:val="3"/>
      <w:numFmt w:val="decimal"/>
      <w:lvlText w:val="%1."/>
      <w:lvlJc w:val="left"/>
      <w:pPr>
        <w:ind w:left="432" w:hanging="432"/>
      </w:pPr>
      <w:rPr>
        <w:rFonts w:eastAsia="Times New Roman" w:hint="default"/>
        <w:b/>
      </w:rPr>
    </w:lvl>
    <w:lvl w:ilvl="1">
      <w:start w:val="2"/>
      <w:numFmt w:val="decimal"/>
      <w:lvlText w:val="%1.%2."/>
      <w:lvlJc w:val="left"/>
      <w:pPr>
        <w:ind w:left="9084" w:hanging="720"/>
      </w:pPr>
      <w:rPr>
        <w:rFonts w:eastAsia="Times New Roman" w:hint="default"/>
        <w:b/>
      </w:rPr>
    </w:lvl>
    <w:lvl w:ilvl="2">
      <w:start w:val="1"/>
      <w:numFmt w:val="decimal"/>
      <w:lvlText w:val="%1.%2.%3."/>
      <w:lvlJc w:val="left"/>
      <w:pPr>
        <w:ind w:left="3556" w:hanging="720"/>
      </w:pPr>
      <w:rPr>
        <w:rFonts w:eastAsia="Times New Roman" w:hint="default"/>
        <w:b/>
      </w:rPr>
    </w:lvl>
    <w:lvl w:ilvl="3">
      <w:start w:val="1"/>
      <w:numFmt w:val="decimal"/>
      <w:lvlText w:val="%1.%2.%3.%4."/>
      <w:lvlJc w:val="left"/>
      <w:pPr>
        <w:ind w:left="5334" w:hanging="1080"/>
      </w:pPr>
      <w:rPr>
        <w:rFonts w:eastAsia="Times New Roman" w:hint="default"/>
        <w:b/>
      </w:rPr>
    </w:lvl>
    <w:lvl w:ilvl="4">
      <w:start w:val="1"/>
      <w:numFmt w:val="decimal"/>
      <w:lvlText w:val="%1.%2.%3.%4.%5."/>
      <w:lvlJc w:val="left"/>
      <w:pPr>
        <w:ind w:left="7112" w:hanging="1440"/>
      </w:pPr>
      <w:rPr>
        <w:rFonts w:eastAsia="Times New Roman" w:hint="default"/>
        <w:b/>
      </w:rPr>
    </w:lvl>
    <w:lvl w:ilvl="5">
      <w:start w:val="1"/>
      <w:numFmt w:val="decimal"/>
      <w:lvlText w:val="%1.%2.%3.%4.%5.%6."/>
      <w:lvlJc w:val="left"/>
      <w:pPr>
        <w:ind w:left="8530" w:hanging="1440"/>
      </w:pPr>
      <w:rPr>
        <w:rFonts w:eastAsia="Times New Roman" w:hint="default"/>
        <w:b/>
      </w:rPr>
    </w:lvl>
    <w:lvl w:ilvl="6">
      <w:start w:val="1"/>
      <w:numFmt w:val="decimal"/>
      <w:lvlText w:val="%1.%2.%3.%4.%5.%6.%7."/>
      <w:lvlJc w:val="left"/>
      <w:pPr>
        <w:ind w:left="10308" w:hanging="1800"/>
      </w:pPr>
      <w:rPr>
        <w:rFonts w:eastAsia="Times New Roman" w:hint="default"/>
        <w:b/>
      </w:rPr>
    </w:lvl>
    <w:lvl w:ilvl="7">
      <w:start w:val="1"/>
      <w:numFmt w:val="decimal"/>
      <w:lvlText w:val="%1.%2.%3.%4.%5.%6.%7.%8."/>
      <w:lvlJc w:val="left"/>
      <w:pPr>
        <w:ind w:left="12086" w:hanging="2160"/>
      </w:pPr>
      <w:rPr>
        <w:rFonts w:eastAsia="Times New Roman" w:hint="default"/>
        <w:b/>
      </w:rPr>
    </w:lvl>
    <w:lvl w:ilvl="8">
      <w:start w:val="1"/>
      <w:numFmt w:val="decimal"/>
      <w:lvlText w:val="%1.%2.%3.%4.%5.%6.%7.%8.%9."/>
      <w:lvlJc w:val="left"/>
      <w:pPr>
        <w:ind w:left="13504" w:hanging="2160"/>
      </w:pPr>
      <w:rPr>
        <w:rFonts w:eastAsia="Times New Roman" w:hint="default"/>
        <w:b/>
      </w:rPr>
    </w:lvl>
  </w:abstractNum>
  <w:abstractNum w:abstractNumId="3">
    <w:nsid w:val="15D00B29"/>
    <w:multiLevelType w:val="hybridMultilevel"/>
    <w:tmpl w:val="1DB4D238"/>
    <w:lvl w:ilvl="0" w:tplc="5EB001E0">
      <w:start w:val="1"/>
      <w:numFmt w:val="bullet"/>
      <w:lvlText w:val=""/>
      <w:lvlJc w:val="left"/>
      <w:pPr>
        <w:ind w:left="1495" w:hanging="360"/>
      </w:pPr>
      <w:rPr>
        <w:rFonts w:ascii="Wingdings" w:hAnsi="Wingdings" w:hint="default"/>
        <w:b/>
        <w:color w:val="4F81BD" w:themeColor="accent1"/>
        <w:sz w:val="22"/>
        <w:szCs w:val="1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8540D42"/>
    <w:multiLevelType w:val="hybridMultilevel"/>
    <w:tmpl w:val="3EE6708A"/>
    <w:lvl w:ilvl="0" w:tplc="ECBA5CF4">
      <w:start w:val="1"/>
      <w:numFmt w:val="bullet"/>
      <w:lvlText w:val=""/>
      <w:lvlJc w:val="left"/>
      <w:pPr>
        <w:ind w:left="9207" w:hanging="360"/>
      </w:pPr>
      <w:rPr>
        <w:rFonts w:ascii="Symbol" w:hAnsi="Symbol" w:hint="default"/>
        <w:color w:val="auto"/>
      </w:rPr>
    </w:lvl>
    <w:lvl w:ilvl="1" w:tplc="241A0003" w:tentative="1">
      <w:start w:val="1"/>
      <w:numFmt w:val="bullet"/>
      <w:lvlText w:val="o"/>
      <w:lvlJc w:val="left"/>
      <w:pPr>
        <w:ind w:left="9927" w:hanging="360"/>
      </w:pPr>
      <w:rPr>
        <w:rFonts w:ascii="Courier New" w:hAnsi="Courier New" w:cs="Courier New" w:hint="default"/>
      </w:rPr>
    </w:lvl>
    <w:lvl w:ilvl="2" w:tplc="241A0005" w:tentative="1">
      <w:start w:val="1"/>
      <w:numFmt w:val="bullet"/>
      <w:lvlText w:val=""/>
      <w:lvlJc w:val="left"/>
      <w:pPr>
        <w:ind w:left="10647" w:hanging="360"/>
      </w:pPr>
      <w:rPr>
        <w:rFonts w:ascii="Wingdings" w:hAnsi="Wingdings" w:hint="default"/>
      </w:rPr>
    </w:lvl>
    <w:lvl w:ilvl="3" w:tplc="241A0001" w:tentative="1">
      <w:start w:val="1"/>
      <w:numFmt w:val="bullet"/>
      <w:lvlText w:val=""/>
      <w:lvlJc w:val="left"/>
      <w:pPr>
        <w:ind w:left="11367" w:hanging="360"/>
      </w:pPr>
      <w:rPr>
        <w:rFonts w:ascii="Symbol" w:hAnsi="Symbol" w:hint="default"/>
      </w:rPr>
    </w:lvl>
    <w:lvl w:ilvl="4" w:tplc="241A0003" w:tentative="1">
      <w:start w:val="1"/>
      <w:numFmt w:val="bullet"/>
      <w:lvlText w:val="o"/>
      <w:lvlJc w:val="left"/>
      <w:pPr>
        <w:ind w:left="12087" w:hanging="360"/>
      </w:pPr>
      <w:rPr>
        <w:rFonts w:ascii="Courier New" w:hAnsi="Courier New" w:cs="Courier New" w:hint="default"/>
      </w:rPr>
    </w:lvl>
    <w:lvl w:ilvl="5" w:tplc="241A0005" w:tentative="1">
      <w:start w:val="1"/>
      <w:numFmt w:val="bullet"/>
      <w:lvlText w:val=""/>
      <w:lvlJc w:val="left"/>
      <w:pPr>
        <w:ind w:left="12807" w:hanging="360"/>
      </w:pPr>
      <w:rPr>
        <w:rFonts w:ascii="Wingdings" w:hAnsi="Wingdings" w:hint="default"/>
      </w:rPr>
    </w:lvl>
    <w:lvl w:ilvl="6" w:tplc="241A0001" w:tentative="1">
      <w:start w:val="1"/>
      <w:numFmt w:val="bullet"/>
      <w:lvlText w:val=""/>
      <w:lvlJc w:val="left"/>
      <w:pPr>
        <w:ind w:left="13527" w:hanging="360"/>
      </w:pPr>
      <w:rPr>
        <w:rFonts w:ascii="Symbol" w:hAnsi="Symbol" w:hint="default"/>
      </w:rPr>
    </w:lvl>
    <w:lvl w:ilvl="7" w:tplc="241A0003" w:tentative="1">
      <w:start w:val="1"/>
      <w:numFmt w:val="bullet"/>
      <w:lvlText w:val="o"/>
      <w:lvlJc w:val="left"/>
      <w:pPr>
        <w:ind w:left="14247" w:hanging="360"/>
      </w:pPr>
      <w:rPr>
        <w:rFonts w:ascii="Courier New" w:hAnsi="Courier New" w:cs="Courier New" w:hint="default"/>
      </w:rPr>
    </w:lvl>
    <w:lvl w:ilvl="8" w:tplc="241A0005" w:tentative="1">
      <w:start w:val="1"/>
      <w:numFmt w:val="bullet"/>
      <w:lvlText w:val=""/>
      <w:lvlJc w:val="left"/>
      <w:pPr>
        <w:ind w:left="14967" w:hanging="360"/>
      </w:pPr>
      <w:rPr>
        <w:rFonts w:ascii="Wingdings" w:hAnsi="Wingdings" w:hint="default"/>
      </w:rPr>
    </w:lvl>
  </w:abstractNum>
  <w:abstractNum w:abstractNumId="5">
    <w:nsid w:val="1CEF43B5"/>
    <w:multiLevelType w:val="multilevel"/>
    <w:tmpl w:val="F446C6FE"/>
    <w:styleLink w:val="ArticleSection"/>
    <w:lvl w:ilvl="0">
      <w:start w:val="43"/>
      <w:numFmt w:val="decimal"/>
      <w:lvlText w:val="%1."/>
      <w:lvlJc w:val="left"/>
      <w:pPr>
        <w:tabs>
          <w:tab w:val="num" w:pos="1080"/>
        </w:tabs>
        <w:ind w:left="1080" w:hanging="1080"/>
      </w:pPr>
      <w:rPr>
        <w:rFonts w:hint="default"/>
      </w:rPr>
    </w:lvl>
    <w:lvl w:ilvl="1">
      <w:start w:val="1"/>
      <w:numFmt w:val="decimal"/>
      <w:lvlText w:val="%1.%2."/>
      <w:lvlJc w:val="left"/>
      <w:pPr>
        <w:tabs>
          <w:tab w:val="num" w:pos="1440"/>
        </w:tabs>
        <w:ind w:left="1440" w:hanging="1080"/>
      </w:pPr>
      <w:rPr>
        <w:rFonts w:hint="default"/>
      </w:rPr>
    </w:lvl>
    <w:lvl w:ilvl="2">
      <w:start w:val="1"/>
      <w:numFmt w:val="decimal"/>
      <w:lvlText w:val="%1.%2.%3."/>
      <w:lvlJc w:val="left"/>
      <w:pPr>
        <w:tabs>
          <w:tab w:val="num" w:pos="1800"/>
        </w:tabs>
        <w:ind w:left="1800" w:hanging="108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880"/>
        </w:tabs>
        <w:ind w:left="2880" w:hanging="1440"/>
      </w:pPr>
      <w:rPr>
        <w:rFonts w:hint="default"/>
      </w:rPr>
    </w:lvl>
    <w:lvl w:ilvl="5">
      <w:start w:val="1"/>
      <w:numFmt w:val="decimal"/>
      <w:lvlText w:val="%1.%2.%3.%4.%5.%6."/>
      <w:lvlJc w:val="left"/>
      <w:pPr>
        <w:tabs>
          <w:tab w:val="num" w:pos="3600"/>
        </w:tabs>
        <w:ind w:left="3600" w:hanging="180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680"/>
        </w:tabs>
        <w:ind w:left="4680" w:hanging="2160"/>
      </w:pPr>
      <w:rPr>
        <w:rFonts w:hint="default"/>
      </w:rPr>
    </w:lvl>
    <w:lvl w:ilvl="8">
      <w:start w:val="1"/>
      <w:numFmt w:val="decimal"/>
      <w:lvlText w:val="%1.%2.%3.%4.%5.%6.%7.%8.%9."/>
      <w:lvlJc w:val="left"/>
      <w:pPr>
        <w:tabs>
          <w:tab w:val="num" w:pos="5400"/>
        </w:tabs>
        <w:ind w:left="5400" w:hanging="2520"/>
      </w:pPr>
      <w:rPr>
        <w:rFonts w:hint="default"/>
      </w:rPr>
    </w:lvl>
  </w:abstractNum>
  <w:abstractNum w:abstractNumId="6">
    <w:nsid w:val="1E845972"/>
    <w:multiLevelType w:val="multilevel"/>
    <w:tmpl w:val="809689E2"/>
    <w:lvl w:ilvl="0">
      <w:start w:val="5"/>
      <w:numFmt w:val="decimal"/>
      <w:lvlText w:val="%1."/>
      <w:lvlJc w:val="left"/>
      <w:pPr>
        <w:ind w:left="6434" w:hanging="480"/>
      </w:pPr>
      <w:rPr>
        <w:rFonts w:hint="default"/>
      </w:rPr>
    </w:lvl>
    <w:lvl w:ilvl="1">
      <w:start w:val="1"/>
      <w:numFmt w:val="decimal"/>
      <w:pStyle w:val="Heading1"/>
      <w:lvlText w:val="%1.%2."/>
      <w:lvlJc w:val="left"/>
      <w:pPr>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648"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7">
    <w:nsid w:val="1FE960B0"/>
    <w:multiLevelType w:val="hybridMultilevel"/>
    <w:tmpl w:val="31B2D762"/>
    <w:lvl w:ilvl="0" w:tplc="0409000B">
      <w:start w:val="1"/>
      <w:numFmt w:val="bullet"/>
      <w:lvlText w:val=""/>
      <w:lvlJc w:val="left"/>
      <w:pPr>
        <w:ind w:left="1440" w:hanging="360"/>
      </w:pPr>
      <w:rPr>
        <w:rFonts w:ascii="Wingdings" w:hAnsi="Wingdings"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8">
    <w:nsid w:val="1FF41D66"/>
    <w:multiLevelType w:val="hybridMultilevel"/>
    <w:tmpl w:val="C2ACF834"/>
    <w:lvl w:ilvl="0" w:tplc="241A000F">
      <w:start w:val="1"/>
      <w:numFmt w:val="decimal"/>
      <w:lvlText w:val="%1."/>
      <w:lvlJc w:val="left"/>
      <w:pPr>
        <w:ind w:left="1004" w:hanging="360"/>
      </w:pPr>
    </w:lvl>
    <w:lvl w:ilvl="1" w:tplc="241A0019">
      <w:start w:val="1"/>
      <w:numFmt w:val="lowerLetter"/>
      <w:lvlText w:val="%2."/>
      <w:lvlJc w:val="left"/>
      <w:pPr>
        <w:ind w:left="1724" w:hanging="360"/>
      </w:pPr>
    </w:lvl>
    <w:lvl w:ilvl="2" w:tplc="241A001B" w:tentative="1">
      <w:start w:val="1"/>
      <w:numFmt w:val="lowerRoman"/>
      <w:lvlText w:val="%3."/>
      <w:lvlJc w:val="right"/>
      <w:pPr>
        <w:ind w:left="2444" w:hanging="180"/>
      </w:pPr>
    </w:lvl>
    <w:lvl w:ilvl="3" w:tplc="241A000F" w:tentative="1">
      <w:start w:val="1"/>
      <w:numFmt w:val="decimal"/>
      <w:lvlText w:val="%4."/>
      <w:lvlJc w:val="left"/>
      <w:pPr>
        <w:ind w:left="3164" w:hanging="360"/>
      </w:pPr>
    </w:lvl>
    <w:lvl w:ilvl="4" w:tplc="241A0019" w:tentative="1">
      <w:start w:val="1"/>
      <w:numFmt w:val="lowerLetter"/>
      <w:lvlText w:val="%5."/>
      <w:lvlJc w:val="left"/>
      <w:pPr>
        <w:ind w:left="3884" w:hanging="360"/>
      </w:pPr>
    </w:lvl>
    <w:lvl w:ilvl="5" w:tplc="241A001B" w:tentative="1">
      <w:start w:val="1"/>
      <w:numFmt w:val="lowerRoman"/>
      <w:lvlText w:val="%6."/>
      <w:lvlJc w:val="right"/>
      <w:pPr>
        <w:ind w:left="4604" w:hanging="180"/>
      </w:pPr>
    </w:lvl>
    <w:lvl w:ilvl="6" w:tplc="241A000F" w:tentative="1">
      <w:start w:val="1"/>
      <w:numFmt w:val="decimal"/>
      <w:lvlText w:val="%7."/>
      <w:lvlJc w:val="left"/>
      <w:pPr>
        <w:ind w:left="5324" w:hanging="360"/>
      </w:pPr>
    </w:lvl>
    <w:lvl w:ilvl="7" w:tplc="241A0019" w:tentative="1">
      <w:start w:val="1"/>
      <w:numFmt w:val="lowerLetter"/>
      <w:lvlText w:val="%8."/>
      <w:lvlJc w:val="left"/>
      <w:pPr>
        <w:ind w:left="6044" w:hanging="360"/>
      </w:pPr>
    </w:lvl>
    <w:lvl w:ilvl="8" w:tplc="241A001B" w:tentative="1">
      <w:start w:val="1"/>
      <w:numFmt w:val="lowerRoman"/>
      <w:lvlText w:val="%9."/>
      <w:lvlJc w:val="right"/>
      <w:pPr>
        <w:ind w:left="6764" w:hanging="180"/>
      </w:pPr>
    </w:lvl>
  </w:abstractNum>
  <w:abstractNum w:abstractNumId="9">
    <w:nsid w:val="292944FE"/>
    <w:multiLevelType w:val="multilevel"/>
    <w:tmpl w:val="4BA42368"/>
    <w:lvl w:ilvl="0">
      <w:start w:val="1"/>
      <w:numFmt w:val="decimal"/>
      <w:lvlText w:val="%1."/>
      <w:lvlJc w:val="left"/>
      <w:pPr>
        <w:ind w:left="1069" w:hanging="360"/>
      </w:pPr>
      <w:rPr>
        <w:sz w:val="24"/>
      </w:rPr>
    </w:lvl>
    <w:lvl w:ilvl="1">
      <w:start w:val="1"/>
      <w:numFmt w:val="decimal"/>
      <w:isLgl/>
      <w:lvlText w:val="%1.%2"/>
      <w:lvlJc w:val="left"/>
      <w:pPr>
        <w:ind w:left="1713"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10">
    <w:nsid w:val="2A2A55FD"/>
    <w:multiLevelType w:val="hybridMultilevel"/>
    <w:tmpl w:val="B86ECAF2"/>
    <w:lvl w:ilvl="0" w:tplc="241A000F">
      <w:start w:val="1"/>
      <w:numFmt w:val="decimal"/>
      <w:lvlText w:val="%1."/>
      <w:lvlJc w:val="left"/>
      <w:pPr>
        <w:ind w:left="1004" w:hanging="360"/>
      </w:pPr>
    </w:lvl>
    <w:lvl w:ilvl="1" w:tplc="241A0019" w:tentative="1">
      <w:start w:val="1"/>
      <w:numFmt w:val="lowerLetter"/>
      <w:lvlText w:val="%2."/>
      <w:lvlJc w:val="left"/>
      <w:pPr>
        <w:ind w:left="1724" w:hanging="360"/>
      </w:pPr>
    </w:lvl>
    <w:lvl w:ilvl="2" w:tplc="241A001B" w:tentative="1">
      <w:start w:val="1"/>
      <w:numFmt w:val="lowerRoman"/>
      <w:lvlText w:val="%3."/>
      <w:lvlJc w:val="right"/>
      <w:pPr>
        <w:ind w:left="2444" w:hanging="180"/>
      </w:pPr>
    </w:lvl>
    <w:lvl w:ilvl="3" w:tplc="241A000F" w:tentative="1">
      <w:start w:val="1"/>
      <w:numFmt w:val="decimal"/>
      <w:lvlText w:val="%4."/>
      <w:lvlJc w:val="left"/>
      <w:pPr>
        <w:ind w:left="3164" w:hanging="360"/>
      </w:pPr>
    </w:lvl>
    <w:lvl w:ilvl="4" w:tplc="241A0019" w:tentative="1">
      <w:start w:val="1"/>
      <w:numFmt w:val="lowerLetter"/>
      <w:lvlText w:val="%5."/>
      <w:lvlJc w:val="left"/>
      <w:pPr>
        <w:ind w:left="3884" w:hanging="360"/>
      </w:pPr>
    </w:lvl>
    <w:lvl w:ilvl="5" w:tplc="241A001B" w:tentative="1">
      <w:start w:val="1"/>
      <w:numFmt w:val="lowerRoman"/>
      <w:lvlText w:val="%6."/>
      <w:lvlJc w:val="right"/>
      <w:pPr>
        <w:ind w:left="4604" w:hanging="180"/>
      </w:pPr>
    </w:lvl>
    <w:lvl w:ilvl="6" w:tplc="241A000F" w:tentative="1">
      <w:start w:val="1"/>
      <w:numFmt w:val="decimal"/>
      <w:lvlText w:val="%7."/>
      <w:lvlJc w:val="left"/>
      <w:pPr>
        <w:ind w:left="5324" w:hanging="360"/>
      </w:pPr>
    </w:lvl>
    <w:lvl w:ilvl="7" w:tplc="241A0019" w:tentative="1">
      <w:start w:val="1"/>
      <w:numFmt w:val="lowerLetter"/>
      <w:lvlText w:val="%8."/>
      <w:lvlJc w:val="left"/>
      <w:pPr>
        <w:ind w:left="6044" w:hanging="360"/>
      </w:pPr>
    </w:lvl>
    <w:lvl w:ilvl="8" w:tplc="241A001B" w:tentative="1">
      <w:start w:val="1"/>
      <w:numFmt w:val="lowerRoman"/>
      <w:lvlText w:val="%9."/>
      <w:lvlJc w:val="right"/>
      <w:pPr>
        <w:ind w:left="6764" w:hanging="180"/>
      </w:pPr>
    </w:lvl>
  </w:abstractNum>
  <w:abstractNum w:abstractNumId="11">
    <w:nsid w:val="2A5F30C0"/>
    <w:multiLevelType w:val="multilevel"/>
    <w:tmpl w:val="2FC86078"/>
    <w:lvl w:ilvl="0">
      <w:start w:val="1"/>
      <w:numFmt w:val="decimal"/>
      <w:lvlText w:val="%1."/>
      <w:lvlJc w:val="left"/>
      <w:pPr>
        <w:ind w:left="786" w:hanging="360"/>
      </w:pPr>
      <w:rPr>
        <w:rFonts w:hint="default"/>
        <w:b/>
      </w:rPr>
    </w:lvl>
    <w:lvl w:ilvl="1">
      <w:start w:val="1"/>
      <w:numFmt w:val="decimal"/>
      <w:isLgl/>
      <w:lvlText w:val="%1.%2."/>
      <w:lvlJc w:val="left"/>
      <w:pPr>
        <w:ind w:left="1288" w:hanging="720"/>
      </w:pPr>
      <w:rPr>
        <w:rFonts w:hint="default"/>
        <w:b/>
      </w:rPr>
    </w:lvl>
    <w:lvl w:ilvl="2">
      <w:start w:val="1"/>
      <w:numFmt w:val="decimal"/>
      <w:isLgl/>
      <w:lvlText w:val="%1.%2.%3."/>
      <w:lvlJc w:val="left"/>
      <w:pPr>
        <w:ind w:left="3220" w:hanging="1080"/>
      </w:pPr>
      <w:rPr>
        <w:rFonts w:hint="default"/>
      </w:rPr>
    </w:lvl>
    <w:lvl w:ilvl="3">
      <w:start w:val="1"/>
      <w:numFmt w:val="decimal"/>
      <w:isLgl/>
      <w:lvlText w:val="%1.%2.%3.%4."/>
      <w:lvlJc w:val="left"/>
      <w:pPr>
        <w:ind w:left="4077" w:hanging="1080"/>
      </w:pPr>
      <w:rPr>
        <w:rFonts w:hint="default"/>
      </w:rPr>
    </w:lvl>
    <w:lvl w:ilvl="4">
      <w:start w:val="1"/>
      <w:numFmt w:val="decimal"/>
      <w:isLgl/>
      <w:lvlText w:val="%1.%2.%3.%4.%5."/>
      <w:lvlJc w:val="left"/>
      <w:pPr>
        <w:ind w:left="5294" w:hanging="1440"/>
      </w:pPr>
      <w:rPr>
        <w:rFonts w:hint="default"/>
      </w:rPr>
    </w:lvl>
    <w:lvl w:ilvl="5">
      <w:start w:val="1"/>
      <w:numFmt w:val="decimal"/>
      <w:isLgl/>
      <w:lvlText w:val="%1.%2.%3.%4.%5.%6."/>
      <w:lvlJc w:val="left"/>
      <w:pPr>
        <w:ind w:left="6511" w:hanging="1800"/>
      </w:pPr>
      <w:rPr>
        <w:rFonts w:hint="default"/>
      </w:rPr>
    </w:lvl>
    <w:lvl w:ilvl="6">
      <w:start w:val="1"/>
      <w:numFmt w:val="decimal"/>
      <w:isLgl/>
      <w:lvlText w:val="%1.%2.%3.%4.%5.%6.%7."/>
      <w:lvlJc w:val="left"/>
      <w:pPr>
        <w:ind w:left="7368" w:hanging="1800"/>
      </w:pPr>
      <w:rPr>
        <w:rFonts w:hint="default"/>
      </w:rPr>
    </w:lvl>
    <w:lvl w:ilvl="7">
      <w:start w:val="1"/>
      <w:numFmt w:val="decimal"/>
      <w:isLgl/>
      <w:lvlText w:val="%1.%2.%3.%4.%5.%6.%7.%8."/>
      <w:lvlJc w:val="left"/>
      <w:pPr>
        <w:ind w:left="8585" w:hanging="2160"/>
      </w:pPr>
      <w:rPr>
        <w:rFonts w:hint="default"/>
      </w:rPr>
    </w:lvl>
    <w:lvl w:ilvl="8">
      <w:start w:val="1"/>
      <w:numFmt w:val="decimal"/>
      <w:isLgl/>
      <w:lvlText w:val="%1.%2.%3.%4.%5.%6.%7.%8.%9."/>
      <w:lvlJc w:val="left"/>
      <w:pPr>
        <w:ind w:left="9802" w:hanging="2520"/>
      </w:pPr>
      <w:rPr>
        <w:rFonts w:hint="default"/>
      </w:rPr>
    </w:lvl>
  </w:abstractNum>
  <w:abstractNum w:abstractNumId="12">
    <w:nsid w:val="2B8419FD"/>
    <w:multiLevelType w:val="multilevel"/>
    <w:tmpl w:val="65ACD482"/>
    <w:lvl w:ilvl="0">
      <w:start w:val="4"/>
      <w:numFmt w:val="decimal"/>
      <w:lvlText w:val="%1."/>
      <w:lvlJc w:val="left"/>
      <w:pPr>
        <w:ind w:left="480" w:hanging="48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520" w:hanging="2520"/>
      </w:pPr>
      <w:rPr>
        <w:rFonts w:hint="default"/>
      </w:rPr>
    </w:lvl>
  </w:abstractNum>
  <w:abstractNum w:abstractNumId="13">
    <w:nsid w:val="31485823"/>
    <w:multiLevelType w:val="hybridMultilevel"/>
    <w:tmpl w:val="D8863FEA"/>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4">
    <w:nsid w:val="3BA56866"/>
    <w:multiLevelType w:val="hybridMultilevel"/>
    <w:tmpl w:val="9D900562"/>
    <w:lvl w:ilvl="0" w:tplc="0409000B">
      <w:start w:val="1"/>
      <w:numFmt w:val="bullet"/>
      <w:lvlText w:val=""/>
      <w:lvlJc w:val="left"/>
      <w:pPr>
        <w:ind w:left="1440" w:hanging="360"/>
      </w:pPr>
      <w:rPr>
        <w:rFonts w:ascii="Wingdings" w:hAnsi="Wingdings"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15">
    <w:nsid w:val="3CD912DE"/>
    <w:multiLevelType w:val="hybridMultilevel"/>
    <w:tmpl w:val="4CB2D7EE"/>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6">
    <w:nsid w:val="41EF364A"/>
    <w:multiLevelType w:val="hybridMultilevel"/>
    <w:tmpl w:val="9D40303E"/>
    <w:lvl w:ilvl="0" w:tplc="306628C6">
      <w:start w:val="1"/>
      <w:numFmt w:val="bullet"/>
      <w:lvlText w:val=""/>
      <w:lvlJc w:val="left"/>
      <w:pPr>
        <w:ind w:left="1440" w:hanging="360"/>
      </w:pPr>
      <w:rPr>
        <w:rFonts w:ascii="Wingdings" w:hAnsi="Wingdings" w:hint="default"/>
        <w:b/>
        <w:color w:val="4F81BD" w:themeColor="accent1"/>
        <w:sz w:val="22"/>
        <w:szCs w:val="1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45021A33"/>
    <w:multiLevelType w:val="hybridMultilevel"/>
    <w:tmpl w:val="C9E27110"/>
    <w:lvl w:ilvl="0" w:tplc="241A0009">
      <w:start w:val="1"/>
      <w:numFmt w:val="bullet"/>
      <w:lvlText w:val=""/>
      <w:lvlJc w:val="left"/>
      <w:pPr>
        <w:ind w:left="1854" w:hanging="360"/>
      </w:pPr>
      <w:rPr>
        <w:rFonts w:ascii="Wingdings" w:hAnsi="Wingdings" w:hint="default"/>
      </w:rPr>
    </w:lvl>
    <w:lvl w:ilvl="1" w:tplc="241A0003" w:tentative="1">
      <w:start w:val="1"/>
      <w:numFmt w:val="bullet"/>
      <w:lvlText w:val="o"/>
      <w:lvlJc w:val="left"/>
      <w:pPr>
        <w:ind w:left="2574" w:hanging="360"/>
      </w:pPr>
      <w:rPr>
        <w:rFonts w:ascii="Courier New" w:hAnsi="Courier New" w:cs="Courier New" w:hint="default"/>
      </w:rPr>
    </w:lvl>
    <w:lvl w:ilvl="2" w:tplc="241A0005" w:tentative="1">
      <w:start w:val="1"/>
      <w:numFmt w:val="bullet"/>
      <w:lvlText w:val=""/>
      <w:lvlJc w:val="left"/>
      <w:pPr>
        <w:ind w:left="3294" w:hanging="360"/>
      </w:pPr>
      <w:rPr>
        <w:rFonts w:ascii="Wingdings" w:hAnsi="Wingdings" w:hint="default"/>
      </w:rPr>
    </w:lvl>
    <w:lvl w:ilvl="3" w:tplc="241A0001" w:tentative="1">
      <w:start w:val="1"/>
      <w:numFmt w:val="bullet"/>
      <w:lvlText w:val=""/>
      <w:lvlJc w:val="left"/>
      <w:pPr>
        <w:ind w:left="4014" w:hanging="360"/>
      </w:pPr>
      <w:rPr>
        <w:rFonts w:ascii="Symbol" w:hAnsi="Symbol" w:hint="default"/>
      </w:rPr>
    </w:lvl>
    <w:lvl w:ilvl="4" w:tplc="241A0003" w:tentative="1">
      <w:start w:val="1"/>
      <w:numFmt w:val="bullet"/>
      <w:lvlText w:val="o"/>
      <w:lvlJc w:val="left"/>
      <w:pPr>
        <w:ind w:left="4734" w:hanging="360"/>
      </w:pPr>
      <w:rPr>
        <w:rFonts w:ascii="Courier New" w:hAnsi="Courier New" w:cs="Courier New" w:hint="default"/>
      </w:rPr>
    </w:lvl>
    <w:lvl w:ilvl="5" w:tplc="241A0005" w:tentative="1">
      <w:start w:val="1"/>
      <w:numFmt w:val="bullet"/>
      <w:lvlText w:val=""/>
      <w:lvlJc w:val="left"/>
      <w:pPr>
        <w:ind w:left="5454" w:hanging="360"/>
      </w:pPr>
      <w:rPr>
        <w:rFonts w:ascii="Wingdings" w:hAnsi="Wingdings" w:hint="default"/>
      </w:rPr>
    </w:lvl>
    <w:lvl w:ilvl="6" w:tplc="241A0001" w:tentative="1">
      <w:start w:val="1"/>
      <w:numFmt w:val="bullet"/>
      <w:lvlText w:val=""/>
      <w:lvlJc w:val="left"/>
      <w:pPr>
        <w:ind w:left="6174" w:hanging="360"/>
      </w:pPr>
      <w:rPr>
        <w:rFonts w:ascii="Symbol" w:hAnsi="Symbol" w:hint="default"/>
      </w:rPr>
    </w:lvl>
    <w:lvl w:ilvl="7" w:tplc="241A0003" w:tentative="1">
      <w:start w:val="1"/>
      <w:numFmt w:val="bullet"/>
      <w:lvlText w:val="o"/>
      <w:lvlJc w:val="left"/>
      <w:pPr>
        <w:ind w:left="6894" w:hanging="360"/>
      </w:pPr>
      <w:rPr>
        <w:rFonts w:ascii="Courier New" w:hAnsi="Courier New" w:cs="Courier New" w:hint="default"/>
      </w:rPr>
    </w:lvl>
    <w:lvl w:ilvl="8" w:tplc="241A0005" w:tentative="1">
      <w:start w:val="1"/>
      <w:numFmt w:val="bullet"/>
      <w:lvlText w:val=""/>
      <w:lvlJc w:val="left"/>
      <w:pPr>
        <w:ind w:left="7614" w:hanging="360"/>
      </w:pPr>
      <w:rPr>
        <w:rFonts w:ascii="Wingdings" w:hAnsi="Wingdings" w:hint="default"/>
      </w:rPr>
    </w:lvl>
  </w:abstractNum>
  <w:abstractNum w:abstractNumId="18">
    <w:nsid w:val="465C0DD0"/>
    <w:multiLevelType w:val="hybridMultilevel"/>
    <w:tmpl w:val="5366E174"/>
    <w:lvl w:ilvl="0" w:tplc="241A000D">
      <w:start w:val="1"/>
      <w:numFmt w:val="bullet"/>
      <w:lvlText w:val=""/>
      <w:lvlJc w:val="left"/>
      <w:pPr>
        <w:ind w:left="1440" w:hanging="360"/>
      </w:pPr>
      <w:rPr>
        <w:rFonts w:ascii="Wingdings" w:hAnsi="Wingdings"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19">
    <w:nsid w:val="497A188C"/>
    <w:multiLevelType w:val="hybridMultilevel"/>
    <w:tmpl w:val="BD04D1FC"/>
    <w:lvl w:ilvl="0" w:tplc="241A0001">
      <w:start w:val="1"/>
      <w:numFmt w:val="bullet"/>
      <w:lvlText w:val=""/>
      <w:lvlJc w:val="left"/>
      <w:pPr>
        <w:ind w:left="1428" w:hanging="360"/>
      </w:pPr>
      <w:rPr>
        <w:rFonts w:ascii="Symbol" w:hAnsi="Symbol" w:hint="default"/>
      </w:rPr>
    </w:lvl>
    <w:lvl w:ilvl="1" w:tplc="241A0003" w:tentative="1">
      <w:start w:val="1"/>
      <w:numFmt w:val="bullet"/>
      <w:lvlText w:val="o"/>
      <w:lvlJc w:val="left"/>
      <w:pPr>
        <w:ind w:left="2148" w:hanging="360"/>
      </w:pPr>
      <w:rPr>
        <w:rFonts w:ascii="Courier New" w:hAnsi="Courier New" w:cs="Courier New" w:hint="default"/>
      </w:rPr>
    </w:lvl>
    <w:lvl w:ilvl="2" w:tplc="241A0005" w:tentative="1">
      <w:start w:val="1"/>
      <w:numFmt w:val="bullet"/>
      <w:lvlText w:val=""/>
      <w:lvlJc w:val="left"/>
      <w:pPr>
        <w:ind w:left="2868" w:hanging="360"/>
      </w:pPr>
      <w:rPr>
        <w:rFonts w:ascii="Wingdings" w:hAnsi="Wingdings" w:hint="default"/>
      </w:rPr>
    </w:lvl>
    <w:lvl w:ilvl="3" w:tplc="241A0001" w:tentative="1">
      <w:start w:val="1"/>
      <w:numFmt w:val="bullet"/>
      <w:lvlText w:val=""/>
      <w:lvlJc w:val="left"/>
      <w:pPr>
        <w:ind w:left="3588" w:hanging="360"/>
      </w:pPr>
      <w:rPr>
        <w:rFonts w:ascii="Symbol" w:hAnsi="Symbol" w:hint="default"/>
      </w:rPr>
    </w:lvl>
    <w:lvl w:ilvl="4" w:tplc="241A0003" w:tentative="1">
      <w:start w:val="1"/>
      <w:numFmt w:val="bullet"/>
      <w:lvlText w:val="o"/>
      <w:lvlJc w:val="left"/>
      <w:pPr>
        <w:ind w:left="4308" w:hanging="360"/>
      </w:pPr>
      <w:rPr>
        <w:rFonts w:ascii="Courier New" w:hAnsi="Courier New" w:cs="Courier New" w:hint="default"/>
      </w:rPr>
    </w:lvl>
    <w:lvl w:ilvl="5" w:tplc="241A0005" w:tentative="1">
      <w:start w:val="1"/>
      <w:numFmt w:val="bullet"/>
      <w:lvlText w:val=""/>
      <w:lvlJc w:val="left"/>
      <w:pPr>
        <w:ind w:left="5028" w:hanging="360"/>
      </w:pPr>
      <w:rPr>
        <w:rFonts w:ascii="Wingdings" w:hAnsi="Wingdings" w:hint="default"/>
      </w:rPr>
    </w:lvl>
    <w:lvl w:ilvl="6" w:tplc="241A0001" w:tentative="1">
      <w:start w:val="1"/>
      <w:numFmt w:val="bullet"/>
      <w:lvlText w:val=""/>
      <w:lvlJc w:val="left"/>
      <w:pPr>
        <w:ind w:left="5748" w:hanging="360"/>
      </w:pPr>
      <w:rPr>
        <w:rFonts w:ascii="Symbol" w:hAnsi="Symbol" w:hint="default"/>
      </w:rPr>
    </w:lvl>
    <w:lvl w:ilvl="7" w:tplc="241A0003" w:tentative="1">
      <w:start w:val="1"/>
      <w:numFmt w:val="bullet"/>
      <w:lvlText w:val="o"/>
      <w:lvlJc w:val="left"/>
      <w:pPr>
        <w:ind w:left="6468" w:hanging="360"/>
      </w:pPr>
      <w:rPr>
        <w:rFonts w:ascii="Courier New" w:hAnsi="Courier New" w:cs="Courier New" w:hint="default"/>
      </w:rPr>
    </w:lvl>
    <w:lvl w:ilvl="8" w:tplc="241A0005" w:tentative="1">
      <w:start w:val="1"/>
      <w:numFmt w:val="bullet"/>
      <w:lvlText w:val=""/>
      <w:lvlJc w:val="left"/>
      <w:pPr>
        <w:ind w:left="7188" w:hanging="360"/>
      </w:pPr>
      <w:rPr>
        <w:rFonts w:ascii="Wingdings" w:hAnsi="Wingdings" w:hint="default"/>
      </w:rPr>
    </w:lvl>
  </w:abstractNum>
  <w:abstractNum w:abstractNumId="20">
    <w:nsid w:val="4B56551E"/>
    <w:multiLevelType w:val="multilevel"/>
    <w:tmpl w:val="E04AFB84"/>
    <w:lvl w:ilvl="0">
      <w:start w:val="1"/>
      <w:numFmt w:val="decimal"/>
      <w:lvlText w:val="%1."/>
      <w:lvlJc w:val="left"/>
      <w:pPr>
        <w:tabs>
          <w:tab w:val="num" w:pos="432"/>
        </w:tabs>
        <w:ind w:left="432" w:hanging="432"/>
      </w:pPr>
      <w:rPr>
        <w:rFonts w:hint="default"/>
        <w:sz w:val="24"/>
        <w:szCs w:val="22"/>
      </w:rPr>
    </w:lvl>
    <w:lvl w:ilvl="1">
      <w:start w:val="1"/>
      <w:numFmt w:val="decimal"/>
      <w:lvlText w:val="%1.%2"/>
      <w:lvlJc w:val="left"/>
      <w:pPr>
        <w:tabs>
          <w:tab w:val="num" w:pos="336"/>
        </w:tabs>
        <w:ind w:left="336" w:hanging="576"/>
      </w:pPr>
      <w:rPr>
        <w:rFonts w:hint="default"/>
        <w:b/>
      </w:rPr>
    </w:lvl>
    <w:lvl w:ilvl="2">
      <w:start w:val="1"/>
      <w:numFmt w:val="decimal"/>
      <w:lvlText w:val="%1.%2.%3"/>
      <w:lvlJc w:val="left"/>
      <w:pPr>
        <w:tabs>
          <w:tab w:val="num" w:pos="6870"/>
        </w:tabs>
        <w:ind w:left="687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918"/>
        </w:tabs>
        <w:ind w:left="918" w:hanging="1008"/>
      </w:pPr>
      <w:rPr>
        <w:rFonts w:hint="default"/>
      </w:rPr>
    </w:lvl>
    <w:lvl w:ilvl="5">
      <w:start w:val="1"/>
      <w:numFmt w:val="decimal"/>
      <w:lvlText w:val="%1.%2.%3.%4.%5.%6"/>
      <w:lvlJc w:val="left"/>
      <w:pPr>
        <w:tabs>
          <w:tab w:val="num" w:pos="1062"/>
        </w:tabs>
        <w:ind w:left="1062" w:hanging="1152"/>
      </w:pPr>
      <w:rPr>
        <w:rFonts w:hint="default"/>
      </w:rPr>
    </w:lvl>
    <w:lvl w:ilvl="6">
      <w:start w:val="1"/>
      <w:numFmt w:val="decimal"/>
      <w:lvlText w:val="%1.%2.%3.%4.%5.%6.%7"/>
      <w:lvlJc w:val="left"/>
      <w:pPr>
        <w:tabs>
          <w:tab w:val="num" w:pos="1206"/>
        </w:tabs>
        <w:ind w:left="1206" w:hanging="1296"/>
      </w:pPr>
      <w:rPr>
        <w:rFonts w:hint="default"/>
      </w:rPr>
    </w:lvl>
    <w:lvl w:ilvl="7">
      <w:start w:val="1"/>
      <w:numFmt w:val="decimal"/>
      <w:lvlText w:val="%1.%2.%3.%4.%5.%6.%7.%8"/>
      <w:lvlJc w:val="left"/>
      <w:pPr>
        <w:tabs>
          <w:tab w:val="num" w:pos="1350"/>
        </w:tabs>
        <w:ind w:left="1350" w:hanging="1440"/>
      </w:pPr>
      <w:rPr>
        <w:rFonts w:hint="default"/>
      </w:rPr>
    </w:lvl>
    <w:lvl w:ilvl="8">
      <w:start w:val="1"/>
      <w:numFmt w:val="decimal"/>
      <w:lvlText w:val="%1.%2.%3.%4.%5.%6.%7.%8.%9"/>
      <w:lvlJc w:val="left"/>
      <w:pPr>
        <w:tabs>
          <w:tab w:val="num" w:pos="1494"/>
        </w:tabs>
        <w:ind w:left="1494" w:hanging="1584"/>
      </w:pPr>
      <w:rPr>
        <w:rFonts w:hint="default"/>
      </w:rPr>
    </w:lvl>
  </w:abstractNum>
  <w:abstractNum w:abstractNumId="21">
    <w:nsid w:val="4C8D0396"/>
    <w:multiLevelType w:val="hybridMultilevel"/>
    <w:tmpl w:val="65A270A8"/>
    <w:lvl w:ilvl="0" w:tplc="241A000D">
      <w:start w:val="1"/>
      <w:numFmt w:val="bullet"/>
      <w:lvlText w:val=""/>
      <w:lvlJc w:val="left"/>
      <w:pPr>
        <w:ind w:left="1287" w:hanging="360"/>
      </w:pPr>
      <w:rPr>
        <w:rFonts w:ascii="Wingdings" w:hAnsi="Wingdings" w:hint="default"/>
      </w:rPr>
    </w:lvl>
    <w:lvl w:ilvl="1" w:tplc="241A0003" w:tentative="1">
      <w:start w:val="1"/>
      <w:numFmt w:val="bullet"/>
      <w:lvlText w:val="o"/>
      <w:lvlJc w:val="left"/>
      <w:pPr>
        <w:ind w:left="2007" w:hanging="360"/>
      </w:pPr>
      <w:rPr>
        <w:rFonts w:ascii="Courier New" w:hAnsi="Courier New" w:cs="Courier New" w:hint="default"/>
      </w:rPr>
    </w:lvl>
    <w:lvl w:ilvl="2" w:tplc="241A0005" w:tentative="1">
      <w:start w:val="1"/>
      <w:numFmt w:val="bullet"/>
      <w:lvlText w:val=""/>
      <w:lvlJc w:val="left"/>
      <w:pPr>
        <w:ind w:left="2727" w:hanging="360"/>
      </w:pPr>
      <w:rPr>
        <w:rFonts w:ascii="Wingdings" w:hAnsi="Wingdings" w:hint="default"/>
      </w:rPr>
    </w:lvl>
    <w:lvl w:ilvl="3" w:tplc="241A0001" w:tentative="1">
      <w:start w:val="1"/>
      <w:numFmt w:val="bullet"/>
      <w:lvlText w:val=""/>
      <w:lvlJc w:val="left"/>
      <w:pPr>
        <w:ind w:left="3447" w:hanging="360"/>
      </w:pPr>
      <w:rPr>
        <w:rFonts w:ascii="Symbol" w:hAnsi="Symbol" w:hint="default"/>
      </w:rPr>
    </w:lvl>
    <w:lvl w:ilvl="4" w:tplc="241A0003" w:tentative="1">
      <w:start w:val="1"/>
      <w:numFmt w:val="bullet"/>
      <w:lvlText w:val="o"/>
      <w:lvlJc w:val="left"/>
      <w:pPr>
        <w:ind w:left="4167" w:hanging="360"/>
      </w:pPr>
      <w:rPr>
        <w:rFonts w:ascii="Courier New" w:hAnsi="Courier New" w:cs="Courier New" w:hint="default"/>
      </w:rPr>
    </w:lvl>
    <w:lvl w:ilvl="5" w:tplc="241A0005" w:tentative="1">
      <w:start w:val="1"/>
      <w:numFmt w:val="bullet"/>
      <w:lvlText w:val=""/>
      <w:lvlJc w:val="left"/>
      <w:pPr>
        <w:ind w:left="4887" w:hanging="360"/>
      </w:pPr>
      <w:rPr>
        <w:rFonts w:ascii="Wingdings" w:hAnsi="Wingdings" w:hint="default"/>
      </w:rPr>
    </w:lvl>
    <w:lvl w:ilvl="6" w:tplc="241A0001" w:tentative="1">
      <w:start w:val="1"/>
      <w:numFmt w:val="bullet"/>
      <w:lvlText w:val=""/>
      <w:lvlJc w:val="left"/>
      <w:pPr>
        <w:ind w:left="5607" w:hanging="360"/>
      </w:pPr>
      <w:rPr>
        <w:rFonts w:ascii="Symbol" w:hAnsi="Symbol" w:hint="default"/>
      </w:rPr>
    </w:lvl>
    <w:lvl w:ilvl="7" w:tplc="241A0003" w:tentative="1">
      <w:start w:val="1"/>
      <w:numFmt w:val="bullet"/>
      <w:lvlText w:val="o"/>
      <w:lvlJc w:val="left"/>
      <w:pPr>
        <w:ind w:left="6327" w:hanging="360"/>
      </w:pPr>
      <w:rPr>
        <w:rFonts w:ascii="Courier New" w:hAnsi="Courier New" w:cs="Courier New" w:hint="default"/>
      </w:rPr>
    </w:lvl>
    <w:lvl w:ilvl="8" w:tplc="241A0005" w:tentative="1">
      <w:start w:val="1"/>
      <w:numFmt w:val="bullet"/>
      <w:lvlText w:val=""/>
      <w:lvlJc w:val="left"/>
      <w:pPr>
        <w:ind w:left="7047" w:hanging="360"/>
      </w:pPr>
      <w:rPr>
        <w:rFonts w:ascii="Wingdings" w:hAnsi="Wingdings" w:hint="default"/>
      </w:rPr>
    </w:lvl>
  </w:abstractNum>
  <w:abstractNum w:abstractNumId="22">
    <w:nsid w:val="4F7927AD"/>
    <w:multiLevelType w:val="multilevel"/>
    <w:tmpl w:val="91F4DC00"/>
    <w:lvl w:ilvl="0">
      <w:start w:val="5"/>
      <w:numFmt w:val="decimal"/>
      <w:lvlText w:val="%1."/>
      <w:lvlJc w:val="left"/>
      <w:pPr>
        <w:ind w:left="1271" w:hanging="420"/>
      </w:pPr>
      <w:rPr>
        <w:rFonts w:hint="default"/>
      </w:rPr>
    </w:lvl>
    <w:lvl w:ilvl="1">
      <w:start w:val="1"/>
      <w:numFmt w:val="decimal"/>
      <w:lvlText w:val="%1.%2."/>
      <w:lvlJc w:val="left"/>
      <w:pPr>
        <w:ind w:left="1080" w:hanging="720"/>
      </w:pPr>
      <w:rPr>
        <w:rFonts w:hint="default"/>
        <w:i w:val="0"/>
      </w:rPr>
    </w:lvl>
    <w:lvl w:ilvl="2">
      <w:start w:val="1"/>
      <w:numFmt w:val="decimal"/>
      <w:lvlText w:val="%1.%2.%3."/>
      <w:lvlJc w:val="left"/>
      <w:pPr>
        <w:ind w:left="1800" w:hanging="108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23">
    <w:nsid w:val="57DF443F"/>
    <w:multiLevelType w:val="hybridMultilevel"/>
    <w:tmpl w:val="FDB46AF6"/>
    <w:lvl w:ilvl="0" w:tplc="0409000B">
      <w:start w:val="1"/>
      <w:numFmt w:val="bullet"/>
      <w:lvlText w:val=""/>
      <w:lvlJc w:val="left"/>
      <w:pPr>
        <w:ind w:left="992" w:hanging="360"/>
      </w:pPr>
      <w:rPr>
        <w:rFonts w:ascii="Wingdings" w:hAnsi="Wingdings" w:hint="default"/>
      </w:rPr>
    </w:lvl>
    <w:lvl w:ilvl="1" w:tplc="241A0003" w:tentative="1">
      <w:start w:val="1"/>
      <w:numFmt w:val="bullet"/>
      <w:lvlText w:val="o"/>
      <w:lvlJc w:val="left"/>
      <w:pPr>
        <w:ind w:left="1712" w:hanging="360"/>
      </w:pPr>
      <w:rPr>
        <w:rFonts w:ascii="Courier New" w:hAnsi="Courier New" w:cs="Courier New" w:hint="default"/>
      </w:rPr>
    </w:lvl>
    <w:lvl w:ilvl="2" w:tplc="241A0005" w:tentative="1">
      <w:start w:val="1"/>
      <w:numFmt w:val="bullet"/>
      <w:lvlText w:val=""/>
      <w:lvlJc w:val="left"/>
      <w:pPr>
        <w:ind w:left="2432" w:hanging="360"/>
      </w:pPr>
      <w:rPr>
        <w:rFonts w:ascii="Wingdings" w:hAnsi="Wingdings" w:hint="default"/>
      </w:rPr>
    </w:lvl>
    <w:lvl w:ilvl="3" w:tplc="241A0001" w:tentative="1">
      <w:start w:val="1"/>
      <w:numFmt w:val="bullet"/>
      <w:lvlText w:val=""/>
      <w:lvlJc w:val="left"/>
      <w:pPr>
        <w:ind w:left="3152" w:hanging="360"/>
      </w:pPr>
      <w:rPr>
        <w:rFonts w:ascii="Symbol" w:hAnsi="Symbol" w:hint="default"/>
      </w:rPr>
    </w:lvl>
    <w:lvl w:ilvl="4" w:tplc="241A0003" w:tentative="1">
      <w:start w:val="1"/>
      <w:numFmt w:val="bullet"/>
      <w:lvlText w:val="o"/>
      <w:lvlJc w:val="left"/>
      <w:pPr>
        <w:ind w:left="3872" w:hanging="360"/>
      </w:pPr>
      <w:rPr>
        <w:rFonts w:ascii="Courier New" w:hAnsi="Courier New" w:cs="Courier New" w:hint="default"/>
      </w:rPr>
    </w:lvl>
    <w:lvl w:ilvl="5" w:tplc="241A0005" w:tentative="1">
      <w:start w:val="1"/>
      <w:numFmt w:val="bullet"/>
      <w:lvlText w:val=""/>
      <w:lvlJc w:val="left"/>
      <w:pPr>
        <w:ind w:left="4592" w:hanging="360"/>
      </w:pPr>
      <w:rPr>
        <w:rFonts w:ascii="Wingdings" w:hAnsi="Wingdings" w:hint="default"/>
      </w:rPr>
    </w:lvl>
    <w:lvl w:ilvl="6" w:tplc="241A0001" w:tentative="1">
      <w:start w:val="1"/>
      <w:numFmt w:val="bullet"/>
      <w:lvlText w:val=""/>
      <w:lvlJc w:val="left"/>
      <w:pPr>
        <w:ind w:left="5312" w:hanging="360"/>
      </w:pPr>
      <w:rPr>
        <w:rFonts w:ascii="Symbol" w:hAnsi="Symbol" w:hint="default"/>
      </w:rPr>
    </w:lvl>
    <w:lvl w:ilvl="7" w:tplc="241A0003" w:tentative="1">
      <w:start w:val="1"/>
      <w:numFmt w:val="bullet"/>
      <w:lvlText w:val="o"/>
      <w:lvlJc w:val="left"/>
      <w:pPr>
        <w:ind w:left="6032" w:hanging="360"/>
      </w:pPr>
      <w:rPr>
        <w:rFonts w:ascii="Courier New" w:hAnsi="Courier New" w:cs="Courier New" w:hint="default"/>
      </w:rPr>
    </w:lvl>
    <w:lvl w:ilvl="8" w:tplc="241A0005" w:tentative="1">
      <w:start w:val="1"/>
      <w:numFmt w:val="bullet"/>
      <w:lvlText w:val=""/>
      <w:lvlJc w:val="left"/>
      <w:pPr>
        <w:ind w:left="6752" w:hanging="360"/>
      </w:pPr>
      <w:rPr>
        <w:rFonts w:ascii="Wingdings" w:hAnsi="Wingdings" w:hint="default"/>
      </w:rPr>
    </w:lvl>
  </w:abstractNum>
  <w:abstractNum w:abstractNumId="24">
    <w:nsid w:val="59EF7DA1"/>
    <w:multiLevelType w:val="multilevel"/>
    <w:tmpl w:val="C3FADEA8"/>
    <w:lvl w:ilvl="0">
      <w:start w:val="1"/>
      <w:numFmt w:val="decimal"/>
      <w:lvlText w:val="%1"/>
      <w:lvlJc w:val="left"/>
      <w:pPr>
        <w:tabs>
          <w:tab w:val="num" w:pos="432"/>
        </w:tabs>
        <w:ind w:left="432" w:hanging="432"/>
      </w:pPr>
      <w:rPr>
        <w:rFonts w:ascii="Tahoma" w:hAnsi="Tahoma" w:cs="Tahoma" w:hint="default"/>
        <w:sz w:val="22"/>
        <w:szCs w:val="22"/>
      </w:rPr>
    </w:lvl>
    <w:lvl w:ilvl="1">
      <w:start w:val="1"/>
      <w:numFmt w:val="decimal"/>
      <w:pStyle w:val="Heading2"/>
      <w:lvlText w:val="%1.%2"/>
      <w:lvlJc w:val="left"/>
      <w:pPr>
        <w:tabs>
          <w:tab w:val="num" w:pos="336"/>
        </w:tabs>
        <w:ind w:left="336" w:hanging="576"/>
      </w:pPr>
      <w:rPr>
        <w:rFonts w:hint="default"/>
      </w:rPr>
    </w:lvl>
    <w:lvl w:ilvl="2">
      <w:start w:val="1"/>
      <w:numFmt w:val="decimal"/>
      <w:pStyle w:val="Heading3"/>
      <w:lvlText w:val="%1.%2.%3"/>
      <w:lvlJc w:val="left"/>
      <w:pPr>
        <w:tabs>
          <w:tab w:val="num" w:pos="6870"/>
        </w:tabs>
        <w:ind w:left="687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918"/>
        </w:tabs>
        <w:ind w:left="918" w:hanging="1008"/>
      </w:pPr>
      <w:rPr>
        <w:rFonts w:hint="default"/>
      </w:rPr>
    </w:lvl>
    <w:lvl w:ilvl="5">
      <w:start w:val="1"/>
      <w:numFmt w:val="decimal"/>
      <w:pStyle w:val="Heading6"/>
      <w:lvlText w:val="%1.%2.%3.%4.%5.%6"/>
      <w:lvlJc w:val="left"/>
      <w:pPr>
        <w:tabs>
          <w:tab w:val="num" w:pos="1062"/>
        </w:tabs>
        <w:ind w:left="1062" w:hanging="1152"/>
      </w:pPr>
      <w:rPr>
        <w:rFonts w:hint="default"/>
      </w:rPr>
    </w:lvl>
    <w:lvl w:ilvl="6">
      <w:start w:val="1"/>
      <w:numFmt w:val="decimal"/>
      <w:pStyle w:val="Heading7"/>
      <w:lvlText w:val="%1.%2.%3.%4.%5.%6.%7"/>
      <w:lvlJc w:val="left"/>
      <w:pPr>
        <w:tabs>
          <w:tab w:val="num" w:pos="1206"/>
        </w:tabs>
        <w:ind w:left="1206" w:hanging="1296"/>
      </w:pPr>
      <w:rPr>
        <w:rFonts w:hint="default"/>
      </w:rPr>
    </w:lvl>
    <w:lvl w:ilvl="7">
      <w:start w:val="1"/>
      <w:numFmt w:val="decimal"/>
      <w:pStyle w:val="Heading8"/>
      <w:lvlText w:val="%1.%2.%3.%4.%5.%6.%7.%8"/>
      <w:lvlJc w:val="left"/>
      <w:pPr>
        <w:tabs>
          <w:tab w:val="num" w:pos="1350"/>
        </w:tabs>
        <w:ind w:left="1350" w:hanging="1440"/>
      </w:pPr>
      <w:rPr>
        <w:rFonts w:hint="default"/>
      </w:rPr>
    </w:lvl>
    <w:lvl w:ilvl="8">
      <w:start w:val="1"/>
      <w:numFmt w:val="decimal"/>
      <w:pStyle w:val="Heading9"/>
      <w:lvlText w:val="%1.%2.%3.%4.%5.%6.%7.%8.%9"/>
      <w:lvlJc w:val="left"/>
      <w:pPr>
        <w:tabs>
          <w:tab w:val="num" w:pos="1494"/>
        </w:tabs>
        <w:ind w:left="1494" w:hanging="1584"/>
      </w:pPr>
      <w:rPr>
        <w:rFonts w:hint="default"/>
      </w:rPr>
    </w:lvl>
  </w:abstractNum>
  <w:abstractNum w:abstractNumId="25">
    <w:nsid w:val="5D386B63"/>
    <w:multiLevelType w:val="multilevel"/>
    <w:tmpl w:val="081A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288"/>
        </w:tabs>
        <w:ind w:left="1000"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26">
    <w:nsid w:val="5DEB4A7A"/>
    <w:multiLevelType w:val="hybridMultilevel"/>
    <w:tmpl w:val="E35E256A"/>
    <w:lvl w:ilvl="0" w:tplc="AA2ABCA0">
      <w:numFmt w:val="bullet"/>
      <w:lvlText w:val="-"/>
      <w:lvlJc w:val="left"/>
      <w:pPr>
        <w:ind w:left="1440" w:hanging="360"/>
      </w:pPr>
      <w:rPr>
        <w:rFonts w:ascii="Verdana" w:eastAsiaTheme="minorHAnsi" w:hAnsi="Verdana" w:cstheme="minorBid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5FB45545"/>
    <w:multiLevelType w:val="hybridMultilevel"/>
    <w:tmpl w:val="26282C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0113495"/>
    <w:multiLevelType w:val="multilevel"/>
    <w:tmpl w:val="DE82D1BC"/>
    <w:lvl w:ilvl="0">
      <w:start w:val="4"/>
      <w:numFmt w:val="decimal"/>
      <w:lvlText w:val="%1."/>
      <w:lvlJc w:val="left"/>
      <w:pPr>
        <w:ind w:left="432" w:hanging="432"/>
      </w:pPr>
      <w:rPr>
        <w:rFonts w:eastAsia="Times New Roman" w:hint="default"/>
        <w:b/>
      </w:rPr>
    </w:lvl>
    <w:lvl w:ilvl="1">
      <w:start w:val="1"/>
      <w:numFmt w:val="decimal"/>
      <w:lvlText w:val="%1.%2."/>
      <w:lvlJc w:val="left"/>
      <w:pPr>
        <w:ind w:left="9084" w:hanging="720"/>
      </w:pPr>
      <w:rPr>
        <w:rFonts w:eastAsia="Times New Roman" w:hint="default"/>
        <w:b/>
      </w:rPr>
    </w:lvl>
    <w:lvl w:ilvl="2">
      <w:start w:val="1"/>
      <w:numFmt w:val="decimal"/>
      <w:lvlText w:val="%1.%2.%3."/>
      <w:lvlJc w:val="left"/>
      <w:pPr>
        <w:ind w:left="3556" w:hanging="720"/>
      </w:pPr>
      <w:rPr>
        <w:rFonts w:eastAsia="Times New Roman" w:hint="default"/>
        <w:b/>
      </w:rPr>
    </w:lvl>
    <w:lvl w:ilvl="3">
      <w:start w:val="1"/>
      <w:numFmt w:val="decimal"/>
      <w:lvlText w:val="%1.%2.%3.%4."/>
      <w:lvlJc w:val="left"/>
      <w:pPr>
        <w:ind w:left="5334" w:hanging="1080"/>
      </w:pPr>
      <w:rPr>
        <w:rFonts w:eastAsia="Times New Roman" w:hint="default"/>
        <w:b/>
      </w:rPr>
    </w:lvl>
    <w:lvl w:ilvl="4">
      <w:start w:val="1"/>
      <w:numFmt w:val="decimal"/>
      <w:lvlText w:val="%1.%2.%3.%4.%5."/>
      <w:lvlJc w:val="left"/>
      <w:pPr>
        <w:ind w:left="7112" w:hanging="1440"/>
      </w:pPr>
      <w:rPr>
        <w:rFonts w:eastAsia="Times New Roman" w:hint="default"/>
        <w:b/>
      </w:rPr>
    </w:lvl>
    <w:lvl w:ilvl="5">
      <w:start w:val="1"/>
      <w:numFmt w:val="decimal"/>
      <w:lvlText w:val="%1.%2.%3.%4.%5.%6."/>
      <w:lvlJc w:val="left"/>
      <w:pPr>
        <w:ind w:left="8530" w:hanging="1440"/>
      </w:pPr>
      <w:rPr>
        <w:rFonts w:eastAsia="Times New Roman" w:hint="default"/>
        <w:b/>
      </w:rPr>
    </w:lvl>
    <w:lvl w:ilvl="6">
      <w:start w:val="1"/>
      <w:numFmt w:val="decimal"/>
      <w:lvlText w:val="%1.%2.%3.%4.%5.%6.%7."/>
      <w:lvlJc w:val="left"/>
      <w:pPr>
        <w:ind w:left="10308" w:hanging="1800"/>
      </w:pPr>
      <w:rPr>
        <w:rFonts w:eastAsia="Times New Roman" w:hint="default"/>
        <w:b/>
      </w:rPr>
    </w:lvl>
    <w:lvl w:ilvl="7">
      <w:start w:val="1"/>
      <w:numFmt w:val="decimal"/>
      <w:lvlText w:val="%1.%2.%3.%4.%5.%6.%7.%8."/>
      <w:lvlJc w:val="left"/>
      <w:pPr>
        <w:ind w:left="12086" w:hanging="2160"/>
      </w:pPr>
      <w:rPr>
        <w:rFonts w:eastAsia="Times New Roman" w:hint="default"/>
        <w:b/>
      </w:rPr>
    </w:lvl>
    <w:lvl w:ilvl="8">
      <w:start w:val="1"/>
      <w:numFmt w:val="decimal"/>
      <w:lvlText w:val="%1.%2.%3.%4.%5.%6.%7.%8.%9."/>
      <w:lvlJc w:val="left"/>
      <w:pPr>
        <w:ind w:left="13504" w:hanging="2160"/>
      </w:pPr>
      <w:rPr>
        <w:rFonts w:eastAsia="Times New Roman" w:hint="default"/>
        <w:b/>
      </w:rPr>
    </w:lvl>
  </w:abstractNum>
  <w:abstractNum w:abstractNumId="29">
    <w:nsid w:val="604F7456"/>
    <w:multiLevelType w:val="multilevel"/>
    <w:tmpl w:val="2FC86078"/>
    <w:lvl w:ilvl="0">
      <w:start w:val="1"/>
      <w:numFmt w:val="decimal"/>
      <w:lvlText w:val="%1."/>
      <w:lvlJc w:val="left"/>
      <w:pPr>
        <w:ind w:left="786" w:hanging="360"/>
      </w:pPr>
      <w:rPr>
        <w:rFonts w:hint="default"/>
        <w:b/>
      </w:rPr>
    </w:lvl>
    <w:lvl w:ilvl="1">
      <w:start w:val="1"/>
      <w:numFmt w:val="decimal"/>
      <w:isLgl/>
      <w:lvlText w:val="%1.%2."/>
      <w:lvlJc w:val="left"/>
      <w:pPr>
        <w:ind w:left="1571" w:hanging="720"/>
      </w:pPr>
      <w:rPr>
        <w:rFonts w:hint="default"/>
        <w:b/>
      </w:rPr>
    </w:lvl>
    <w:lvl w:ilvl="2">
      <w:start w:val="1"/>
      <w:numFmt w:val="decimal"/>
      <w:isLgl/>
      <w:lvlText w:val="%1.%2.%3."/>
      <w:lvlJc w:val="left"/>
      <w:pPr>
        <w:ind w:left="3220" w:hanging="1080"/>
      </w:pPr>
      <w:rPr>
        <w:rFonts w:hint="default"/>
      </w:rPr>
    </w:lvl>
    <w:lvl w:ilvl="3">
      <w:start w:val="1"/>
      <w:numFmt w:val="decimal"/>
      <w:isLgl/>
      <w:lvlText w:val="%1.%2.%3.%4."/>
      <w:lvlJc w:val="left"/>
      <w:pPr>
        <w:ind w:left="4077" w:hanging="1080"/>
      </w:pPr>
      <w:rPr>
        <w:rFonts w:hint="default"/>
      </w:rPr>
    </w:lvl>
    <w:lvl w:ilvl="4">
      <w:start w:val="1"/>
      <w:numFmt w:val="decimal"/>
      <w:isLgl/>
      <w:lvlText w:val="%1.%2.%3.%4.%5."/>
      <w:lvlJc w:val="left"/>
      <w:pPr>
        <w:ind w:left="5294" w:hanging="1440"/>
      </w:pPr>
      <w:rPr>
        <w:rFonts w:hint="default"/>
      </w:rPr>
    </w:lvl>
    <w:lvl w:ilvl="5">
      <w:start w:val="1"/>
      <w:numFmt w:val="decimal"/>
      <w:isLgl/>
      <w:lvlText w:val="%1.%2.%3.%4.%5.%6."/>
      <w:lvlJc w:val="left"/>
      <w:pPr>
        <w:ind w:left="6511" w:hanging="1800"/>
      </w:pPr>
      <w:rPr>
        <w:rFonts w:hint="default"/>
      </w:rPr>
    </w:lvl>
    <w:lvl w:ilvl="6">
      <w:start w:val="1"/>
      <w:numFmt w:val="decimal"/>
      <w:isLgl/>
      <w:lvlText w:val="%1.%2.%3.%4.%5.%6.%7."/>
      <w:lvlJc w:val="left"/>
      <w:pPr>
        <w:ind w:left="7368" w:hanging="1800"/>
      </w:pPr>
      <w:rPr>
        <w:rFonts w:hint="default"/>
      </w:rPr>
    </w:lvl>
    <w:lvl w:ilvl="7">
      <w:start w:val="1"/>
      <w:numFmt w:val="decimal"/>
      <w:isLgl/>
      <w:lvlText w:val="%1.%2.%3.%4.%5.%6.%7.%8."/>
      <w:lvlJc w:val="left"/>
      <w:pPr>
        <w:ind w:left="8585" w:hanging="2160"/>
      </w:pPr>
      <w:rPr>
        <w:rFonts w:hint="default"/>
      </w:rPr>
    </w:lvl>
    <w:lvl w:ilvl="8">
      <w:start w:val="1"/>
      <w:numFmt w:val="decimal"/>
      <w:isLgl/>
      <w:lvlText w:val="%1.%2.%3.%4.%5.%6.%7.%8.%9."/>
      <w:lvlJc w:val="left"/>
      <w:pPr>
        <w:ind w:left="9802" w:hanging="2520"/>
      </w:pPr>
      <w:rPr>
        <w:rFonts w:hint="default"/>
      </w:rPr>
    </w:lvl>
  </w:abstractNum>
  <w:abstractNum w:abstractNumId="30">
    <w:nsid w:val="609C0914"/>
    <w:multiLevelType w:val="multilevel"/>
    <w:tmpl w:val="CCEE60A2"/>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31">
    <w:nsid w:val="60B670A8"/>
    <w:multiLevelType w:val="hybridMultilevel"/>
    <w:tmpl w:val="7CD67BFC"/>
    <w:lvl w:ilvl="0" w:tplc="241A000B">
      <w:start w:val="1"/>
      <w:numFmt w:val="bullet"/>
      <w:lvlText w:val=""/>
      <w:lvlJc w:val="left"/>
      <w:pPr>
        <w:ind w:left="1049" w:hanging="360"/>
      </w:pPr>
      <w:rPr>
        <w:rFonts w:ascii="Wingdings" w:hAnsi="Wingdings" w:hint="default"/>
      </w:rPr>
    </w:lvl>
    <w:lvl w:ilvl="1" w:tplc="241A0003" w:tentative="1">
      <w:start w:val="1"/>
      <w:numFmt w:val="bullet"/>
      <w:lvlText w:val="o"/>
      <w:lvlJc w:val="left"/>
      <w:pPr>
        <w:ind w:left="1769" w:hanging="360"/>
      </w:pPr>
      <w:rPr>
        <w:rFonts w:ascii="Courier New" w:hAnsi="Courier New" w:cs="Courier New" w:hint="default"/>
      </w:rPr>
    </w:lvl>
    <w:lvl w:ilvl="2" w:tplc="241A0005" w:tentative="1">
      <w:start w:val="1"/>
      <w:numFmt w:val="bullet"/>
      <w:lvlText w:val=""/>
      <w:lvlJc w:val="left"/>
      <w:pPr>
        <w:ind w:left="2489" w:hanging="360"/>
      </w:pPr>
      <w:rPr>
        <w:rFonts w:ascii="Wingdings" w:hAnsi="Wingdings" w:hint="default"/>
      </w:rPr>
    </w:lvl>
    <w:lvl w:ilvl="3" w:tplc="241A0001" w:tentative="1">
      <w:start w:val="1"/>
      <w:numFmt w:val="bullet"/>
      <w:lvlText w:val=""/>
      <w:lvlJc w:val="left"/>
      <w:pPr>
        <w:ind w:left="3209" w:hanging="360"/>
      </w:pPr>
      <w:rPr>
        <w:rFonts w:ascii="Symbol" w:hAnsi="Symbol" w:hint="default"/>
      </w:rPr>
    </w:lvl>
    <w:lvl w:ilvl="4" w:tplc="241A0003" w:tentative="1">
      <w:start w:val="1"/>
      <w:numFmt w:val="bullet"/>
      <w:lvlText w:val="o"/>
      <w:lvlJc w:val="left"/>
      <w:pPr>
        <w:ind w:left="3929" w:hanging="360"/>
      </w:pPr>
      <w:rPr>
        <w:rFonts w:ascii="Courier New" w:hAnsi="Courier New" w:cs="Courier New" w:hint="default"/>
      </w:rPr>
    </w:lvl>
    <w:lvl w:ilvl="5" w:tplc="241A0005" w:tentative="1">
      <w:start w:val="1"/>
      <w:numFmt w:val="bullet"/>
      <w:lvlText w:val=""/>
      <w:lvlJc w:val="left"/>
      <w:pPr>
        <w:ind w:left="4649" w:hanging="360"/>
      </w:pPr>
      <w:rPr>
        <w:rFonts w:ascii="Wingdings" w:hAnsi="Wingdings" w:hint="default"/>
      </w:rPr>
    </w:lvl>
    <w:lvl w:ilvl="6" w:tplc="241A0001" w:tentative="1">
      <w:start w:val="1"/>
      <w:numFmt w:val="bullet"/>
      <w:lvlText w:val=""/>
      <w:lvlJc w:val="left"/>
      <w:pPr>
        <w:ind w:left="5369" w:hanging="360"/>
      </w:pPr>
      <w:rPr>
        <w:rFonts w:ascii="Symbol" w:hAnsi="Symbol" w:hint="default"/>
      </w:rPr>
    </w:lvl>
    <w:lvl w:ilvl="7" w:tplc="241A0003" w:tentative="1">
      <w:start w:val="1"/>
      <w:numFmt w:val="bullet"/>
      <w:lvlText w:val="o"/>
      <w:lvlJc w:val="left"/>
      <w:pPr>
        <w:ind w:left="6089" w:hanging="360"/>
      </w:pPr>
      <w:rPr>
        <w:rFonts w:ascii="Courier New" w:hAnsi="Courier New" w:cs="Courier New" w:hint="default"/>
      </w:rPr>
    </w:lvl>
    <w:lvl w:ilvl="8" w:tplc="241A0005" w:tentative="1">
      <w:start w:val="1"/>
      <w:numFmt w:val="bullet"/>
      <w:lvlText w:val=""/>
      <w:lvlJc w:val="left"/>
      <w:pPr>
        <w:ind w:left="6809" w:hanging="360"/>
      </w:pPr>
      <w:rPr>
        <w:rFonts w:ascii="Wingdings" w:hAnsi="Wingdings" w:hint="default"/>
      </w:rPr>
    </w:lvl>
  </w:abstractNum>
  <w:abstractNum w:abstractNumId="32">
    <w:nsid w:val="6D7B49D7"/>
    <w:multiLevelType w:val="hybridMultilevel"/>
    <w:tmpl w:val="F450554E"/>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3">
    <w:nsid w:val="6ECE1FDA"/>
    <w:multiLevelType w:val="hybridMultilevel"/>
    <w:tmpl w:val="DA72D958"/>
    <w:lvl w:ilvl="0" w:tplc="DB504DD2">
      <w:start w:val="1"/>
      <w:numFmt w:val="decimal"/>
      <w:lvlText w:val="%1)"/>
      <w:lvlJc w:val="left"/>
      <w:pPr>
        <w:ind w:left="1080" w:hanging="360"/>
      </w:pPr>
      <w:rPr>
        <w:rFonts w:hint="default"/>
      </w:rPr>
    </w:lvl>
    <w:lvl w:ilvl="1" w:tplc="241A0019">
      <w:start w:val="1"/>
      <w:numFmt w:val="lowerLetter"/>
      <w:lvlText w:val="%2."/>
      <w:lvlJc w:val="left"/>
      <w:pPr>
        <w:ind w:left="1800" w:hanging="360"/>
      </w:pPr>
    </w:lvl>
    <w:lvl w:ilvl="2" w:tplc="241A001B" w:tentative="1">
      <w:start w:val="1"/>
      <w:numFmt w:val="lowerRoman"/>
      <w:lvlText w:val="%3."/>
      <w:lvlJc w:val="right"/>
      <w:pPr>
        <w:ind w:left="2520" w:hanging="180"/>
      </w:pPr>
    </w:lvl>
    <w:lvl w:ilvl="3" w:tplc="241A000F" w:tentative="1">
      <w:start w:val="1"/>
      <w:numFmt w:val="decimal"/>
      <w:lvlText w:val="%4."/>
      <w:lvlJc w:val="left"/>
      <w:pPr>
        <w:ind w:left="3240" w:hanging="360"/>
      </w:pPr>
    </w:lvl>
    <w:lvl w:ilvl="4" w:tplc="241A0019" w:tentative="1">
      <w:start w:val="1"/>
      <w:numFmt w:val="lowerLetter"/>
      <w:lvlText w:val="%5."/>
      <w:lvlJc w:val="left"/>
      <w:pPr>
        <w:ind w:left="3960" w:hanging="360"/>
      </w:pPr>
    </w:lvl>
    <w:lvl w:ilvl="5" w:tplc="241A001B" w:tentative="1">
      <w:start w:val="1"/>
      <w:numFmt w:val="lowerRoman"/>
      <w:lvlText w:val="%6."/>
      <w:lvlJc w:val="right"/>
      <w:pPr>
        <w:ind w:left="4680" w:hanging="180"/>
      </w:pPr>
    </w:lvl>
    <w:lvl w:ilvl="6" w:tplc="241A000F" w:tentative="1">
      <w:start w:val="1"/>
      <w:numFmt w:val="decimal"/>
      <w:lvlText w:val="%7."/>
      <w:lvlJc w:val="left"/>
      <w:pPr>
        <w:ind w:left="5400" w:hanging="360"/>
      </w:pPr>
    </w:lvl>
    <w:lvl w:ilvl="7" w:tplc="241A0019" w:tentative="1">
      <w:start w:val="1"/>
      <w:numFmt w:val="lowerLetter"/>
      <w:lvlText w:val="%8."/>
      <w:lvlJc w:val="left"/>
      <w:pPr>
        <w:ind w:left="6120" w:hanging="360"/>
      </w:pPr>
    </w:lvl>
    <w:lvl w:ilvl="8" w:tplc="241A001B" w:tentative="1">
      <w:start w:val="1"/>
      <w:numFmt w:val="lowerRoman"/>
      <w:lvlText w:val="%9."/>
      <w:lvlJc w:val="right"/>
      <w:pPr>
        <w:ind w:left="6840" w:hanging="180"/>
      </w:pPr>
    </w:lvl>
  </w:abstractNum>
  <w:abstractNum w:abstractNumId="34">
    <w:nsid w:val="72B67F5D"/>
    <w:multiLevelType w:val="hybridMultilevel"/>
    <w:tmpl w:val="BEC8A882"/>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5">
    <w:nsid w:val="747B757F"/>
    <w:multiLevelType w:val="hybridMultilevel"/>
    <w:tmpl w:val="C2749714"/>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6">
    <w:nsid w:val="77780F84"/>
    <w:multiLevelType w:val="hybridMultilevel"/>
    <w:tmpl w:val="C34254D4"/>
    <w:lvl w:ilvl="0" w:tplc="241A000B">
      <w:start w:val="1"/>
      <w:numFmt w:val="bullet"/>
      <w:lvlText w:val=""/>
      <w:lvlJc w:val="left"/>
      <w:pPr>
        <w:ind w:left="720" w:hanging="360"/>
      </w:pPr>
      <w:rPr>
        <w:rFonts w:ascii="Wingdings" w:hAnsi="Wingdings"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37">
    <w:nsid w:val="7A4A34BD"/>
    <w:multiLevelType w:val="hybridMultilevel"/>
    <w:tmpl w:val="8AD21494"/>
    <w:lvl w:ilvl="0" w:tplc="241A0013">
      <w:start w:val="1"/>
      <w:numFmt w:val="upperRoman"/>
      <w:lvlText w:val="%1."/>
      <w:lvlJc w:val="right"/>
      <w:pPr>
        <w:ind w:left="1004" w:hanging="360"/>
      </w:pPr>
    </w:lvl>
    <w:lvl w:ilvl="1" w:tplc="241A0019" w:tentative="1">
      <w:start w:val="1"/>
      <w:numFmt w:val="lowerLetter"/>
      <w:lvlText w:val="%2."/>
      <w:lvlJc w:val="left"/>
      <w:pPr>
        <w:ind w:left="1724" w:hanging="360"/>
      </w:pPr>
    </w:lvl>
    <w:lvl w:ilvl="2" w:tplc="241A001B" w:tentative="1">
      <w:start w:val="1"/>
      <w:numFmt w:val="lowerRoman"/>
      <w:lvlText w:val="%3."/>
      <w:lvlJc w:val="right"/>
      <w:pPr>
        <w:ind w:left="2444" w:hanging="180"/>
      </w:pPr>
    </w:lvl>
    <w:lvl w:ilvl="3" w:tplc="241A000F" w:tentative="1">
      <w:start w:val="1"/>
      <w:numFmt w:val="decimal"/>
      <w:lvlText w:val="%4."/>
      <w:lvlJc w:val="left"/>
      <w:pPr>
        <w:ind w:left="3164" w:hanging="360"/>
      </w:pPr>
    </w:lvl>
    <w:lvl w:ilvl="4" w:tplc="241A0019" w:tentative="1">
      <w:start w:val="1"/>
      <w:numFmt w:val="lowerLetter"/>
      <w:lvlText w:val="%5."/>
      <w:lvlJc w:val="left"/>
      <w:pPr>
        <w:ind w:left="3884" w:hanging="360"/>
      </w:pPr>
    </w:lvl>
    <w:lvl w:ilvl="5" w:tplc="241A001B" w:tentative="1">
      <w:start w:val="1"/>
      <w:numFmt w:val="lowerRoman"/>
      <w:lvlText w:val="%6."/>
      <w:lvlJc w:val="right"/>
      <w:pPr>
        <w:ind w:left="4604" w:hanging="180"/>
      </w:pPr>
    </w:lvl>
    <w:lvl w:ilvl="6" w:tplc="241A000F" w:tentative="1">
      <w:start w:val="1"/>
      <w:numFmt w:val="decimal"/>
      <w:lvlText w:val="%7."/>
      <w:lvlJc w:val="left"/>
      <w:pPr>
        <w:ind w:left="5324" w:hanging="360"/>
      </w:pPr>
    </w:lvl>
    <w:lvl w:ilvl="7" w:tplc="241A0019" w:tentative="1">
      <w:start w:val="1"/>
      <w:numFmt w:val="lowerLetter"/>
      <w:lvlText w:val="%8."/>
      <w:lvlJc w:val="left"/>
      <w:pPr>
        <w:ind w:left="6044" w:hanging="360"/>
      </w:pPr>
    </w:lvl>
    <w:lvl w:ilvl="8" w:tplc="241A001B" w:tentative="1">
      <w:start w:val="1"/>
      <w:numFmt w:val="lowerRoman"/>
      <w:lvlText w:val="%9."/>
      <w:lvlJc w:val="right"/>
      <w:pPr>
        <w:ind w:left="6764" w:hanging="180"/>
      </w:pPr>
    </w:lvl>
  </w:abstractNum>
  <w:abstractNum w:abstractNumId="38">
    <w:nsid w:val="7C505046"/>
    <w:multiLevelType w:val="hybridMultilevel"/>
    <w:tmpl w:val="33AA799A"/>
    <w:lvl w:ilvl="0" w:tplc="0409000B">
      <w:start w:val="1"/>
      <w:numFmt w:val="bullet"/>
      <w:lvlText w:val=""/>
      <w:lvlJc w:val="left"/>
      <w:pPr>
        <w:ind w:left="1440" w:hanging="360"/>
      </w:pPr>
      <w:rPr>
        <w:rFonts w:ascii="Wingdings" w:hAnsi="Wingdings"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num w:numId="1">
    <w:abstractNumId w:val="24"/>
  </w:num>
  <w:num w:numId="2">
    <w:abstractNumId w:val="20"/>
  </w:num>
  <w:num w:numId="3">
    <w:abstractNumId w:val="16"/>
  </w:num>
  <w:num w:numId="4">
    <w:abstractNumId w:val="3"/>
  </w:num>
  <w:num w:numId="5">
    <w:abstractNumId w:val="12"/>
  </w:num>
  <w:num w:numId="6">
    <w:abstractNumId w:val="6"/>
  </w:num>
  <w:num w:numId="7">
    <w:abstractNumId w:val="10"/>
  </w:num>
  <w:num w:numId="8">
    <w:abstractNumId w:val="1"/>
  </w:num>
  <w:num w:numId="9">
    <w:abstractNumId w:val="25"/>
  </w:num>
  <w:num w:numId="10">
    <w:abstractNumId w:val="5"/>
  </w:num>
  <w:num w:numId="11">
    <w:abstractNumId w:val="27"/>
  </w:num>
  <w:num w:numId="12">
    <w:abstractNumId w:val="13"/>
  </w:num>
  <w:num w:numId="13">
    <w:abstractNumId w:val="21"/>
  </w:num>
  <w:num w:numId="14">
    <w:abstractNumId w:val="23"/>
  </w:num>
  <w:num w:numId="15">
    <w:abstractNumId w:val="11"/>
  </w:num>
  <w:num w:numId="16">
    <w:abstractNumId w:val="15"/>
  </w:num>
  <w:num w:numId="17">
    <w:abstractNumId w:val="33"/>
  </w:num>
  <w:num w:numId="18">
    <w:abstractNumId w:val="4"/>
  </w:num>
  <w:num w:numId="19">
    <w:abstractNumId w:val="17"/>
  </w:num>
  <w:num w:numId="20">
    <w:abstractNumId w:val="38"/>
  </w:num>
  <w:num w:numId="21">
    <w:abstractNumId w:val="29"/>
  </w:num>
  <w:num w:numId="22">
    <w:abstractNumId w:val="2"/>
  </w:num>
  <w:num w:numId="23">
    <w:abstractNumId w:val="31"/>
  </w:num>
  <w:num w:numId="24">
    <w:abstractNumId w:val="7"/>
  </w:num>
  <w:num w:numId="25">
    <w:abstractNumId w:val="14"/>
  </w:num>
  <w:num w:numId="26">
    <w:abstractNumId w:val="28"/>
  </w:num>
  <w:num w:numId="27">
    <w:abstractNumId w:val="18"/>
  </w:num>
  <w:num w:numId="28">
    <w:abstractNumId w:val="9"/>
  </w:num>
  <w:num w:numId="29">
    <w:abstractNumId w:val="8"/>
  </w:num>
  <w:num w:numId="30">
    <w:abstractNumId w:val="37"/>
  </w:num>
  <w:num w:numId="31">
    <w:abstractNumId w:val="19"/>
  </w:num>
  <w:num w:numId="32">
    <w:abstractNumId w:val="32"/>
  </w:num>
  <w:num w:numId="33">
    <w:abstractNumId w:val="36"/>
  </w:num>
  <w:num w:numId="34">
    <w:abstractNumId w:val="35"/>
  </w:num>
  <w:num w:numId="35">
    <w:abstractNumId w:val="34"/>
  </w:num>
  <w:num w:numId="36">
    <w:abstractNumId w:val="0"/>
  </w:num>
  <w:num w:numId="37">
    <w:abstractNumId w:val="24"/>
  </w:num>
  <w:num w:numId="38">
    <w:abstractNumId w:val="24"/>
  </w:num>
  <w:num w:numId="39">
    <w:abstractNumId w:val="24"/>
  </w:num>
  <w:num w:numId="40">
    <w:abstractNumId w:val="24"/>
  </w:num>
  <w:num w:numId="41">
    <w:abstractNumId w:val="30"/>
  </w:num>
  <w:num w:numId="42">
    <w:abstractNumId w:val="26"/>
  </w:num>
  <w:num w:numId="43">
    <w:abstractNumId w:val="22"/>
  </w:num>
  <w:num w:numId="44">
    <w:abstractNumId w:val="24"/>
  </w:num>
  <w:numIdMacAtCleanup w:val="3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lan Herbez">
    <w15:presenceInfo w15:providerId="None" w15:userId="Milan Herbez"/>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6492"/>
    <w:rsid w:val="0000135F"/>
    <w:rsid w:val="00003262"/>
    <w:rsid w:val="000050DB"/>
    <w:rsid w:val="0000684F"/>
    <w:rsid w:val="000069F3"/>
    <w:rsid w:val="00006B40"/>
    <w:rsid w:val="0001045D"/>
    <w:rsid w:val="00011135"/>
    <w:rsid w:val="000127B4"/>
    <w:rsid w:val="000130A8"/>
    <w:rsid w:val="00013387"/>
    <w:rsid w:val="00015D38"/>
    <w:rsid w:val="00021462"/>
    <w:rsid w:val="00021F8A"/>
    <w:rsid w:val="0002470A"/>
    <w:rsid w:val="0002677F"/>
    <w:rsid w:val="00034540"/>
    <w:rsid w:val="000359C0"/>
    <w:rsid w:val="00035E89"/>
    <w:rsid w:val="00037B93"/>
    <w:rsid w:val="00040C9C"/>
    <w:rsid w:val="00051F7F"/>
    <w:rsid w:val="00054041"/>
    <w:rsid w:val="00055424"/>
    <w:rsid w:val="00055ECF"/>
    <w:rsid w:val="00056264"/>
    <w:rsid w:val="00062EE5"/>
    <w:rsid w:val="000648E0"/>
    <w:rsid w:val="00065460"/>
    <w:rsid w:val="00071ED1"/>
    <w:rsid w:val="0007205D"/>
    <w:rsid w:val="00075202"/>
    <w:rsid w:val="000770A6"/>
    <w:rsid w:val="000810BA"/>
    <w:rsid w:val="00085307"/>
    <w:rsid w:val="0008771D"/>
    <w:rsid w:val="000919B7"/>
    <w:rsid w:val="00092D62"/>
    <w:rsid w:val="0009317A"/>
    <w:rsid w:val="00093D98"/>
    <w:rsid w:val="000957CD"/>
    <w:rsid w:val="00095D5A"/>
    <w:rsid w:val="000A3F2A"/>
    <w:rsid w:val="000A6024"/>
    <w:rsid w:val="000A6BB2"/>
    <w:rsid w:val="000B0B32"/>
    <w:rsid w:val="000B11FB"/>
    <w:rsid w:val="000C0B72"/>
    <w:rsid w:val="000C2983"/>
    <w:rsid w:val="000C4656"/>
    <w:rsid w:val="000C556B"/>
    <w:rsid w:val="000C73FE"/>
    <w:rsid w:val="000C7684"/>
    <w:rsid w:val="000D2029"/>
    <w:rsid w:val="000D50C3"/>
    <w:rsid w:val="000D69E3"/>
    <w:rsid w:val="000D72BA"/>
    <w:rsid w:val="000E65FB"/>
    <w:rsid w:val="000F23FC"/>
    <w:rsid w:val="000F27DF"/>
    <w:rsid w:val="000F62F3"/>
    <w:rsid w:val="000F7076"/>
    <w:rsid w:val="000F72FD"/>
    <w:rsid w:val="00101CE9"/>
    <w:rsid w:val="00103C74"/>
    <w:rsid w:val="0010417A"/>
    <w:rsid w:val="00105442"/>
    <w:rsid w:val="00107683"/>
    <w:rsid w:val="00110575"/>
    <w:rsid w:val="00110634"/>
    <w:rsid w:val="00110C1C"/>
    <w:rsid w:val="00115CCC"/>
    <w:rsid w:val="001177E8"/>
    <w:rsid w:val="00121464"/>
    <w:rsid w:val="00121F19"/>
    <w:rsid w:val="0012597D"/>
    <w:rsid w:val="00125FCB"/>
    <w:rsid w:val="001316D9"/>
    <w:rsid w:val="00134363"/>
    <w:rsid w:val="00134C2D"/>
    <w:rsid w:val="00140C21"/>
    <w:rsid w:val="00141B41"/>
    <w:rsid w:val="0014263F"/>
    <w:rsid w:val="00144318"/>
    <w:rsid w:val="00146239"/>
    <w:rsid w:val="00146491"/>
    <w:rsid w:val="0015171B"/>
    <w:rsid w:val="001517AA"/>
    <w:rsid w:val="00153DB4"/>
    <w:rsid w:val="00155B6C"/>
    <w:rsid w:val="001571ED"/>
    <w:rsid w:val="00160CA3"/>
    <w:rsid w:val="00160E0C"/>
    <w:rsid w:val="001656AE"/>
    <w:rsid w:val="0016707E"/>
    <w:rsid w:val="00167C48"/>
    <w:rsid w:val="00172120"/>
    <w:rsid w:val="00173063"/>
    <w:rsid w:val="00177C3C"/>
    <w:rsid w:val="00190806"/>
    <w:rsid w:val="0019190C"/>
    <w:rsid w:val="00193A48"/>
    <w:rsid w:val="00195744"/>
    <w:rsid w:val="00197947"/>
    <w:rsid w:val="001A11AB"/>
    <w:rsid w:val="001A2CBE"/>
    <w:rsid w:val="001A3F64"/>
    <w:rsid w:val="001A4C70"/>
    <w:rsid w:val="001B183C"/>
    <w:rsid w:val="001B208C"/>
    <w:rsid w:val="001B338A"/>
    <w:rsid w:val="001B4229"/>
    <w:rsid w:val="001B4C34"/>
    <w:rsid w:val="001B5D26"/>
    <w:rsid w:val="001B6A88"/>
    <w:rsid w:val="001B7810"/>
    <w:rsid w:val="001C14AA"/>
    <w:rsid w:val="001C15A6"/>
    <w:rsid w:val="001C35CE"/>
    <w:rsid w:val="001C373D"/>
    <w:rsid w:val="001C422E"/>
    <w:rsid w:val="001C5B22"/>
    <w:rsid w:val="001D1258"/>
    <w:rsid w:val="001D2E70"/>
    <w:rsid w:val="001D4002"/>
    <w:rsid w:val="001D5576"/>
    <w:rsid w:val="001D65C4"/>
    <w:rsid w:val="001E0DAA"/>
    <w:rsid w:val="001E0DE9"/>
    <w:rsid w:val="001E4642"/>
    <w:rsid w:val="001E544F"/>
    <w:rsid w:val="001E6FEE"/>
    <w:rsid w:val="001F0066"/>
    <w:rsid w:val="001F1D74"/>
    <w:rsid w:val="001F7BA3"/>
    <w:rsid w:val="001F7BF9"/>
    <w:rsid w:val="00200F65"/>
    <w:rsid w:val="00201BD0"/>
    <w:rsid w:val="00202463"/>
    <w:rsid w:val="002041C5"/>
    <w:rsid w:val="0020435E"/>
    <w:rsid w:val="00210350"/>
    <w:rsid w:val="00210C9F"/>
    <w:rsid w:val="00210F3C"/>
    <w:rsid w:val="00211305"/>
    <w:rsid w:val="0021134B"/>
    <w:rsid w:val="00212C17"/>
    <w:rsid w:val="00213EA3"/>
    <w:rsid w:val="00214738"/>
    <w:rsid w:val="002153A2"/>
    <w:rsid w:val="002157E8"/>
    <w:rsid w:val="00215B22"/>
    <w:rsid w:val="00215EC7"/>
    <w:rsid w:val="002207DC"/>
    <w:rsid w:val="002225E7"/>
    <w:rsid w:val="00222FFF"/>
    <w:rsid w:val="00224D42"/>
    <w:rsid w:val="0023198F"/>
    <w:rsid w:val="00232C7A"/>
    <w:rsid w:val="00233C57"/>
    <w:rsid w:val="00234E46"/>
    <w:rsid w:val="00235916"/>
    <w:rsid w:val="00236B98"/>
    <w:rsid w:val="002377E1"/>
    <w:rsid w:val="00241378"/>
    <w:rsid w:val="00242540"/>
    <w:rsid w:val="00242648"/>
    <w:rsid w:val="00246061"/>
    <w:rsid w:val="002465BE"/>
    <w:rsid w:val="00250703"/>
    <w:rsid w:val="002510CA"/>
    <w:rsid w:val="00251F71"/>
    <w:rsid w:val="00252B51"/>
    <w:rsid w:val="00261351"/>
    <w:rsid w:val="0027511D"/>
    <w:rsid w:val="00275857"/>
    <w:rsid w:val="00276509"/>
    <w:rsid w:val="002802BD"/>
    <w:rsid w:val="002813D7"/>
    <w:rsid w:val="00281AAB"/>
    <w:rsid w:val="0028256B"/>
    <w:rsid w:val="0028380C"/>
    <w:rsid w:val="00286723"/>
    <w:rsid w:val="00286767"/>
    <w:rsid w:val="00290951"/>
    <w:rsid w:val="00290B21"/>
    <w:rsid w:val="00292256"/>
    <w:rsid w:val="002A45ED"/>
    <w:rsid w:val="002A54DA"/>
    <w:rsid w:val="002A6400"/>
    <w:rsid w:val="002A65D4"/>
    <w:rsid w:val="002A6C96"/>
    <w:rsid w:val="002B17BA"/>
    <w:rsid w:val="002B235A"/>
    <w:rsid w:val="002B6B5E"/>
    <w:rsid w:val="002B7266"/>
    <w:rsid w:val="002C10E6"/>
    <w:rsid w:val="002C1E80"/>
    <w:rsid w:val="002C4700"/>
    <w:rsid w:val="002C4D6B"/>
    <w:rsid w:val="002C574E"/>
    <w:rsid w:val="002D03B5"/>
    <w:rsid w:val="002D11A8"/>
    <w:rsid w:val="002D210C"/>
    <w:rsid w:val="002D2678"/>
    <w:rsid w:val="002D570E"/>
    <w:rsid w:val="002D6420"/>
    <w:rsid w:val="002D6A53"/>
    <w:rsid w:val="002E0051"/>
    <w:rsid w:val="002E50D3"/>
    <w:rsid w:val="002E60C4"/>
    <w:rsid w:val="002E7303"/>
    <w:rsid w:val="002F0A3B"/>
    <w:rsid w:val="002F116F"/>
    <w:rsid w:val="002F7CC6"/>
    <w:rsid w:val="00303D6C"/>
    <w:rsid w:val="00306DF9"/>
    <w:rsid w:val="00307B8A"/>
    <w:rsid w:val="00311B11"/>
    <w:rsid w:val="00314796"/>
    <w:rsid w:val="003157EE"/>
    <w:rsid w:val="00317A88"/>
    <w:rsid w:val="00321873"/>
    <w:rsid w:val="003235D8"/>
    <w:rsid w:val="003239F9"/>
    <w:rsid w:val="0033177D"/>
    <w:rsid w:val="003321D0"/>
    <w:rsid w:val="0033312C"/>
    <w:rsid w:val="003337D5"/>
    <w:rsid w:val="00342949"/>
    <w:rsid w:val="00344761"/>
    <w:rsid w:val="00344FEB"/>
    <w:rsid w:val="00345674"/>
    <w:rsid w:val="0034641B"/>
    <w:rsid w:val="00347032"/>
    <w:rsid w:val="003502EA"/>
    <w:rsid w:val="003512E7"/>
    <w:rsid w:val="00361B84"/>
    <w:rsid w:val="00363755"/>
    <w:rsid w:val="003638DE"/>
    <w:rsid w:val="003655C9"/>
    <w:rsid w:val="00371FB1"/>
    <w:rsid w:val="0037217C"/>
    <w:rsid w:val="003724D4"/>
    <w:rsid w:val="00373385"/>
    <w:rsid w:val="00374D4D"/>
    <w:rsid w:val="003810C8"/>
    <w:rsid w:val="00381C15"/>
    <w:rsid w:val="003915F5"/>
    <w:rsid w:val="003941AA"/>
    <w:rsid w:val="0039527B"/>
    <w:rsid w:val="00396531"/>
    <w:rsid w:val="0039718D"/>
    <w:rsid w:val="00397F37"/>
    <w:rsid w:val="003A1E79"/>
    <w:rsid w:val="003A3BFC"/>
    <w:rsid w:val="003A5A7C"/>
    <w:rsid w:val="003A72C9"/>
    <w:rsid w:val="003B105F"/>
    <w:rsid w:val="003B1360"/>
    <w:rsid w:val="003B2D3D"/>
    <w:rsid w:val="003B7724"/>
    <w:rsid w:val="003C2CF5"/>
    <w:rsid w:val="003C3A4D"/>
    <w:rsid w:val="003C6447"/>
    <w:rsid w:val="003C6820"/>
    <w:rsid w:val="003C7F39"/>
    <w:rsid w:val="003D22A0"/>
    <w:rsid w:val="003D4F11"/>
    <w:rsid w:val="003D5801"/>
    <w:rsid w:val="003E0EFA"/>
    <w:rsid w:val="003E4705"/>
    <w:rsid w:val="003E587D"/>
    <w:rsid w:val="003F0965"/>
    <w:rsid w:val="003F2B32"/>
    <w:rsid w:val="003F69E4"/>
    <w:rsid w:val="003F6A85"/>
    <w:rsid w:val="004011EE"/>
    <w:rsid w:val="00401509"/>
    <w:rsid w:val="00402D73"/>
    <w:rsid w:val="00406024"/>
    <w:rsid w:val="00410DD2"/>
    <w:rsid w:val="00411EA4"/>
    <w:rsid w:val="00412AD5"/>
    <w:rsid w:val="0041461A"/>
    <w:rsid w:val="00414A02"/>
    <w:rsid w:val="00414FB8"/>
    <w:rsid w:val="00420A67"/>
    <w:rsid w:val="00422A69"/>
    <w:rsid w:val="00424AA9"/>
    <w:rsid w:val="00424CA6"/>
    <w:rsid w:val="00430160"/>
    <w:rsid w:val="00430E71"/>
    <w:rsid w:val="004317BA"/>
    <w:rsid w:val="004318B4"/>
    <w:rsid w:val="004341C7"/>
    <w:rsid w:val="00437D90"/>
    <w:rsid w:val="00444469"/>
    <w:rsid w:val="0044694D"/>
    <w:rsid w:val="0045139C"/>
    <w:rsid w:val="00451C7D"/>
    <w:rsid w:val="00451D61"/>
    <w:rsid w:val="00452967"/>
    <w:rsid w:val="004539A2"/>
    <w:rsid w:val="00453A94"/>
    <w:rsid w:val="00454A5D"/>
    <w:rsid w:val="0045525C"/>
    <w:rsid w:val="00457147"/>
    <w:rsid w:val="00457607"/>
    <w:rsid w:val="00457DD6"/>
    <w:rsid w:val="004606C1"/>
    <w:rsid w:val="00460ED3"/>
    <w:rsid w:val="00461591"/>
    <w:rsid w:val="0046210A"/>
    <w:rsid w:val="00462632"/>
    <w:rsid w:val="00462CC0"/>
    <w:rsid w:val="0046690C"/>
    <w:rsid w:val="00467B96"/>
    <w:rsid w:val="00470147"/>
    <w:rsid w:val="00471490"/>
    <w:rsid w:val="004724F6"/>
    <w:rsid w:val="0047461E"/>
    <w:rsid w:val="00480E31"/>
    <w:rsid w:val="004834AD"/>
    <w:rsid w:val="00483D9F"/>
    <w:rsid w:val="00484718"/>
    <w:rsid w:val="00484D5E"/>
    <w:rsid w:val="00487521"/>
    <w:rsid w:val="00487630"/>
    <w:rsid w:val="00490D7A"/>
    <w:rsid w:val="0049135D"/>
    <w:rsid w:val="00492321"/>
    <w:rsid w:val="004A0500"/>
    <w:rsid w:val="004A1BB9"/>
    <w:rsid w:val="004A239E"/>
    <w:rsid w:val="004A3420"/>
    <w:rsid w:val="004A6D9D"/>
    <w:rsid w:val="004B60E3"/>
    <w:rsid w:val="004B7ADE"/>
    <w:rsid w:val="004C0126"/>
    <w:rsid w:val="004C0359"/>
    <w:rsid w:val="004C5462"/>
    <w:rsid w:val="004C5E1D"/>
    <w:rsid w:val="004C6F94"/>
    <w:rsid w:val="004C74ED"/>
    <w:rsid w:val="004C7B3C"/>
    <w:rsid w:val="004D0CF6"/>
    <w:rsid w:val="004D1716"/>
    <w:rsid w:val="004D3398"/>
    <w:rsid w:val="004D3CC6"/>
    <w:rsid w:val="004E1215"/>
    <w:rsid w:val="004E6081"/>
    <w:rsid w:val="004E6E16"/>
    <w:rsid w:val="004F2EC6"/>
    <w:rsid w:val="004F2EE0"/>
    <w:rsid w:val="004F3075"/>
    <w:rsid w:val="0050139E"/>
    <w:rsid w:val="00505DD5"/>
    <w:rsid w:val="00507055"/>
    <w:rsid w:val="00511F77"/>
    <w:rsid w:val="00513280"/>
    <w:rsid w:val="00513DA0"/>
    <w:rsid w:val="0051506C"/>
    <w:rsid w:val="005157DE"/>
    <w:rsid w:val="005205B7"/>
    <w:rsid w:val="005216BD"/>
    <w:rsid w:val="00521CE0"/>
    <w:rsid w:val="00522569"/>
    <w:rsid w:val="00523193"/>
    <w:rsid w:val="00523F19"/>
    <w:rsid w:val="005260F9"/>
    <w:rsid w:val="00532904"/>
    <w:rsid w:val="0053291C"/>
    <w:rsid w:val="00534583"/>
    <w:rsid w:val="005353CD"/>
    <w:rsid w:val="00536368"/>
    <w:rsid w:val="00540FAA"/>
    <w:rsid w:val="005413B0"/>
    <w:rsid w:val="0054367A"/>
    <w:rsid w:val="00543830"/>
    <w:rsid w:val="00545266"/>
    <w:rsid w:val="00546411"/>
    <w:rsid w:val="0054769A"/>
    <w:rsid w:val="00547C31"/>
    <w:rsid w:val="005526B2"/>
    <w:rsid w:val="00554DAD"/>
    <w:rsid w:val="00562478"/>
    <w:rsid w:val="00565AA7"/>
    <w:rsid w:val="0057117B"/>
    <w:rsid w:val="00571928"/>
    <w:rsid w:val="0057338D"/>
    <w:rsid w:val="0057414D"/>
    <w:rsid w:val="00577297"/>
    <w:rsid w:val="005776E4"/>
    <w:rsid w:val="00577F78"/>
    <w:rsid w:val="005838E3"/>
    <w:rsid w:val="005841D5"/>
    <w:rsid w:val="00584DB1"/>
    <w:rsid w:val="005856A2"/>
    <w:rsid w:val="00587258"/>
    <w:rsid w:val="00590DA2"/>
    <w:rsid w:val="005A1C60"/>
    <w:rsid w:val="005A408C"/>
    <w:rsid w:val="005A410F"/>
    <w:rsid w:val="005A5F32"/>
    <w:rsid w:val="005A7856"/>
    <w:rsid w:val="005B7D88"/>
    <w:rsid w:val="005C0749"/>
    <w:rsid w:val="005C2BDB"/>
    <w:rsid w:val="005C2D00"/>
    <w:rsid w:val="005C373F"/>
    <w:rsid w:val="005D2F38"/>
    <w:rsid w:val="005D692E"/>
    <w:rsid w:val="005D7602"/>
    <w:rsid w:val="005E2C7D"/>
    <w:rsid w:val="005E3523"/>
    <w:rsid w:val="005E3D22"/>
    <w:rsid w:val="005E3E2D"/>
    <w:rsid w:val="005F5689"/>
    <w:rsid w:val="005F78E3"/>
    <w:rsid w:val="0060244E"/>
    <w:rsid w:val="006047ED"/>
    <w:rsid w:val="00605A80"/>
    <w:rsid w:val="00606AB0"/>
    <w:rsid w:val="00612AE3"/>
    <w:rsid w:val="00613313"/>
    <w:rsid w:val="00614197"/>
    <w:rsid w:val="00614EC1"/>
    <w:rsid w:val="006151A6"/>
    <w:rsid w:val="0061552B"/>
    <w:rsid w:val="00615AEC"/>
    <w:rsid w:val="00615BE2"/>
    <w:rsid w:val="006162EC"/>
    <w:rsid w:val="00622135"/>
    <w:rsid w:val="006259EA"/>
    <w:rsid w:val="0062689C"/>
    <w:rsid w:val="00627C1C"/>
    <w:rsid w:val="00633BF7"/>
    <w:rsid w:val="00637574"/>
    <w:rsid w:val="00637D67"/>
    <w:rsid w:val="00640829"/>
    <w:rsid w:val="00642075"/>
    <w:rsid w:val="00644594"/>
    <w:rsid w:val="00644B11"/>
    <w:rsid w:val="006476E5"/>
    <w:rsid w:val="00655CD0"/>
    <w:rsid w:val="0065641C"/>
    <w:rsid w:val="00661721"/>
    <w:rsid w:val="00661839"/>
    <w:rsid w:val="00665116"/>
    <w:rsid w:val="00665921"/>
    <w:rsid w:val="006666F4"/>
    <w:rsid w:val="00672ABD"/>
    <w:rsid w:val="00674CE3"/>
    <w:rsid w:val="00676032"/>
    <w:rsid w:val="00676DDE"/>
    <w:rsid w:val="0067705E"/>
    <w:rsid w:val="0068218E"/>
    <w:rsid w:val="00686161"/>
    <w:rsid w:val="00686799"/>
    <w:rsid w:val="00687583"/>
    <w:rsid w:val="00692437"/>
    <w:rsid w:val="0069486B"/>
    <w:rsid w:val="006957F7"/>
    <w:rsid w:val="006963FE"/>
    <w:rsid w:val="0069701C"/>
    <w:rsid w:val="006A1DA2"/>
    <w:rsid w:val="006A24A0"/>
    <w:rsid w:val="006A28AD"/>
    <w:rsid w:val="006A2CC9"/>
    <w:rsid w:val="006A401A"/>
    <w:rsid w:val="006A57EF"/>
    <w:rsid w:val="006A590F"/>
    <w:rsid w:val="006B4964"/>
    <w:rsid w:val="006B6219"/>
    <w:rsid w:val="006B6543"/>
    <w:rsid w:val="006B79F9"/>
    <w:rsid w:val="006C0D6C"/>
    <w:rsid w:val="006C1E1A"/>
    <w:rsid w:val="006C3EE7"/>
    <w:rsid w:val="006C4070"/>
    <w:rsid w:val="006D005B"/>
    <w:rsid w:val="006D041E"/>
    <w:rsid w:val="006D473F"/>
    <w:rsid w:val="006D7424"/>
    <w:rsid w:val="006D7BF2"/>
    <w:rsid w:val="006E059B"/>
    <w:rsid w:val="006E1ACC"/>
    <w:rsid w:val="006E1BF4"/>
    <w:rsid w:val="006E1FA8"/>
    <w:rsid w:val="006E3225"/>
    <w:rsid w:val="006E6CC3"/>
    <w:rsid w:val="006F3525"/>
    <w:rsid w:val="006F5CFD"/>
    <w:rsid w:val="00700C18"/>
    <w:rsid w:val="00702534"/>
    <w:rsid w:val="00702A2B"/>
    <w:rsid w:val="00704FAB"/>
    <w:rsid w:val="00706330"/>
    <w:rsid w:val="007066DD"/>
    <w:rsid w:val="00707C93"/>
    <w:rsid w:val="00707FFC"/>
    <w:rsid w:val="00710D3C"/>
    <w:rsid w:val="00711ECD"/>
    <w:rsid w:val="0071269C"/>
    <w:rsid w:val="007138AF"/>
    <w:rsid w:val="00713CC9"/>
    <w:rsid w:val="00714318"/>
    <w:rsid w:val="00714AAA"/>
    <w:rsid w:val="00714FAF"/>
    <w:rsid w:val="00716C32"/>
    <w:rsid w:val="007171D6"/>
    <w:rsid w:val="0072217E"/>
    <w:rsid w:val="00726CBE"/>
    <w:rsid w:val="00735822"/>
    <w:rsid w:val="007366E5"/>
    <w:rsid w:val="007367D8"/>
    <w:rsid w:val="00740812"/>
    <w:rsid w:val="0074249B"/>
    <w:rsid w:val="007438DB"/>
    <w:rsid w:val="00745D11"/>
    <w:rsid w:val="00746EE3"/>
    <w:rsid w:val="00751674"/>
    <w:rsid w:val="00752387"/>
    <w:rsid w:val="0075313E"/>
    <w:rsid w:val="007550D4"/>
    <w:rsid w:val="00755344"/>
    <w:rsid w:val="00755C32"/>
    <w:rsid w:val="0076189C"/>
    <w:rsid w:val="00763DFD"/>
    <w:rsid w:val="0076447B"/>
    <w:rsid w:val="00765F7E"/>
    <w:rsid w:val="00766C59"/>
    <w:rsid w:val="007675E2"/>
    <w:rsid w:val="00767769"/>
    <w:rsid w:val="00771CCA"/>
    <w:rsid w:val="0077625F"/>
    <w:rsid w:val="0078065A"/>
    <w:rsid w:val="00784569"/>
    <w:rsid w:val="007874DF"/>
    <w:rsid w:val="00792B25"/>
    <w:rsid w:val="00794AEC"/>
    <w:rsid w:val="00794DC4"/>
    <w:rsid w:val="00795BD6"/>
    <w:rsid w:val="007973B1"/>
    <w:rsid w:val="007976E0"/>
    <w:rsid w:val="007A13D7"/>
    <w:rsid w:val="007A2D39"/>
    <w:rsid w:val="007A4760"/>
    <w:rsid w:val="007A5818"/>
    <w:rsid w:val="007A6345"/>
    <w:rsid w:val="007B6A55"/>
    <w:rsid w:val="007C021E"/>
    <w:rsid w:val="007C188B"/>
    <w:rsid w:val="007C1FE6"/>
    <w:rsid w:val="007C5704"/>
    <w:rsid w:val="007D0539"/>
    <w:rsid w:val="007D05A5"/>
    <w:rsid w:val="007D56F0"/>
    <w:rsid w:val="007E0258"/>
    <w:rsid w:val="007E07E8"/>
    <w:rsid w:val="007E1CF3"/>
    <w:rsid w:val="007E3AB8"/>
    <w:rsid w:val="007E3D96"/>
    <w:rsid w:val="007E64C0"/>
    <w:rsid w:val="007E7D3F"/>
    <w:rsid w:val="007F1ABC"/>
    <w:rsid w:val="007F1EC3"/>
    <w:rsid w:val="007F41CD"/>
    <w:rsid w:val="007F511E"/>
    <w:rsid w:val="007F70AC"/>
    <w:rsid w:val="007F7695"/>
    <w:rsid w:val="00801C6B"/>
    <w:rsid w:val="008021FF"/>
    <w:rsid w:val="00804A11"/>
    <w:rsid w:val="008148F4"/>
    <w:rsid w:val="00820179"/>
    <w:rsid w:val="008204A5"/>
    <w:rsid w:val="008221A2"/>
    <w:rsid w:val="008227CB"/>
    <w:rsid w:val="00823927"/>
    <w:rsid w:val="00826E75"/>
    <w:rsid w:val="00827878"/>
    <w:rsid w:val="008301BA"/>
    <w:rsid w:val="00831117"/>
    <w:rsid w:val="00834E6C"/>
    <w:rsid w:val="0083752F"/>
    <w:rsid w:val="00840E13"/>
    <w:rsid w:val="00840EF6"/>
    <w:rsid w:val="008425D2"/>
    <w:rsid w:val="0084283B"/>
    <w:rsid w:val="008527EF"/>
    <w:rsid w:val="00855153"/>
    <w:rsid w:val="008555F5"/>
    <w:rsid w:val="00856492"/>
    <w:rsid w:val="0085678B"/>
    <w:rsid w:val="00860C32"/>
    <w:rsid w:val="008611AD"/>
    <w:rsid w:val="00865405"/>
    <w:rsid w:val="008657F6"/>
    <w:rsid w:val="00865869"/>
    <w:rsid w:val="008707F4"/>
    <w:rsid w:val="00872182"/>
    <w:rsid w:val="00875757"/>
    <w:rsid w:val="008758E5"/>
    <w:rsid w:val="00875B15"/>
    <w:rsid w:val="0088064B"/>
    <w:rsid w:val="008813B1"/>
    <w:rsid w:val="008875D5"/>
    <w:rsid w:val="008879FB"/>
    <w:rsid w:val="00887DE6"/>
    <w:rsid w:val="00890387"/>
    <w:rsid w:val="008924DD"/>
    <w:rsid w:val="00895061"/>
    <w:rsid w:val="00895519"/>
    <w:rsid w:val="00895BBA"/>
    <w:rsid w:val="00896912"/>
    <w:rsid w:val="00896A2E"/>
    <w:rsid w:val="008A0B1E"/>
    <w:rsid w:val="008A1922"/>
    <w:rsid w:val="008A3C9C"/>
    <w:rsid w:val="008A79BA"/>
    <w:rsid w:val="008B20FE"/>
    <w:rsid w:val="008B2D3B"/>
    <w:rsid w:val="008B4552"/>
    <w:rsid w:val="008B5F2C"/>
    <w:rsid w:val="008B742A"/>
    <w:rsid w:val="008C1433"/>
    <w:rsid w:val="008C2890"/>
    <w:rsid w:val="008C2B46"/>
    <w:rsid w:val="008C5A05"/>
    <w:rsid w:val="008D0A10"/>
    <w:rsid w:val="008D0B60"/>
    <w:rsid w:val="008D457F"/>
    <w:rsid w:val="008D4D3A"/>
    <w:rsid w:val="008D5297"/>
    <w:rsid w:val="008D5B13"/>
    <w:rsid w:val="008E058B"/>
    <w:rsid w:val="008E0AE8"/>
    <w:rsid w:val="008E0DE0"/>
    <w:rsid w:val="008E35BD"/>
    <w:rsid w:val="008E4D7D"/>
    <w:rsid w:val="008E537C"/>
    <w:rsid w:val="008E5EA5"/>
    <w:rsid w:val="008E6289"/>
    <w:rsid w:val="008F0541"/>
    <w:rsid w:val="008F30FA"/>
    <w:rsid w:val="008F35E3"/>
    <w:rsid w:val="00900951"/>
    <w:rsid w:val="0090445F"/>
    <w:rsid w:val="009047C1"/>
    <w:rsid w:val="0090550B"/>
    <w:rsid w:val="009079A8"/>
    <w:rsid w:val="00910067"/>
    <w:rsid w:val="00911099"/>
    <w:rsid w:val="0091326A"/>
    <w:rsid w:val="00925C24"/>
    <w:rsid w:val="0093285D"/>
    <w:rsid w:val="00934BEE"/>
    <w:rsid w:val="009358B7"/>
    <w:rsid w:val="0094066F"/>
    <w:rsid w:val="00942118"/>
    <w:rsid w:val="00942478"/>
    <w:rsid w:val="009466F8"/>
    <w:rsid w:val="00947528"/>
    <w:rsid w:val="0095294C"/>
    <w:rsid w:val="00953663"/>
    <w:rsid w:val="00954BAD"/>
    <w:rsid w:val="00960D45"/>
    <w:rsid w:val="00971CD8"/>
    <w:rsid w:val="00971E4C"/>
    <w:rsid w:val="0097324E"/>
    <w:rsid w:val="00973851"/>
    <w:rsid w:val="00975486"/>
    <w:rsid w:val="00980814"/>
    <w:rsid w:val="0098191C"/>
    <w:rsid w:val="00983D47"/>
    <w:rsid w:val="00987DDA"/>
    <w:rsid w:val="00992C15"/>
    <w:rsid w:val="0099374D"/>
    <w:rsid w:val="00996BC3"/>
    <w:rsid w:val="009A70FE"/>
    <w:rsid w:val="009B04F0"/>
    <w:rsid w:val="009B0A71"/>
    <w:rsid w:val="009B140A"/>
    <w:rsid w:val="009B1B18"/>
    <w:rsid w:val="009B1CE0"/>
    <w:rsid w:val="009B3891"/>
    <w:rsid w:val="009B4707"/>
    <w:rsid w:val="009C0761"/>
    <w:rsid w:val="009C3341"/>
    <w:rsid w:val="009C66C2"/>
    <w:rsid w:val="009C6D15"/>
    <w:rsid w:val="009C6E56"/>
    <w:rsid w:val="009D0AF2"/>
    <w:rsid w:val="009D1CE7"/>
    <w:rsid w:val="009D4824"/>
    <w:rsid w:val="009D5E2E"/>
    <w:rsid w:val="009D65D4"/>
    <w:rsid w:val="009E5BF8"/>
    <w:rsid w:val="009E6C41"/>
    <w:rsid w:val="009E7769"/>
    <w:rsid w:val="009F09B0"/>
    <w:rsid w:val="009F1586"/>
    <w:rsid w:val="009F2B64"/>
    <w:rsid w:val="009F3870"/>
    <w:rsid w:val="009F3AB7"/>
    <w:rsid w:val="009F4646"/>
    <w:rsid w:val="009F4B7E"/>
    <w:rsid w:val="009F57E4"/>
    <w:rsid w:val="009F606F"/>
    <w:rsid w:val="009F65E9"/>
    <w:rsid w:val="00A00263"/>
    <w:rsid w:val="00A01F2C"/>
    <w:rsid w:val="00A02CB6"/>
    <w:rsid w:val="00A03C95"/>
    <w:rsid w:val="00A06882"/>
    <w:rsid w:val="00A0697D"/>
    <w:rsid w:val="00A06C39"/>
    <w:rsid w:val="00A11C3C"/>
    <w:rsid w:val="00A12FD6"/>
    <w:rsid w:val="00A13428"/>
    <w:rsid w:val="00A15C9B"/>
    <w:rsid w:val="00A205B2"/>
    <w:rsid w:val="00A25960"/>
    <w:rsid w:val="00A25D4E"/>
    <w:rsid w:val="00A31464"/>
    <w:rsid w:val="00A33203"/>
    <w:rsid w:val="00A33F28"/>
    <w:rsid w:val="00A342A0"/>
    <w:rsid w:val="00A3543E"/>
    <w:rsid w:val="00A35724"/>
    <w:rsid w:val="00A36540"/>
    <w:rsid w:val="00A36C55"/>
    <w:rsid w:val="00A419F5"/>
    <w:rsid w:val="00A44453"/>
    <w:rsid w:val="00A461C4"/>
    <w:rsid w:val="00A4678C"/>
    <w:rsid w:val="00A479C1"/>
    <w:rsid w:val="00A50763"/>
    <w:rsid w:val="00A54476"/>
    <w:rsid w:val="00A57879"/>
    <w:rsid w:val="00A641E3"/>
    <w:rsid w:val="00A65CFC"/>
    <w:rsid w:val="00A6789A"/>
    <w:rsid w:val="00A678A2"/>
    <w:rsid w:val="00A71AD8"/>
    <w:rsid w:val="00A72391"/>
    <w:rsid w:val="00A726B9"/>
    <w:rsid w:val="00A75E14"/>
    <w:rsid w:val="00A846BC"/>
    <w:rsid w:val="00A863A7"/>
    <w:rsid w:val="00A8654D"/>
    <w:rsid w:val="00A872F6"/>
    <w:rsid w:val="00A87581"/>
    <w:rsid w:val="00A9350E"/>
    <w:rsid w:val="00A93E08"/>
    <w:rsid w:val="00A95FF9"/>
    <w:rsid w:val="00AA2F70"/>
    <w:rsid w:val="00AA4A36"/>
    <w:rsid w:val="00AA4BB1"/>
    <w:rsid w:val="00AA4FD2"/>
    <w:rsid w:val="00AB028A"/>
    <w:rsid w:val="00AB09B3"/>
    <w:rsid w:val="00AB0F8D"/>
    <w:rsid w:val="00AB2079"/>
    <w:rsid w:val="00AB25B8"/>
    <w:rsid w:val="00AB36FB"/>
    <w:rsid w:val="00AB476B"/>
    <w:rsid w:val="00AB5007"/>
    <w:rsid w:val="00AB54E8"/>
    <w:rsid w:val="00AB59CB"/>
    <w:rsid w:val="00AB6575"/>
    <w:rsid w:val="00AB7579"/>
    <w:rsid w:val="00AB7717"/>
    <w:rsid w:val="00AC1464"/>
    <w:rsid w:val="00AC57B4"/>
    <w:rsid w:val="00AC7833"/>
    <w:rsid w:val="00AD0A1A"/>
    <w:rsid w:val="00AD16C1"/>
    <w:rsid w:val="00AD215C"/>
    <w:rsid w:val="00AD2267"/>
    <w:rsid w:val="00AD34D0"/>
    <w:rsid w:val="00AD6371"/>
    <w:rsid w:val="00AD6A47"/>
    <w:rsid w:val="00AD6BA1"/>
    <w:rsid w:val="00AD6BBF"/>
    <w:rsid w:val="00AD702C"/>
    <w:rsid w:val="00AE0E16"/>
    <w:rsid w:val="00AE28A8"/>
    <w:rsid w:val="00AE34A1"/>
    <w:rsid w:val="00AE5768"/>
    <w:rsid w:val="00AE5972"/>
    <w:rsid w:val="00AE5A6A"/>
    <w:rsid w:val="00AE6FEE"/>
    <w:rsid w:val="00AE70F2"/>
    <w:rsid w:val="00B006A1"/>
    <w:rsid w:val="00B02089"/>
    <w:rsid w:val="00B0214B"/>
    <w:rsid w:val="00B049DF"/>
    <w:rsid w:val="00B1003E"/>
    <w:rsid w:val="00B127D5"/>
    <w:rsid w:val="00B13AA5"/>
    <w:rsid w:val="00B15B57"/>
    <w:rsid w:val="00B17B10"/>
    <w:rsid w:val="00B20B4F"/>
    <w:rsid w:val="00B21922"/>
    <w:rsid w:val="00B22419"/>
    <w:rsid w:val="00B239D9"/>
    <w:rsid w:val="00B256EA"/>
    <w:rsid w:val="00B27061"/>
    <w:rsid w:val="00B2768E"/>
    <w:rsid w:val="00B279E5"/>
    <w:rsid w:val="00B303A1"/>
    <w:rsid w:val="00B32B82"/>
    <w:rsid w:val="00B32DE6"/>
    <w:rsid w:val="00B33D87"/>
    <w:rsid w:val="00B346B3"/>
    <w:rsid w:val="00B37DA2"/>
    <w:rsid w:val="00B41083"/>
    <w:rsid w:val="00B44CA4"/>
    <w:rsid w:val="00B44D29"/>
    <w:rsid w:val="00B51D5E"/>
    <w:rsid w:val="00B52DDD"/>
    <w:rsid w:val="00B5448C"/>
    <w:rsid w:val="00B5583B"/>
    <w:rsid w:val="00B62B8B"/>
    <w:rsid w:val="00B62E3A"/>
    <w:rsid w:val="00B64EB6"/>
    <w:rsid w:val="00B657A6"/>
    <w:rsid w:val="00B65DF3"/>
    <w:rsid w:val="00B66742"/>
    <w:rsid w:val="00B67FFD"/>
    <w:rsid w:val="00B70D4A"/>
    <w:rsid w:val="00B7143F"/>
    <w:rsid w:val="00B7188C"/>
    <w:rsid w:val="00B723F0"/>
    <w:rsid w:val="00B74825"/>
    <w:rsid w:val="00B74F6C"/>
    <w:rsid w:val="00B77E87"/>
    <w:rsid w:val="00B8034D"/>
    <w:rsid w:val="00B8562C"/>
    <w:rsid w:val="00B93789"/>
    <w:rsid w:val="00B966D6"/>
    <w:rsid w:val="00BA088C"/>
    <w:rsid w:val="00BA3143"/>
    <w:rsid w:val="00BA41CF"/>
    <w:rsid w:val="00BA442A"/>
    <w:rsid w:val="00BA732E"/>
    <w:rsid w:val="00BA7A68"/>
    <w:rsid w:val="00BB0372"/>
    <w:rsid w:val="00BB2651"/>
    <w:rsid w:val="00BB3023"/>
    <w:rsid w:val="00BB47E7"/>
    <w:rsid w:val="00BB79D5"/>
    <w:rsid w:val="00BC0583"/>
    <w:rsid w:val="00BC1410"/>
    <w:rsid w:val="00BC75BE"/>
    <w:rsid w:val="00BD0ED6"/>
    <w:rsid w:val="00BD3A0E"/>
    <w:rsid w:val="00BD3FDA"/>
    <w:rsid w:val="00BD40ED"/>
    <w:rsid w:val="00BD65A1"/>
    <w:rsid w:val="00BD6C71"/>
    <w:rsid w:val="00BD735A"/>
    <w:rsid w:val="00BE0556"/>
    <w:rsid w:val="00BE2AE2"/>
    <w:rsid w:val="00BE397A"/>
    <w:rsid w:val="00BE54D2"/>
    <w:rsid w:val="00BE573F"/>
    <w:rsid w:val="00BE583D"/>
    <w:rsid w:val="00BE5CEF"/>
    <w:rsid w:val="00BE5F5C"/>
    <w:rsid w:val="00BF1ABA"/>
    <w:rsid w:val="00BF3CDE"/>
    <w:rsid w:val="00BF4618"/>
    <w:rsid w:val="00BF4B4E"/>
    <w:rsid w:val="00BF6376"/>
    <w:rsid w:val="00BF79C7"/>
    <w:rsid w:val="00C00BBB"/>
    <w:rsid w:val="00C018F0"/>
    <w:rsid w:val="00C0249D"/>
    <w:rsid w:val="00C02944"/>
    <w:rsid w:val="00C031DE"/>
    <w:rsid w:val="00C035D0"/>
    <w:rsid w:val="00C05BF4"/>
    <w:rsid w:val="00C07C8C"/>
    <w:rsid w:val="00C12862"/>
    <w:rsid w:val="00C169CE"/>
    <w:rsid w:val="00C16A62"/>
    <w:rsid w:val="00C227CC"/>
    <w:rsid w:val="00C23DE6"/>
    <w:rsid w:val="00C259BA"/>
    <w:rsid w:val="00C26543"/>
    <w:rsid w:val="00C26F4B"/>
    <w:rsid w:val="00C30548"/>
    <w:rsid w:val="00C3092C"/>
    <w:rsid w:val="00C32150"/>
    <w:rsid w:val="00C34CD6"/>
    <w:rsid w:val="00C376BB"/>
    <w:rsid w:val="00C41649"/>
    <w:rsid w:val="00C4212E"/>
    <w:rsid w:val="00C43BF1"/>
    <w:rsid w:val="00C446B0"/>
    <w:rsid w:val="00C52EEF"/>
    <w:rsid w:val="00C53EB7"/>
    <w:rsid w:val="00C5524C"/>
    <w:rsid w:val="00C57604"/>
    <w:rsid w:val="00C57C45"/>
    <w:rsid w:val="00C60116"/>
    <w:rsid w:val="00C608F9"/>
    <w:rsid w:val="00C64D89"/>
    <w:rsid w:val="00C71765"/>
    <w:rsid w:val="00C72C98"/>
    <w:rsid w:val="00C73F93"/>
    <w:rsid w:val="00C76E33"/>
    <w:rsid w:val="00C776C2"/>
    <w:rsid w:val="00C77721"/>
    <w:rsid w:val="00C779EB"/>
    <w:rsid w:val="00C816DA"/>
    <w:rsid w:val="00C86F3D"/>
    <w:rsid w:val="00C9033A"/>
    <w:rsid w:val="00C96476"/>
    <w:rsid w:val="00C96F13"/>
    <w:rsid w:val="00C975B4"/>
    <w:rsid w:val="00CA2295"/>
    <w:rsid w:val="00CA2DDD"/>
    <w:rsid w:val="00CA342D"/>
    <w:rsid w:val="00CA3636"/>
    <w:rsid w:val="00CA531C"/>
    <w:rsid w:val="00CA632F"/>
    <w:rsid w:val="00CB0B92"/>
    <w:rsid w:val="00CB2765"/>
    <w:rsid w:val="00CB3813"/>
    <w:rsid w:val="00CB51E6"/>
    <w:rsid w:val="00CB5D6E"/>
    <w:rsid w:val="00CB6A12"/>
    <w:rsid w:val="00CB7123"/>
    <w:rsid w:val="00CB748C"/>
    <w:rsid w:val="00CC378D"/>
    <w:rsid w:val="00CC471E"/>
    <w:rsid w:val="00CC56B2"/>
    <w:rsid w:val="00CC6923"/>
    <w:rsid w:val="00CD2F48"/>
    <w:rsid w:val="00CD31A1"/>
    <w:rsid w:val="00CD69ED"/>
    <w:rsid w:val="00CE0E9D"/>
    <w:rsid w:val="00CE1D2D"/>
    <w:rsid w:val="00CE2F7E"/>
    <w:rsid w:val="00CE5244"/>
    <w:rsid w:val="00CE7015"/>
    <w:rsid w:val="00CF0ACE"/>
    <w:rsid w:val="00CF3B89"/>
    <w:rsid w:val="00CF476B"/>
    <w:rsid w:val="00CF731D"/>
    <w:rsid w:val="00CF78AD"/>
    <w:rsid w:val="00D04BAD"/>
    <w:rsid w:val="00D07AEA"/>
    <w:rsid w:val="00D1070D"/>
    <w:rsid w:val="00D1300F"/>
    <w:rsid w:val="00D16B74"/>
    <w:rsid w:val="00D20867"/>
    <w:rsid w:val="00D236D8"/>
    <w:rsid w:val="00D25D11"/>
    <w:rsid w:val="00D27ABB"/>
    <w:rsid w:val="00D306DE"/>
    <w:rsid w:val="00D31DE3"/>
    <w:rsid w:val="00D33574"/>
    <w:rsid w:val="00D33AAC"/>
    <w:rsid w:val="00D3482E"/>
    <w:rsid w:val="00D35AA2"/>
    <w:rsid w:val="00D42160"/>
    <w:rsid w:val="00D457FA"/>
    <w:rsid w:val="00D46BB3"/>
    <w:rsid w:val="00D47D73"/>
    <w:rsid w:val="00D50EE5"/>
    <w:rsid w:val="00D53D38"/>
    <w:rsid w:val="00D55988"/>
    <w:rsid w:val="00D574C6"/>
    <w:rsid w:val="00D60B82"/>
    <w:rsid w:val="00D623A6"/>
    <w:rsid w:val="00D623EC"/>
    <w:rsid w:val="00D62637"/>
    <w:rsid w:val="00D63D85"/>
    <w:rsid w:val="00D6530D"/>
    <w:rsid w:val="00D6666A"/>
    <w:rsid w:val="00D66F68"/>
    <w:rsid w:val="00D672C5"/>
    <w:rsid w:val="00D72B72"/>
    <w:rsid w:val="00D753E1"/>
    <w:rsid w:val="00D75511"/>
    <w:rsid w:val="00D76DC9"/>
    <w:rsid w:val="00D85921"/>
    <w:rsid w:val="00D85D41"/>
    <w:rsid w:val="00D9164F"/>
    <w:rsid w:val="00D932EB"/>
    <w:rsid w:val="00D95BED"/>
    <w:rsid w:val="00D97857"/>
    <w:rsid w:val="00DA4BD2"/>
    <w:rsid w:val="00DA6617"/>
    <w:rsid w:val="00DB022D"/>
    <w:rsid w:val="00DB1DB0"/>
    <w:rsid w:val="00DB3338"/>
    <w:rsid w:val="00DB37FF"/>
    <w:rsid w:val="00DB4487"/>
    <w:rsid w:val="00DB45A9"/>
    <w:rsid w:val="00DB4DCD"/>
    <w:rsid w:val="00DB5FEA"/>
    <w:rsid w:val="00DB608F"/>
    <w:rsid w:val="00DB6EDE"/>
    <w:rsid w:val="00DC10F9"/>
    <w:rsid w:val="00DC279B"/>
    <w:rsid w:val="00DC51FA"/>
    <w:rsid w:val="00DC6E26"/>
    <w:rsid w:val="00DC78A1"/>
    <w:rsid w:val="00DC7A51"/>
    <w:rsid w:val="00DD403B"/>
    <w:rsid w:val="00DD5A2F"/>
    <w:rsid w:val="00DD64CC"/>
    <w:rsid w:val="00DE138A"/>
    <w:rsid w:val="00DF6D8B"/>
    <w:rsid w:val="00DF78D2"/>
    <w:rsid w:val="00DF7965"/>
    <w:rsid w:val="00E00FE9"/>
    <w:rsid w:val="00E021E5"/>
    <w:rsid w:val="00E03998"/>
    <w:rsid w:val="00E03E1D"/>
    <w:rsid w:val="00E100A2"/>
    <w:rsid w:val="00E11D2C"/>
    <w:rsid w:val="00E13AAD"/>
    <w:rsid w:val="00E15C9E"/>
    <w:rsid w:val="00E2280A"/>
    <w:rsid w:val="00E23DB6"/>
    <w:rsid w:val="00E244A8"/>
    <w:rsid w:val="00E2699E"/>
    <w:rsid w:val="00E27761"/>
    <w:rsid w:val="00E278C5"/>
    <w:rsid w:val="00E31B7F"/>
    <w:rsid w:val="00E32260"/>
    <w:rsid w:val="00E35037"/>
    <w:rsid w:val="00E460EA"/>
    <w:rsid w:val="00E47CFE"/>
    <w:rsid w:val="00E51370"/>
    <w:rsid w:val="00E56127"/>
    <w:rsid w:val="00E677C4"/>
    <w:rsid w:val="00E706D4"/>
    <w:rsid w:val="00E72F95"/>
    <w:rsid w:val="00E847DA"/>
    <w:rsid w:val="00E84915"/>
    <w:rsid w:val="00E85D0E"/>
    <w:rsid w:val="00E85E24"/>
    <w:rsid w:val="00E872CD"/>
    <w:rsid w:val="00E90B47"/>
    <w:rsid w:val="00E92C99"/>
    <w:rsid w:val="00E938F9"/>
    <w:rsid w:val="00EA4390"/>
    <w:rsid w:val="00EA58B0"/>
    <w:rsid w:val="00EA7779"/>
    <w:rsid w:val="00EB3721"/>
    <w:rsid w:val="00EB4F47"/>
    <w:rsid w:val="00EB5852"/>
    <w:rsid w:val="00EB61F9"/>
    <w:rsid w:val="00EC2BCA"/>
    <w:rsid w:val="00EC3EDD"/>
    <w:rsid w:val="00EC4243"/>
    <w:rsid w:val="00EC5DD2"/>
    <w:rsid w:val="00EC78EA"/>
    <w:rsid w:val="00ED1600"/>
    <w:rsid w:val="00ED1B98"/>
    <w:rsid w:val="00ED1E0C"/>
    <w:rsid w:val="00ED36EB"/>
    <w:rsid w:val="00ED4902"/>
    <w:rsid w:val="00ED5A3B"/>
    <w:rsid w:val="00EE19E9"/>
    <w:rsid w:val="00EE6F85"/>
    <w:rsid w:val="00EE710C"/>
    <w:rsid w:val="00EE7237"/>
    <w:rsid w:val="00EF0ADA"/>
    <w:rsid w:val="00EF3EC3"/>
    <w:rsid w:val="00EF6FBA"/>
    <w:rsid w:val="00EF6FC0"/>
    <w:rsid w:val="00EF799F"/>
    <w:rsid w:val="00F03313"/>
    <w:rsid w:val="00F057A7"/>
    <w:rsid w:val="00F05ADD"/>
    <w:rsid w:val="00F11E3C"/>
    <w:rsid w:val="00F12FEB"/>
    <w:rsid w:val="00F13898"/>
    <w:rsid w:val="00F13C92"/>
    <w:rsid w:val="00F151DD"/>
    <w:rsid w:val="00F20164"/>
    <w:rsid w:val="00F21D11"/>
    <w:rsid w:val="00F225CA"/>
    <w:rsid w:val="00F225D2"/>
    <w:rsid w:val="00F22C15"/>
    <w:rsid w:val="00F2466C"/>
    <w:rsid w:val="00F32F5F"/>
    <w:rsid w:val="00F36245"/>
    <w:rsid w:val="00F365CC"/>
    <w:rsid w:val="00F37343"/>
    <w:rsid w:val="00F37ECF"/>
    <w:rsid w:val="00F44D86"/>
    <w:rsid w:val="00F4582D"/>
    <w:rsid w:val="00F45870"/>
    <w:rsid w:val="00F46139"/>
    <w:rsid w:val="00F46A33"/>
    <w:rsid w:val="00F46F35"/>
    <w:rsid w:val="00F503F1"/>
    <w:rsid w:val="00F51E0F"/>
    <w:rsid w:val="00F51F5D"/>
    <w:rsid w:val="00F555FA"/>
    <w:rsid w:val="00F55BE7"/>
    <w:rsid w:val="00F55E00"/>
    <w:rsid w:val="00F61CE9"/>
    <w:rsid w:val="00F629F0"/>
    <w:rsid w:val="00F728BF"/>
    <w:rsid w:val="00F73B8E"/>
    <w:rsid w:val="00F81DEE"/>
    <w:rsid w:val="00F81ED1"/>
    <w:rsid w:val="00F824D6"/>
    <w:rsid w:val="00F85C20"/>
    <w:rsid w:val="00F860ED"/>
    <w:rsid w:val="00F9193A"/>
    <w:rsid w:val="00F91B66"/>
    <w:rsid w:val="00F9302D"/>
    <w:rsid w:val="00F93B69"/>
    <w:rsid w:val="00F94152"/>
    <w:rsid w:val="00FA08FC"/>
    <w:rsid w:val="00FA1BCB"/>
    <w:rsid w:val="00FA33B9"/>
    <w:rsid w:val="00FA6B6A"/>
    <w:rsid w:val="00FA75D5"/>
    <w:rsid w:val="00FB1578"/>
    <w:rsid w:val="00FB2018"/>
    <w:rsid w:val="00FC1DC7"/>
    <w:rsid w:val="00FC29C0"/>
    <w:rsid w:val="00FC56F2"/>
    <w:rsid w:val="00FD3A30"/>
    <w:rsid w:val="00FD4BCF"/>
    <w:rsid w:val="00FD503E"/>
    <w:rsid w:val="00FE068A"/>
    <w:rsid w:val="00FE0F1F"/>
    <w:rsid w:val="00FE5E17"/>
    <w:rsid w:val="00FE73B0"/>
    <w:rsid w:val="00FE78CB"/>
    <w:rsid w:val="00FF2BB5"/>
    <w:rsid w:val="00FF72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7966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index heading" w:uiPriority="0"/>
    <w:lsdException w:name="caption" w:uiPriority="0" w:qFormat="1"/>
    <w:lsdException w:name="envelope address" w:uiPriority="0"/>
    <w:lsdException w:name="envelope return" w:uiPriority="0"/>
    <w:lsdException w:name="footnote reference" w:uiPriority="0"/>
    <w:lsdException w:name="line number" w:uiPriority="0"/>
    <w:lsdException w:name="page number" w:uiPriority="0"/>
    <w:lsdException w:name="macro" w:uiPriority="0"/>
    <w:lsdException w:name="toa heading"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Title" w:semiHidden="0" w:uiPriority="0" w:unhideWhenUsed="0" w:qFormat="1"/>
    <w:lsdException w:name="Closing" w:uiPriority="0"/>
    <w:lsdException w:name="Default Paragraph Font" w:uiPriority="1"/>
    <w:lsdException w:name="Body Text Indent" w:uiPriority="0"/>
    <w:lsdException w:name="List Continue" w:uiPriority="0"/>
    <w:lsdException w:name="Message Header"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Outline List 2" w:uiPriority="0"/>
    <w:lsdException w:name="Outline List 3" w:uiPriority="0"/>
    <w:lsdException w:name="Table Grid 1" w:uiPriority="0"/>
    <w:lsdException w:name="Table Grid 8" w:uiPriority="0"/>
    <w:lsdException w:name="Table List 1" w:uiPriority="0"/>
    <w:lsdException w:name="Table List 6" w:uiPriority="0"/>
    <w:lsdException w:name="Table Professional" w:uiPriority="0"/>
    <w:lsdException w:name="Table Web 2" w:uiPriority="0"/>
    <w:lsdException w:name="Table Web 3" w:uiPriority="0"/>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nhideWhenUsed="0" w:qFormat="1"/>
    <w:lsdException w:name="Bibliography" w:uiPriority="37"/>
    <w:lsdException w:name="TOC Heading" w:uiPriority="39" w:qFormat="1"/>
  </w:latentStyles>
  <w:style w:type="paragraph" w:default="1" w:styleId="Normal">
    <w:name w:val="Normal"/>
    <w:qFormat/>
    <w:rsid w:val="00410DD2"/>
  </w:style>
  <w:style w:type="paragraph" w:styleId="Heading1">
    <w:name w:val="heading 1"/>
    <w:basedOn w:val="Normal"/>
    <w:next w:val="Normal"/>
    <w:link w:val="Heading1Char"/>
    <w:qFormat/>
    <w:rsid w:val="00860C32"/>
    <w:pPr>
      <w:keepNext/>
      <w:numPr>
        <w:ilvl w:val="1"/>
        <w:numId w:val="6"/>
      </w:numPr>
      <w:suppressAutoHyphens/>
      <w:spacing w:before="360" w:after="360" w:line="240" w:lineRule="auto"/>
      <w:outlineLvl w:val="0"/>
    </w:pPr>
    <w:rPr>
      <w:rFonts w:asciiTheme="majorHAnsi" w:eastAsia="Times New Roman" w:hAnsiTheme="majorHAnsi" w:cs="Tahoma"/>
      <w:b/>
      <w:bCs/>
      <w:i/>
      <w:noProof/>
      <w:color w:val="4F81BD"/>
      <w:szCs w:val="18"/>
      <w:lang w:val="sr-Cyrl-CS" w:eastAsia="ar-SA"/>
    </w:rPr>
  </w:style>
  <w:style w:type="paragraph" w:styleId="Heading2">
    <w:name w:val="heading 2"/>
    <w:aliases w:val="Char, Char"/>
    <w:basedOn w:val="Normal"/>
    <w:next w:val="Normal"/>
    <w:link w:val="Heading2Char"/>
    <w:uiPriority w:val="9"/>
    <w:qFormat/>
    <w:rsid w:val="005353CD"/>
    <w:pPr>
      <w:keepNext/>
      <w:numPr>
        <w:ilvl w:val="1"/>
        <w:numId w:val="1"/>
      </w:numPr>
      <w:suppressAutoHyphens/>
      <w:spacing w:after="0" w:line="240" w:lineRule="auto"/>
      <w:outlineLvl w:val="1"/>
    </w:pPr>
    <w:rPr>
      <w:rFonts w:ascii="Times New Roman" w:eastAsia="Times New Roman" w:hAnsi="Times New Roman" w:cs="Times New Roman"/>
      <w:b/>
      <w:bCs/>
      <w:sz w:val="24"/>
      <w:szCs w:val="24"/>
      <w:lang w:val="sr-Latn-CS" w:eastAsia="ar-SA"/>
    </w:rPr>
  </w:style>
  <w:style w:type="paragraph" w:styleId="Heading3">
    <w:name w:val="heading 3"/>
    <w:basedOn w:val="Normal"/>
    <w:next w:val="Normal"/>
    <w:link w:val="Heading3Char"/>
    <w:qFormat/>
    <w:rsid w:val="005353CD"/>
    <w:pPr>
      <w:keepNext/>
      <w:numPr>
        <w:ilvl w:val="2"/>
        <w:numId w:val="1"/>
      </w:numPr>
      <w:suppressAutoHyphens/>
      <w:spacing w:after="0" w:line="240" w:lineRule="auto"/>
      <w:outlineLvl w:val="2"/>
    </w:pPr>
    <w:rPr>
      <w:rFonts w:ascii="Times New Roman" w:eastAsia="Times New Roman" w:hAnsi="Times New Roman" w:cs="Times New Roman"/>
      <w:b/>
      <w:bCs/>
      <w:sz w:val="24"/>
      <w:szCs w:val="24"/>
      <w:lang w:val="sr-Latn-CS" w:eastAsia="ar-SA"/>
    </w:rPr>
  </w:style>
  <w:style w:type="paragraph" w:styleId="Heading4">
    <w:name w:val="heading 4"/>
    <w:basedOn w:val="Normal"/>
    <w:next w:val="Normal"/>
    <w:link w:val="Heading4Char"/>
    <w:qFormat/>
    <w:rsid w:val="005353CD"/>
    <w:pPr>
      <w:keepNext/>
      <w:numPr>
        <w:ilvl w:val="3"/>
        <w:numId w:val="1"/>
      </w:numPr>
      <w:suppressAutoHyphens/>
      <w:spacing w:after="0" w:line="240" w:lineRule="auto"/>
      <w:jc w:val="both"/>
      <w:outlineLvl w:val="3"/>
    </w:pPr>
    <w:rPr>
      <w:rFonts w:ascii="Times New Roman" w:eastAsia="Times New Roman" w:hAnsi="Times New Roman" w:cs="Times New Roman"/>
      <w:b/>
      <w:bCs/>
      <w:sz w:val="24"/>
      <w:szCs w:val="24"/>
      <w:lang w:val="sr-Latn-CS" w:eastAsia="ar-SA"/>
    </w:rPr>
  </w:style>
  <w:style w:type="paragraph" w:styleId="Heading5">
    <w:name w:val="heading 5"/>
    <w:basedOn w:val="Normal"/>
    <w:next w:val="Normal"/>
    <w:link w:val="Heading5Char"/>
    <w:qFormat/>
    <w:rsid w:val="005353CD"/>
    <w:pPr>
      <w:numPr>
        <w:ilvl w:val="4"/>
        <w:numId w:val="1"/>
      </w:numPr>
      <w:suppressAutoHyphens/>
      <w:spacing w:before="240" w:after="60" w:line="240" w:lineRule="auto"/>
      <w:outlineLvl w:val="4"/>
    </w:pPr>
    <w:rPr>
      <w:rFonts w:ascii="Times New Roman" w:eastAsia="Times New Roman" w:hAnsi="Times New Roman" w:cs="Times New Roman"/>
      <w:b/>
      <w:bCs/>
      <w:i/>
      <w:iCs/>
      <w:sz w:val="26"/>
      <w:szCs w:val="26"/>
      <w:lang w:eastAsia="ar-SA"/>
    </w:rPr>
  </w:style>
  <w:style w:type="paragraph" w:styleId="Heading6">
    <w:name w:val="heading 6"/>
    <w:basedOn w:val="Normal"/>
    <w:next w:val="Normal"/>
    <w:link w:val="Heading6Char"/>
    <w:qFormat/>
    <w:rsid w:val="005353CD"/>
    <w:pPr>
      <w:numPr>
        <w:ilvl w:val="5"/>
        <w:numId w:val="1"/>
      </w:numPr>
      <w:suppressAutoHyphens/>
      <w:spacing w:before="240" w:after="60" w:line="240" w:lineRule="auto"/>
      <w:outlineLvl w:val="5"/>
    </w:pPr>
    <w:rPr>
      <w:rFonts w:ascii="Times New Roman" w:eastAsia="Times New Roman" w:hAnsi="Times New Roman" w:cs="Times New Roman"/>
      <w:b/>
      <w:bCs/>
      <w:lang w:eastAsia="ar-SA"/>
    </w:rPr>
  </w:style>
  <w:style w:type="paragraph" w:styleId="Heading7">
    <w:name w:val="heading 7"/>
    <w:basedOn w:val="Normal"/>
    <w:next w:val="Normal"/>
    <w:link w:val="Heading7Char"/>
    <w:qFormat/>
    <w:rsid w:val="005353CD"/>
    <w:pPr>
      <w:numPr>
        <w:ilvl w:val="6"/>
        <w:numId w:val="1"/>
      </w:numPr>
      <w:suppressAutoHyphens/>
      <w:spacing w:before="240" w:after="60" w:line="240" w:lineRule="auto"/>
      <w:outlineLvl w:val="6"/>
    </w:pPr>
    <w:rPr>
      <w:rFonts w:ascii="Times New Roman" w:eastAsia="Times New Roman" w:hAnsi="Times New Roman" w:cs="Times New Roman"/>
      <w:sz w:val="24"/>
      <w:szCs w:val="24"/>
      <w:lang w:eastAsia="ar-SA"/>
    </w:rPr>
  </w:style>
  <w:style w:type="paragraph" w:styleId="Heading8">
    <w:name w:val="heading 8"/>
    <w:basedOn w:val="Normal"/>
    <w:next w:val="Normal"/>
    <w:link w:val="Heading8Char"/>
    <w:qFormat/>
    <w:rsid w:val="005353CD"/>
    <w:pPr>
      <w:numPr>
        <w:ilvl w:val="7"/>
        <w:numId w:val="1"/>
      </w:numPr>
      <w:suppressAutoHyphens/>
      <w:spacing w:before="240" w:after="60" w:line="240" w:lineRule="auto"/>
      <w:outlineLvl w:val="7"/>
    </w:pPr>
    <w:rPr>
      <w:rFonts w:ascii="Times New Roman" w:eastAsia="Times New Roman" w:hAnsi="Times New Roman" w:cs="Times New Roman"/>
      <w:i/>
      <w:iCs/>
      <w:sz w:val="24"/>
      <w:szCs w:val="24"/>
      <w:lang w:eastAsia="ar-SA"/>
    </w:rPr>
  </w:style>
  <w:style w:type="paragraph" w:styleId="Heading9">
    <w:name w:val="heading 9"/>
    <w:basedOn w:val="Normal"/>
    <w:next w:val="Normal"/>
    <w:link w:val="Heading9Char"/>
    <w:qFormat/>
    <w:rsid w:val="005353CD"/>
    <w:pPr>
      <w:numPr>
        <w:ilvl w:val="8"/>
        <w:numId w:val="1"/>
      </w:numPr>
      <w:suppressAutoHyphens/>
      <w:spacing w:before="240" w:after="60" w:line="240" w:lineRule="auto"/>
      <w:outlineLvl w:val="8"/>
    </w:pPr>
    <w:rPr>
      <w:rFonts w:ascii="Arial" w:eastAsia="Times New Roman" w:hAnsi="Arial" w:cs="Arial"/>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856492"/>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856492"/>
    <w:rPr>
      <w:rFonts w:eastAsiaTheme="minorEastAsia"/>
      <w:lang w:val="en-US" w:eastAsia="ja-JP"/>
    </w:rPr>
  </w:style>
  <w:style w:type="paragraph" w:styleId="BalloonText">
    <w:name w:val="Balloon Text"/>
    <w:basedOn w:val="Normal"/>
    <w:link w:val="BalloonTextChar"/>
    <w:uiPriority w:val="99"/>
    <w:unhideWhenUsed/>
    <w:rsid w:val="008564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6492"/>
    <w:rPr>
      <w:rFonts w:ascii="Tahoma" w:hAnsi="Tahoma" w:cs="Tahoma"/>
      <w:sz w:val="16"/>
      <w:szCs w:val="16"/>
    </w:rPr>
  </w:style>
  <w:style w:type="table" w:styleId="TableGrid">
    <w:name w:val="Table Grid"/>
    <w:basedOn w:val="TableNormal"/>
    <w:uiPriority w:val="59"/>
    <w:rsid w:val="008564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56492"/>
    <w:pPr>
      <w:tabs>
        <w:tab w:val="center" w:pos="4536"/>
        <w:tab w:val="right" w:pos="9072"/>
      </w:tabs>
      <w:spacing w:after="0" w:line="240" w:lineRule="auto"/>
    </w:pPr>
  </w:style>
  <w:style w:type="character" w:customStyle="1" w:styleId="HeaderChar">
    <w:name w:val="Header Char"/>
    <w:basedOn w:val="DefaultParagraphFont"/>
    <w:link w:val="Header"/>
    <w:uiPriority w:val="99"/>
    <w:rsid w:val="00856492"/>
  </w:style>
  <w:style w:type="paragraph" w:styleId="Footer">
    <w:name w:val="footer"/>
    <w:basedOn w:val="Normal"/>
    <w:link w:val="FooterChar"/>
    <w:unhideWhenUsed/>
    <w:rsid w:val="00856492"/>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6492"/>
  </w:style>
  <w:style w:type="character" w:styleId="Hyperlink">
    <w:name w:val="Hyperlink"/>
    <w:uiPriority w:val="99"/>
    <w:rsid w:val="00856492"/>
    <w:rPr>
      <w:color w:val="333366"/>
      <w:u w:val="none"/>
      <w:effect w:val="none"/>
    </w:rPr>
  </w:style>
  <w:style w:type="paragraph" w:customStyle="1" w:styleId="2909F619802848F09E01365C32F34654">
    <w:name w:val="2909F619802848F09E01365C32F34654"/>
    <w:rsid w:val="00856492"/>
    <w:rPr>
      <w:rFonts w:eastAsiaTheme="minorEastAsia"/>
      <w:lang w:eastAsia="ja-JP"/>
    </w:rPr>
  </w:style>
  <w:style w:type="character" w:customStyle="1" w:styleId="Heading1Char">
    <w:name w:val="Heading 1 Char"/>
    <w:basedOn w:val="DefaultParagraphFont"/>
    <w:link w:val="Heading1"/>
    <w:rsid w:val="00860C32"/>
    <w:rPr>
      <w:rFonts w:asciiTheme="majorHAnsi" w:eastAsia="Times New Roman" w:hAnsiTheme="majorHAnsi" w:cs="Tahoma"/>
      <w:b/>
      <w:bCs/>
      <w:i/>
      <w:noProof/>
      <w:color w:val="4F81BD"/>
      <w:szCs w:val="18"/>
      <w:lang w:val="sr-Cyrl-CS" w:eastAsia="ar-SA"/>
    </w:rPr>
  </w:style>
  <w:style w:type="character" w:customStyle="1" w:styleId="Heading2Char">
    <w:name w:val="Heading 2 Char"/>
    <w:aliases w:val="Char Char, Char Char"/>
    <w:basedOn w:val="DefaultParagraphFont"/>
    <w:link w:val="Heading2"/>
    <w:uiPriority w:val="9"/>
    <w:rsid w:val="005353CD"/>
    <w:rPr>
      <w:rFonts w:ascii="Times New Roman" w:eastAsia="Times New Roman" w:hAnsi="Times New Roman" w:cs="Times New Roman"/>
      <w:b/>
      <w:bCs/>
      <w:sz w:val="24"/>
      <w:szCs w:val="24"/>
      <w:lang w:val="sr-Latn-CS" w:eastAsia="ar-SA"/>
    </w:rPr>
  </w:style>
  <w:style w:type="character" w:customStyle="1" w:styleId="Heading3Char">
    <w:name w:val="Heading 3 Char"/>
    <w:basedOn w:val="DefaultParagraphFont"/>
    <w:link w:val="Heading3"/>
    <w:rsid w:val="005353CD"/>
    <w:rPr>
      <w:rFonts w:ascii="Times New Roman" w:eastAsia="Times New Roman" w:hAnsi="Times New Roman" w:cs="Times New Roman"/>
      <w:b/>
      <w:bCs/>
      <w:sz w:val="24"/>
      <w:szCs w:val="24"/>
      <w:lang w:val="sr-Latn-CS" w:eastAsia="ar-SA"/>
    </w:rPr>
  </w:style>
  <w:style w:type="character" w:customStyle="1" w:styleId="Heading4Char">
    <w:name w:val="Heading 4 Char"/>
    <w:basedOn w:val="DefaultParagraphFont"/>
    <w:link w:val="Heading4"/>
    <w:rsid w:val="005353CD"/>
    <w:rPr>
      <w:rFonts w:ascii="Times New Roman" w:eastAsia="Times New Roman" w:hAnsi="Times New Roman" w:cs="Times New Roman"/>
      <w:b/>
      <w:bCs/>
      <w:sz w:val="24"/>
      <w:szCs w:val="24"/>
      <w:lang w:val="sr-Latn-CS" w:eastAsia="ar-SA"/>
    </w:rPr>
  </w:style>
  <w:style w:type="character" w:customStyle="1" w:styleId="Heading5Char">
    <w:name w:val="Heading 5 Char"/>
    <w:basedOn w:val="DefaultParagraphFont"/>
    <w:link w:val="Heading5"/>
    <w:rsid w:val="005353CD"/>
    <w:rPr>
      <w:rFonts w:ascii="Times New Roman" w:eastAsia="Times New Roman" w:hAnsi="Times New Roman" w:cs="Times New Roman"/>
      <w:b/>
      <w:bCs/>
      <w:i/>
      <w:iCs/>
      <w:sz w:val="26"/>
      <w:szCs w:val="26"/>
      <w:lang w:eastAsia="ar-SA"/>
    </w:rPr>
  </w:style>
  <w:style w:type="character" w:customStyle="1" w:styleId="Heading6Char">
    <w:name w:val="Heading 6 Char"/>
    <w:basedOn w:val="DefaultParagraphFont"/>
    <w:link w:val="Heading6"/>
    <w:rsid w:val="005353CD"/>
    <w:rPr>
      <w:rFonts w:ascii="Times New Roman" w:eastAsia="Times New Roman" w:hAnsi="Times New Roman" w:cs="Times New Roman"/>
      <w:b/>
      <w:bCs/>
      <w:lang w:eastAsia="ar-SA"/>
    </w:rPr>
  </w:style>
  <w:style w:type="character" w:customStyle="1" w:styleId="Heading7Char">
    <w:name w:val="Heading 7 Char"/>
    <w:basedOn w:val="DefaultParagraphFont"/>
    <w:link w:val="Heading7"/>
    <w:rsid w:val="005353CD"/>
    <w:rPr>
      <w:rFonts w:ascii="Times New Roman" w:eastAsia="Times New Roman" w:hAnsi="Times New Roman" w:cs="Times New Roman"/>
      <w:sz w:val="24"/>
      <w:szCs w:val="24"/>
      <w:lang w:eastAsia="ar-SA"/>
    </w:rPr>
  </w:style>
  <w:style w:type="character" w:customStyle="1" w:styleId="Heading8Char">
    <w:name w:val="Heading 8 Char"/>
    <w:basedOn w:val="DefaultParagraphFont"/>
    <w:link w:val="Heading8"/>
    <w:rsid w:val="005353CD"/>
    <w:rPr>
      <w:rFonts w:ascii="Times New Roman" w:eastAsia="Times New Roman" w:hAnsi="Times New Roman" w:cs="Times New Roman"/>
      <w:i/>
      <w:iCs/>
      <w:sz w:val="24"/>
      <w:szCs w:val="24"/>
      <w:lang w:eastAsia="ar-SA"/>
    </w:rPr>
  </w:style>
  <w:style w:type="character" w:customStyle="1" w:styleId="Heading9Char">
    <w:name w:val="Heading 9 Char"/>
    <w:basedOn w:val="DefaultParagraphFont"/>
    <w:link w:val="Heading9"/>
    <w:rsid w:val="005353CD"/>
    <w:rPr>
      <w:rFonts w:ascii="Arial" w:eastAsia="Times New Roman" w:hAnsi="Arial" w:cs="Arial"/>
      <w:lang w:eastAsia="ar-SA"/>
    </w:rPr>
  </w:style>
  <w:style w:type="paragraph" w:styleId="Subtitle">
    <w:name w:val="Subtitle"/>
    <w:basedOn w:val="Normal"/>
    <w:next w:val="BodyText"/>
    <w:link w:val="SubtitleChar"/>
    <w:qFormat/>
    <w:rsid w:val="005353CD"/>
    <w:pPr>
      <w:keepNext/>
      <w:suppressAutoHyphens/>
      <w:spacing w:before="240" w:after="120" w:line="240" w:lineRule="auto"/>
      <w:jc w:val="center"/>
    </w:pPr>
    <w:rPr>
      <w:rFonts w:ascii="Arial" w:eastAsia="MS Mincho" w:hAnsi="Arial" w:cs="Arial"/>
      <w:i/>
      <w:iCs/>
      <w:sz w:val="28"/>
      <w:szCs w:val="28"/>
      <w:lang w:eastAsia="ar-SA"/>
    </w:rPr>
  </w:style>
  <w:style w:type="character" w:customStyle="1" w:styleId="SubtitleChar">
    <w:name w:val="Subtitle Char"/>
    <w:basedOn w:val="DefaultParagraphFont"/>
    <w:link w:val="Subtitle"/>
    <w:rsid w:val="005353CD"/>
    <w:rPr>
      <w:rFonts w:ascii="Arial" w:eastAsia="MS Mincho" w:hAnsi="Arial" w:cs="Arial"/>
      <w:i/>
      <w:iCs/>
      <w:sz w:val="28"/>
      <w:szCs w:val="28"/>
      <w:lang w:val="en-US" w:eastAsia="ar-SA"/>
    </w:rPr>
  </w:style>
  <w:style w:type="paragraph" w:styleId="BodyText">
    <w:name w:val="Body Text"/>
    <w:aliases w:val="Char1, Char5"/>
    <w:basedOn w:val="Normal"/>
    <w:link w:val="BodyTextChar"/>
    <w:uiPriority w:val="99"/>
    <w:unhideWhenUsed/>
    <w:rsid w:val="005353CD"/>
    <w:pPr>
      <w:spacing w:after="120"/>
    </w:pPr>
  </w:style>
  <w:style w:type="character" w:customStyle="1" w:styleId="BodyTextChar">
    <w:name w:val="Body Text Char"/>
    <w:aliases w:val="Char1 Char, Char5 Char"/>
    <w:basedOn w:val="DefaultParagraphFont"/>
    <w:link w:val="BodyText"/>
    <w:uiPriority w:val="99"/>
    <w:rsid w:val="005353CD"/>
  </w:style>
  <w:style w:type="character" w:styleId="IntenseEmphasis">
    <w:name w:val="Intense Emphasis"/>
    <w:basedOn w:val="DefaultParagraphFont"/>
    <w:uiPriority w:val="21"/>
    <w:qFormat/>
    <w:rsid w:val="002A54DA"/>
    <w:rPr>
      <w:b/>
      <w:bCs/>
      <w:i/>
      <w:iCs/>
      <w:color w:val="4F81BD" w:themeColor="accent1"/>
    </w:rPr>
  </w:style>
  <w:style w:type="paragraph" w:styleId="ListParagraph">
    <w:name w:val="List Paragraph"/>
    <w:basedOn w:val="Normal"/>
    <w:link w:val="ListParagraphChar"/>
    <w:uiPriority w:val="34"/>
    <w:qFormat/>
    <w:rsid w:val="00003262"/>
    <w:pPr>
      <w:ind w:left="720"/>
      <w:contextualSpacing/>
    </w:pPr>
  </w:style>
  <w:style w:type="table" w:styleId="ColorfulGrid-Accent1">
    <w:name w:val="Colorful Grid Accent 1"/>
    <w:basedOn w:val="TableNormal"/>
    <w:uiPriority w:val="73"/>
    <w:rsid w:val="00A12FD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LightShading-Accent11">
    <w:name w:val="Light Shading - Accent 11"/>
    <w:basedOn w:val="TableNormal"/>
    <w:uiPriority w:val="60"/>
    <w:rsid w:val="00A12FD6"/>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Poudarek">
    <w:name w:val="Poudarek"/>
    <w:basedOn w:val="Normal"/>
    <w:rsid w:val="00DB4DCD"/>
    <w:pPr>
      <w:spacing w:after="0" w:line="240" w:lineRule="auto"/>
      <w:jc w:val="right"/>
    </w:pPr>
    <w:rPr>
      <w:rFonts w:ascii="Arial" w:eastAsia="Times New Roman" w:hAnsi="Arial" w:cs="Arial"/>
      <w:b/>
      <w:bCs/>
      <w:color w:val="000080"/>
      <w:sz w:val="16"/>
      <w:szCs w:val="20"/>
      <w:lang w:val="sl-SI"/>
    </w:rPr>
  </w:style>
  <w:style w:type="paragraph" w:styleId="TOCHeading">
    <w:name w:val="TOC Heading"/>
    <w:basedOn w:val="Heading1"/>
    <w:next w:val="Normal"/>
    <w:uiPriority w:val="39"/>
    <w:unhideWhenUsed/>
    <w:qFormat/>
    <w:rsid w:val="00801C6B"/>
    <w:pPr>
      <w:keepLines/>
      <w:numPr>
        <w:numId w:val="0"/>
      </w:numPr>
      <w:suppressAutoHyphens w:val="0"/>
      <w:spacing w:before="480" w:line="276" w:lineRule="auto"/>
      <w:outlineLvl w:val="9"/>
    </w:pPr>
    <w:rPr>
      <w:rFonts w:eastAsiaTheme="majorEastAsia" w:cstheme="majorBidi"/>
      <w:color w:val="365F91" w:themeColor="accent1" w:themeShade="BF"/>
      <w:sz w:val="28"/>
      <w:szCs w:val="28"/>
      <w:lang w:eastAsia="ja-JP"/>
    </w:rPr>
  </w:style>
  <w:style w:type="paragraph" w:styleId="TOC1">
    <w:name w:val="toc 1"/>
    <w:basedOn w:val="Normal"/>
    <w:next w:val="Normal"/>
    <w:autoRedefine/>
    <w:uiPriority w:val="39"/>
    <w:unhideWhenUsed/>
    <w:qFormat/>
    <w:rsid w:val="007438DB"/>
    <w:pPr>
      <w:tabs>
        <w:tab w:val="left" w:pos="440"/>
        <w:tab w:val="right" w:leader="dot" w:pos="9062"/>
      </w:tabs>
      <w:spacing w:after="100"/>
      <w:ind w:left="425" w:hanging="425"/>
    </w:pPr>
    <w:rPr>
      <w:rFonts w:asciiTheme="majorHAnsi" w:hAnsiTheme="majorHAnsi" w:cs="Tahoma"/>
      <w:b/>
      <w:i/>
      <w:noProof/>
      <w:color w:val="365F91" w:themeColor="accent1" w:themeShade="BF"/>
      <w:sz w:val="20"/>
    </w:rPr>
  </w:style>
  <w:style w:type="table" w:customStyle="1" w:styleId="MediumList1-Accent11">
    <w:name w:val="Medium List 1 - Accent 11"/>
    <w:basedOn w:val="TableNormal"/>
    <w:uiPriority w:val="65"/>
    <w:rsid w:val="00EE19E9"/>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
    <w:name w:val="Medium List 1 - Accent 111"/>
    <w:basedOn w:val="TableNormal"/>
    <w:uiPriority w:val="65"/>
    <w:rsid w:val="00BA732E"/>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paragraph" w:styleId="TOC3">
    <w:name w:val="toc 3"/>
    <w:basedOn w:val="Normal"/>
    <w:next w:val="Normal"/>
    <w:autoRedefine/>
    <w:uiPriority w:val="39"/>
    <w:unhideWhenUsed/>
    <w:qFormat/>
    <w:rsid w:val="001A3F64"/>
    <w:pPr>
      <w:spacing w:after="100"/>
      <w:ind w:left="440"/>
    </w:pPr>
  </w:style>
  <w:style w:type="character" w:customStyle="1" w:styleId="ListParagraphChar">
    <w:name w:val="List Paragraph Char"/>
    <w:link w:val="ListParagraph"/>
    <w:uiPriority w:val="34"/>
    <w:locked/>
    <w:rsid w:val="007D05A5"/>
  </w:style>
  <w:style w:type="table" w:styleId="LightShading-Accent2">
    <w:name w:val="Light Shading Accent 2"/>
    <w:basedOn w:val="TableNormal"/>
    <w:uiPriority w:val="60"/>
    <w:rsid w:val="00CE5244"/>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ColorfulList-Accent1">
    <w:name w:val="Colorful List Accent 1"/>
    <w:basedOn w:val="TableNormal"/>
    <w:uiPriority w:val="72"/>
    <w:rsid w:val="00095D5A"/>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customStyle="1" w:styleId="MediumList1-Accent112">
    <w:name w:val="Medium List 1 - Accent 112"/>
    <w:basedOn w:val="TableNormal"/>
    <w:uiPriority w:val="65"/>
    <w:rsid w:val="00EC424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3">
    <w:name w:val="Medium List 1 - Accent 113"/>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4">
    <w:name w:val="Medium List 1 - Accent 114"/>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5">
    <w:name w:val="Medium List 1 - Accent 115"/>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6">
    <w:name w:val="Medium List 1 - Accent 116"/>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7">
    <w:name w:val="Medium List 1 - Accent 117"/>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8">
    <w:name w:val="Medium List 1 - Accent 118"/>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9">
    <w:name w:val="Medium List 1 - Accent 119"/>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0">
    <w:name w:val="Medium List 1 - Accent 1110"/>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1">
    <w:name w:val="Medium List 1 - Accent 1111"/>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2">
    <w:name w:val="Medium List 1 - Accent 1112"/>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3">
    <w:name w:val="Medium List 1 - Accent 1113"/>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4">
    <w:name w:val="Medium List 1 - Accent 1114"/>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5">
    <w:name w:val="Medium List 1 - Accent 1115"/>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character" w:customStyle="1" w:styleId="WW8Num2z0">
    <w:name w:val="WW8Num2z0"/>
    <w:rsid w:val="008C2B46"/>
    <w:rPr>
      <w:rFonts w:ascii="Symbol" w:hAnsi="Symbol" w:cs="Symbol"/>
      <w:color w:val="auto"/>
      <w:sz w:val="24"/>
      <w:szCs w:val="24"/>
    </w:rPr>
  </w:style>
  <w:style w:type="character" w:customStyle="1" w:styleId="WW8Num4z0">
    <w:name w:val="WW8Num4z0"/>
    <w:rsid w:val="008C2B46"/>
    <w:rPr>
      <w:rFonts w:ascii="Wingdings" w:hAnsi="Wingdings" w:cs="Wingdings"/>
    </w:rPr>
  </w:style>
  <w:style w:type="character" w:customStyle="1" w:styleId="WW8Num5z0">
    <w:name w:val="WW8Num5z0"/>
    <w:rsid w:val="008C2B46"/>
    <w:rPr>
      <w:rFonts w:ascii="Symbol" w:hAnsi="Symbol" w:cs="Symbol"/>
    </w:rPr>
  </w:style>
  <w:style w:type="character" w:customStyle="1" w:styleId="WW8Num5z1">
    <w:name w:val="WW8Num5z1"/>
    <w:rsid w:val="008C2B46"/>
    <w:rPr>
      <w:rFonts w:ascii="Times New Roman" w:hAnsi="Times New Roman" w:cs="Times New Roman"/>
    </w:rPr>
  </w:style>
  <w:style w:type="character" w:customStyle="1" w:styleId="WW8Num5z2">
    <w:name w:val="WW8Num5z2"/>
    <w:rsid w:val="008C2B46"/>
    <w:rPr>
      <w:rFonts w:ascii="Wingdings" w:hAnsi="Wingdings" w:cs="Wingdings"/>
    </w:rPr>
  </w:style>
  <w:style w:type="character" w:customStyle="1" w:styleId="WW8Num5z4">
    <w:name w:val="WW8Num5z4"/>
    <w:rsid w:val="008C2B46"/>
    <w:rPr>
      <w:rFonts w:ascii="Courier New" w:hAnsi="Courier New" w:cs="Courier New"/>
    </w:rPr>
  </w:style>
  <w:style w:type="character" w:customStyle="1" w:styleId="Absatz-Standardschriftart">
    <w:name w:val="Absatz-Standardschriftart"/>
    <w:rsid w:val="008C2B46"/>
  </w:style>
  <w:style w:type="character" w:customStyle="1" w:styleId="WW8Num1z0">
    <w:name w:val="WW8Num1z0"/>
    <w:rsid w:val="008C2B46"/>
    <w:rPr>
      <w:rFonts w:ascii="Symbol" w:hAnsi="Symbol" w:cs="Symbol"/>
    </w:rPr>
  </w:style>
  <w:style w:type="character" w:customStyle="1" w:styleId="WW8Num1z1">
    <w:name w:val="WW8Num1z1"/>
    <w:rsid w:val="008C2B46"/>
    <w:rPr>
      <w:rFonts w:ascii="Courier New" w:hAnsi="Courier New" w:cs="Courier New"/>
    </w:rPr>
  </w:style>
  <w:style w:type="character" w:customStyle="1" w:styleId="WW8Num1z2">
    <w:name w:val="WW8Num1z2"/>
    <w:rsid w:val="008C2B46"/>
    <w:rPr>
      <w:rFonts w:ascii="Wingdings" w:hAnsi="Wingdings" w:cs="Wingdings"/>
    </w:rPr>
  </w:style>
  <w:style w:type="character" w:customStyle="1" w:styleId="WW8Num2z1">
    <w:name w:val="WW8Num2z1"/>
    <w:rsid w:val="008C2B46"/>
    <w:rPr>
      <w:rFonts w:ascii="Courier New" w:hAnsi="Courier New" w:cs="Courier New"/>
    </w:rPr>
  </w:style>
  <w:style w:type="character" w:customStyle="1" w:styleId="WW8Num2z2">
    <w:name w:val="WW8Num2z2"/>
    <w:rsid w:val="008C2B46"/>
    <w:rPr>
      <w:rFonts w:ascii="Wingdings" w:hAnsi="Wingdings" w:cs="Wingdings"/>
    </w:rPr>
  </w:style>
  <w:style w:type="character" w:customStyle="1" w:styleId="WW8Num2z3">
    <w:name w:val="WW8Num2z3"/>
    <w:rsid w:val="008C2B46"/>
    <w:rPr>
      <w:rFonts w:ascii="Symbol" w:hAnsi="Symbol" w:cs="Symbol"/>
    </w:rPr>
  </w:style>
  <w:style w:type="character" w:customStyle="1" w:styleId="WW8Num3z0">
    <w:name w:val="WW8Num3z0"/>
    <w:rsid w:val="008C2B46"/>
    <w:rPr>
      <w:u w:val="none"/>
    </w:rPr>
  </w:style>
  <w:style w:type="character" w:customStyle="1" w:styleId="WW8Num4z1">
    <w:name w:val="WW8Num4z1"/>
    <w:rsid w:val="008C2B46"/>
    <w:rPr>
      <w:rFonts w:ascii="Courier New" w:hAnsi="Courier New" w:cs="Courier New"/>
    </w:rPr>
  </w:style>
  <w:style w:type="character" w:customStyle="1" w:styleId="WW8Num4z3">
    <w:name w:val="WW8Num4z3"/>
    <w:rsid w:val="008C2B46"/>
    <w:rPr>
      <w:rFonts w:ascii="Symbol" w:hAnsi="Symbol" w:cs="Symbol"/>
    </w:rPr>
  </w:style>
  <w:style w:type="character" w:customStyle="1" w:styleId="WW8Num7z0">
    <w:name w:val="WW8Num7z0"/>
    <w:rsid w:val="008C2B46"/>
    <w:rPr>
      <w:rFonts w:ascii="Symbol" w:hAnsi="Symbol" w:cs="Symbol"/>
    </w:rPr>
  </w:style>
  <w:style w:type="character" w:customStyle="1" w:styleId="WW8Num8z0">
    <w:name w:val="WW8Num8z0"/>
    <w:rsid w:val="008C2B46"/>
    <w:rPr>
      <w:rFonts w:ascii="Times New Roman" w:hAnsi="Times New Roman" w:cs="Times New Roman"/>
    </w:rPr>
  </w:style>
  <w:style w:type="character" w:customStyle="1" w:styleId="WW8Num8z1">
    <w:name w:val="WW8Num8z1"/>
    <w:rsid w:val="008C2B46"/>
    <w:rPr>
      <w:rFonts w:ascii="Courier New" w:hAnsi="Courier New" w:cs="Courier New"/>
    </w:rPr>
  </w:style>
  <w:style w:type="character" w:customStyle="1" w:styleId="WW8Num8z2">
    <w:name w:val="WW8Num8z2"/>
    <w:rsid w:val="008C2B46"/>
    <w:rPr>
      <w:rFonts w:ascii="Wingdings" w:hAnsi="Wingdings" w:cs="Wingdings"/>
    </w:rPr>
  </w:style>
  <w:style w:type="character" w:customStyle="1" w:styleId="WW8Num8z3">
    <w:name w:val="WW8Num8z3"/>
    <w:rsid w:val="008C2B46"/>
    <w:rPr>
      <w:rFonts w:ascii="Symbol" w:hAnsi="Symbol" w:cs="Symbol"/>
    </w:rPr>
  </w:style>
  <w:style w:type="character" w:customStyle="1" w:styleId="WW8Num9z0">
    <w:name w:val="WW8Num9z0"/>
    <w:rsid w:val="008C2B46"/>
    <w:rPr>
      <w:rFonts w:ascii="Symbol" w:hAnsi="Symbol" w:cs="Symbol"/>
    </w:rPr>
  </w:style>
  <w:style w:type="character" w:customStyle="1" w:styleId="WW8Num9z1">
    <w:name w:val="WW8Num9z1"/>
    <w:rsid w:val="008C2B46"/>
    <w:rPr>
      <w:rFonts w:ascii="Times New Roman" w:hAnsi="Times New Roman" w:cs="Times New Roman"/>
    </w:rPr>
  </w:style>
  <w:style w:type="character" w:customStyle="1" w:styleId="WW8Num9z2">
    <w:name w:val="WW8Num9z2"/>
    <w:rsid w:val="008C2B46"/>
    <w:rPr>
      <w:rFonts w:ascii="Wingdings" w:hAnsi="Wingdings" w:cs="Wingdings"/>
    </w:rPr>
  </w:style>
  <w:style w:type="character" w:customStyle="1" w:styleId="WW8Num9z4">
    <w:name w:val="WW8Num9z4"/>
    <w:rsid w:val="008C2B46"/>
    <w:rPr>
      <w:rFonts w:ascii="Courier New" w:hAnsi="Courier New" w:cs="Courier New"/>
    </w:rPr>
  </w:style>
  <w:style w:type="character" w:customStyle="1" w:styleId="WW-DefaultParagraphFont">
    <w:name w:val="WW-Default Paragraph Font"/>
    <w:rsid w:val="008C2B46"/>
  </w:style>
  <w:style w:type="character" w:styleId="PageNumber">
    <w:name w:val="page number"/>
    <w:basedOn w:val="WW-DefaultParagraphFont"/>
    <w:rsid w:val="008C2B46"/>
  </w:style>
  <w:style w:type="character" w:customStyle="1" w:styleId="NumberingSymbols">
    <w:name w:val="Numbering Symbols"/>
    <w:rsid w:val="008C2B46"/>
  </w:style>
  <w:style w:type="paragraph" w:customStyle="1" w:styleId="Heading">
    <w:name w:val="Heading"/>
    <w:basedOn w:val="Normal"/>
    <w:next w:val="BodyText"/>
    <w:rsid w:val="008C2B46"/>
    <w:pPr>
      <w:keepNext/>
      <w:suppressAutoHyphens/>
      <w:spacing w:before="240" w:after="120" w:line="240" w:lineRule="auto"/>
    </w:pPr>
    <w:rPr>
      <w:rFonts w:ascii="Arial" w:eastAsia="MS Mincho" w:hAnsi="Arial" w:cs="Arial"/>
      <w:sz w:val="28"/>
      <w:szCs w:val="28"/>
      <w:lang w:eastAsia="ar-SA"/>
    </w:rPr>
  </w:style>
  <w:style w:type="paragraph" w:styleId="List">
    <w:name w:val="List"/>
    <w:basedOn w:val="BodyText"/>
    <w:rsid w:val="008C2B46"/>
    <w:pPr>
      <w:suppressAutoHyphens/>
      <w:spacing w:after="0" w:line="240" w:lineRule="auto"/>
      <w:jc w:val="both"/>
    </w:pPr>
    <w:rPr>
      <w:rFonts w:ascii="Times New Roman" w:eastAsia="Times New Roman" w:hAnsi="Times New Roman" w:cs="Times New Roman"/>
      <w:sz w:val="24"/>
      <w:szCs w:val="24"/>
      <w:lang w:val="sr-Latn-CS" w:eastAsia="ar-SA"/>
    </w:rPr>
  </w:style>
  <w:style w:type="paragraph" w:styleId="Caption">
    <w:name w:val="caption"/>
    <w:basedOn w:val="Normal"/>
    <w:qFormat/>
    <w:rsid w:val="008C2B46"/>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Index">
    <w:name w:val="Index"/>
    <w:basedOn w:val="Normal"/>
    <w:rsid w:val="008C2B46"/>
    <w:pPr>
      <w:suppressLineNumbers/>
      <w:suppressAutoHyphens/>
      <w:spacing w:after="0" w:line="240" w:lineRule="auto"/>
    </w:pPr>
    <w:rPr>
      <w:rFonts w:ascii="Times New Roman" w:eastAsia="Times New Roman" w:hAnsi="Times New Roman" w:cs="Times New Roman"/>
      <w:sz w:val="24"/>
      <w:szCs w:val="24"/>
      <w:lang w:eastAsia="ar-SA"/>
    </w:rPr>
  </w:style>
  <w:style w:type="paragraph" w:styleId="NormalWeb">
    <w:name w:val="Normal (Web)"/>
    <w:basedOn w:val="Normal"/>
    <w:rsid w:val="008C2B46"/>
    <w:pPr>
      <w:suppressAutoHyphens/>
      <w:spacing w:before="280" w:after="280" w:line="240" w:lineRule="auto"/>
    </w:pPr>
    <w:rPr>
      <w:rFonts w:ascii="Times New Roman" w:eastAsia="Times New Roman" w:hAnsi="Times New Roman" w:cs="Times New Roman"/>
      <w:sz w:val="24"/>
      <w:szCs w:val="24"/>
      <w:lang w:eastAsia="ar-SA"/>
    </w:rPr>
  </w:style>
  <w:style w:type="paragraph" w:styleId="Title">
    <w:name w:val="Title"/>
    <w:basedOn w:val="Normal"/>
    <w:next w:val="Subtitle"/>
    <w:link w:val="TitleChar"/>
    <w:qFormat/>
    <w:rsid w:val="008C2B46"/>
    <w:pPr>
      <w:suppressAutoHyphens/>
      <w:spacing w:after="0" w:line="240" w:lineRule="auto"/>
      <w:jc w:val="center"/>
    </w:pPr>
    <w:rPr>
      <w:rFonts w:ascii="Times New Roman" w:eastAsia="Times New Roman" w:hAnsi="Times New Roman" w:cs="Times New Roman"/>
      <w:b/>
      <w:bCs/>
      <w:sz w:val="28"/>
      <w:szCs w:val="28"/>
      <w:lang w:val="sr-Latn-CS" w:eastAsia="ar-SA"/>
    </w:rPr>
  </w:style>
  <w:style w:type="character" w:customStyle="1" w:styleId="TitleChar">
    <w:name w:val="Title Char"/>
    <w:basedOn w:val="DefaultParagraphFont"/>
    <w:link w:val="Title"/>
    <w:rsid w:val="008C2B46"/>
    <w:rPr>
      <w:rFonts w:ascii="Times New Roman" w:eastAsia="Times New Roman" w:hAnsi="Times New Roman" w:cs="Times New Roman"/>
      <w:b/>
      <w:bCs/>
      <w:sz w:val="28"/>
      <w:szCs w:val="28"/>
      <w:lang w:val="sr-Latn-CS" w:eastAsia="ar-SA"/>
    </w:rPr>
  </w:style>
  <w:style w:type="paragraph" w:styleId="BodyText2">
    <w:name w:val="Body Text 2"/>
    <w:basedOn w:val="Normal"/>
    <w:link w:val="BodyText2Char"/>
    <w:rsid w:val="008C2B46"/>
    <w:pPr>
      <w:suppressAutoHyphens/>
      <w:spacing w:after="120" w:line="480" w:lineRule="auto"/>
    </w:pPr>
    <w:rPr>
      <w:rFonts w:ascii="Times New Roman" w:eastAsia="Times New Roman" w:hAnsi="Times New Roman" w:cs="Times New Roman"/>
      <w:sz w:val="24"/>
      <w:szCs w:val="24"/>
      <w:lang w:eastAsia="ar-SA"/>
    </w:rPr>
  </w:style>
  <w:style w:type="character" w:customStyle="1" w:styleId="BodyText2Char">
    <w:name w:val="Body Text 2 Char"/>
    <w:basedOn w:val="DefaultParagraphFont"/>
    <w:link w:val="BodyText2"/>
    <w:rsid w:val="008C2B46"/>
    <w:rPr>
      <w:rFonts w:ascii="Times New Roman" w:eastAsia="Times New Roman" w:hAnsi="Times New Roman" w:cs="Times New Roman"/>
      <w:sz w:val="24"/>
      <w:szCs w:val="24"/>
      <w:lang w:eastAsia="ar-SA"/>
    </w:rPr>
  </w:style>
  <w:style w:type="paragraph" w:styleId="BodyTextIndent2">
    <w:name w:val="Body Text Indent 2"/>
    <w:basedOn w:val="Normal"/>
    <w:link w:val="BodyTextIndent2Char"/>
    <w:rsid w:val="008C2B46"/>
    <w:pPr>
      <w:suppressAutoHyphens/>
      <w:spacing w:after="0" w:line="240" w:lineRule="auto"/>
      <w:ind w:left="720"/>
      <w:jc w:val="both"/>
    </w:pPr>
    <w:rPr>
      <w:rFonts w:ascii="Times New Roman" w:eastAsia="Times New Roman" w:hAnsi="Times New Roman" w:cs="Times New Roman"/>
      <w:sz w:val="24"/>
      <w:szCs w:val="24"/>
      <w:lang w:val="sr-Latn-CS" w:eastAsia="ar-SA"/>
    </w:rPr>
  </w:style>
  <w:style w:type="character" w:customStyle="1" w:styleId="BodyTextIndent2Char">
    <w:name w:val="Body Text Indent 2 Char"/>
    <w:basedOn w:val="DefaultParagraphFont"/>
    <w:link w:val="BodyTextIndent2"/>
    <w:rsid w:val="008C2B46"/>
    <w:rPr>
      <w:rFonts w:ascii="Times New Roman" w:eastAsia="Times New Roman" w:hAnsi="Times New Roman" w:cs="Times New Roman"/>
      <w:sz w:val="24"/>
      <w:szCs w:val="24"/>
      <w:lang w:val="sr-Latn-CS" w:eastAsia="ar-SA"/>
    </w:rPr>
  </w:style>
  <w:style w:type="paragraph" w:styleId="BodyTextIndent3">
    <w:name w:val="Body Text Indent 3"/>
    <w:basedOn w:val="Normal"/>
    <w:link w:val="BodyTextIndent3Char"/>
    <w:rsid w:val="008C2B46"/>
    <w:pPr>
      <w:suppressAutoHyphens/>
      <w:spacing w:after="0" w:line="240" w:lineRule="auto"/>
      <w:ind w:left="1080"/>
      <w:jc w:val="both"/>
    </w:pPr>
    <w:rPr>
      <w:rFonts w:ascii="Times New Roman" w:eastAsia="Times New Roman" w:hAnsi="Times New Roman" w:cs="Times New Roman"/>
      <w:sz w:val="24"/>
      <w:szCs w:val="24"/>
      <w:lang w:val="sr-Latn-CS" w:eastAsia="ar-SA"/>
    </w:rPr>
  </w:style>
  <w:style w:type="character" w:customStyle="1" w:styleId="BodyTextIndent3Char">
    <w:name w:val="Body Text Indent 3 Char"/>
    <w:basedOn w:val="DefaultParagraphFont"/>
    <w:link w:val="BodyTextIndent3"/>
    <w:rsid w:val="008C2B46"/>
    <w:rPr>
      <w:rFonts w:ascii="Times New Roman" w:eastAsia="Times New Roman" w:hAnsi="Times New Roman" w:cs="Times New Roman"/>
      <w:sz w:val="24"/>
      <w:szCs w:val="24"/>
      <w:lang w:val="sr-Latn-CS" w:eastAsia="ar-SA"/>
    </w:rPr>
  </w:style>
  <w:style w:type="paragraph" w:customStyle="1" w:styleId="TableContents">
    <w:name w:val="Table Contents"/>
    <w:basedOn w:val="Normal"/>
    <w:rsid w:val="008C2B46"/>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TableHeading">
    <w:name w:val="Table Heading"/>
    <w:basedOn w:val="TableContents"/>
    <w:rsid w:val="008C2B46"/>
    <w:pPr>
      <w:jc w:val="center"/>
    </w:pPr>
    <w:rPr>
      <w:b/>
      <w:bCs/>
      <w:i/>
      <w:iCs/>
    </w:rPr>
  </w:style>
  <w:style w:type="paragraph" w:customStyle="1" w:styleId="Framecontents">
    <w:name w:val="Frame contents"/>
    <w:basedOn w:val="BodyText"/>
    <w:rsid w:val="008C2B46"/>
    <w:pPr>
      <w:suppressAutoHyphens/>
      <w:spacing w:after="0" w:line="240" w:lineRule="auto"/>
      <w:jc w:val="both"/>
    </w:pPr>
    <w:rPr>
      <w:rFonts w:ascii="Times New Roman" w:eastAsia="Times New Roman" w:hAnsi="Times New Roman" w:cs="Times New Roman"/>
      <w:sz w:val="24"/>
      <w:szCs w:val="24"/>
      <w:lang w:val="sr-Latn-CS" w:eastAsia="ar-SA"/>
    </w:rPr>
  </w:style>
  <w:style w:type="character" w:customStyle="1" w:styleId="Style105pt">
    <w:name w:val="Style 105 pt"/>
    <w:rsid w:val="008C2B46"/>
    <w:rPr>
      <w:rFonts w:ascii="Times New Roman Bold" w:hAnsi="Times New Roman Bold" w:cs="Times New Roman Bold"/>
      <w:b/>
      <w:bCs/>
      <w:color w:val="auto"/>
      <w:sz w:val="24"/>
      <w:szCs w:val="24"/>
    </w:rPr>
  </w:style>
  <w:style w:type="table" w:styleId="TableWeb3">
    <w:name w:val="Table Web 3"/>
    <w:basedOn w:val="TableNormal"/>
    <w:rsid w:val="008C2B46"/>
    <w:pPr>
      <w:spacing w:after="0" w:line="240" w:lineRule="auto"/>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paragraph" w:styleId="CommentText">
    <w:name w:val="annotation text"/>
    <w:basedOn w:val="Normal"/>
    <w:link w:val="CommentTextChar"/>
    <w:uiPriority w:val="99"/>
    <w:semiHidden/>
    <w:rsid w:val="008C2B46"/>
    <w:pPr>
      <w:tabs>
        <w:tab w:val="left" w:pos="-720"/>
      </w:tabs>
      <w:suppressAutoHyphens/>
      <w:spacing w:after="0" w:line="240" w:lineRule="auto"/>
    </w:pPr>
    <w:rPr>
      <w:rFonts w:ascii="Helvetica 11pt" w:eastAsia="Times New Roman" w:hAnsi="Helvetica 11pt" w:cs="Helvetica 11pt"/>
      <w:sz w:val="24"/>
      <w:szCs w:val="24"/>
    </w:rPr>
  </w:style>
  <w:style w:type="character" w:customStyle="1" w:styleId="CommentTextChar">
    <w:name w:val="Comment Text Char"/>
    <w:basedOn w:val="DefaultParagraphFont"/>
    <w:link w:val="CommentText"/>
    <w:uiPriority w:val="99"/>
    <w:semiHidden/>
    <w:rsid w:val="008C2B46"/>
    <w:rPr>
      <w:rFonts w:ascii="Helvetica 11pt" w:eastAsia="Times New Roman" w:hAnsi="Helvetica 11pt" w:cs="Helvetica 11pt"/>
      <w:sz w:val="24"/>
      <w:szCs w:val="24"/>
    </w:rPr>
  </w:style>
  <w:style w:type="paragraph" w:customStyle="1" w:styleId="Style1">
    <w:name w:val="Style1"/>
    <w:basedOn w:val="Heading"/>
    <w:rsid w:val="008C2B46"/>
    <w:rPr>
      <w:rFonts w:ascii="Tahoma" w:hAnsi="Tahoma" w:cs="Tahoma"/>
      <w:b/>
      <w:bCs/>
      <w:sz w:val="24"/>
      <w:szCs w:val="24"/>
    </w:rPr>
  </w:style>
  <w:style w:type="paragraph" w:customStyle="1" w:styleId="Style2">
    <w:name w:val="Style2"/>
    <w:basedOn w:val="Heading1"/>
    <w:rsid w:val="008C2B46"/>
    <w:pPr>
      <w:numPr>
        <w:numId w:val="8"/>
      </w:numPr>
    </w:pPr>
    <w:rPr>
      <w:rFonts w:ascii="Tahoma" w:hAnsi="Tahoma"/>
      <w:b w:val="0"/>
      <w:bCs w:val="0"/>
      <w:sz w:val="24"/>
      <w:szCs w:val="24"/>
    </w:rPr>
  </w:style>
  <w:style w:type="character" w:styleId="LineNumber">
    <w:name w:val="line number"/>
    <w:basedOn w:val="DefaultParagraphFont"/>
    <w:rsid w:val="008C2B46"/>
  </w:style>
  <w:style w:type="character" w:customStyle="1" w:styleId="Bullets">
    <w:name w:val="Bullets"/>
    <w:rsid w:val="008C2B46"/>
    <w:rPr>
      <w:rFonts w:ascii="StarSymbol" w:eastAsia="StarSymbol" w:cs="StarSymbol"/>
      <w:sz w:val="18"/>
      <w:szCs w:val="18"/>
    </w:rPr>
  </w:style>
  <w:style w:type="paragraph" w:styleId="FootnoteText">
    <w:name w:val="footnote text"/>
    <w:basedOn w:val="Normal"/>
    <w:link w:val="FootnoteTextChar"/>
    <w:semiHidden/>
    <w:rsid w:val="008C2B46"/>
    <w:pPr>
      <w:widowControl w:val="0"/>
      <w:suppressAutoHyphens/>
      <w:spacing w:after="0" w:line="240" w:lineRule="auto"/>
    </w:pPr>
    <w:rPr>
      <w:rFonts w:ascii="Times New Roman" w:eastAsia="Times New Roman" w:hAnsi="Times New Roman" w:cs="Times New Roman"/>
      <w:sz w:val="20"/>
      <w:szCs w:val="20"/>
      <w:lang w:eastAsia="ar-SA"/>
    </w:rPr>
  </w:style>
  <w:style w:type="character" w:customStyle="1" w:styleId="FootnoteTextChar">
    <w:name w:val="Footnote Text Char"/>
    <w:basedOn w:val="DefaultParagraphFont"/>
    <w:link w:val="FootnoteText"/>
    <w:semiHidden/>
    <w:rsid w:val="008C2B46"/>
    <w:rPr>
      <w:rFonts w:ascii="Times New Roman" w:eastAsia="Times New Roman" w:hAnsi="Times New Roman" w:cs="Times New Roman"/>
      <w:sz w:val="20"/>
      <w:szCs w:val="20"/>
      <w:lang w:eastAsia="ar-SA"/>
    </w:rPr>
  </w:style>
  <w:style w:type="character" w:styleId="FootnoteReference">
    <w:name w:val="footnote reference"/>
    <w:semiHidden/>
    <w:rsid w:val="008C2B46"/>
    <w:rPr>
      <w:vertAlign w:val="superscript"/>
    </w:rPr>
  </w:style>
  <w:style w:type="table" w:styleId="TableList1">
    <w:name w:val="Table List 1"/>
    <w:basedOn w:val="TableNormal"/>
    <w:rsid w:val="008C2B46"/>
    <w:pPr>
      <w:widowControl w:val="0"/>
      <w:suppressAutoHyphens/>
      <w:spacing w:after="0" w:line="240" w:lineRule="auto"/>
    </w:pPr>
    <w:rPr>
      <w:rFonts w:ascii="Times New Roman" w:eastAsia="Times New Roman"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insideH w:val="single" w:sz="6" w:space="0" w:color="008080"/>
        <w:insideV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8C2B46"/>
    <w:pPr>
      <w:widowControl w:val="0"/>
      <w:suppressAutoHyphens/>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8">
    <w:name w:val="Table Grid 8"/>
    <w:basedOn w:val="TableNormal"/>
    <w:rsid w:val="008C2B46"/>
    <w:pPr>
      <w:widowControl w:val="0"/>
      <w:suppressAutoHyphens/>
      <w:spacing w:after="0" w:line="240" w:lineRule="auto"/>
    </w:pPr>
    <w:rPr>
      <w:rFonts w:ascii="Times New Roman" w:eastAsia="Times New Roman"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Professional">
    <w:name w:val="Table Professional"/>
    <w:basedOn w:val="TableNormal"/>
    <w:rsid w:val="008C2B46"/>
    <w:pPr>
      <w:widowControl w:val="0"/>
      <w:suppressAutoHyphens/>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TableList6">
    <w:name w:val="Table List 6"/>
    <w:basedOn w:val="TableNormal"/>
    <w:rsid w:val="008C2B46"/>
    <w:pPr>
      <w:suppressAutoHyphens/>
      <w:spacing w:after="0" w:line="240" w:lineRule="auto"/>
    </w:pPr>
    <w:rPr>
      <w:rFonts w:ascii="Times New Roman" w:eastAsia="Times New Roman"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character" w:customStyle="1" w:styleId="Char2">
    <w:name w:val="Char2"/>
    <w:rsid w:val="008C2B46"/>
    <w:rPr>
      <w:b/>
      <w:bCs/>
      <w:sz w:val="24"/>
      <w:szCs w:val="24"/>
      <w:lang w:val="en-US" w:eastAsia="ar-SA" w:bidi="ar-SA"/>
    </w:rPr>
  </w:style>
  <w:style w:type="table" w:styleId="TableGrid1">
    <w:name w:val="Table Grid 1"/>
    <w:basedOn w:val="TableNormal"/>
    <w:rsid w:val="008C2B46"/>
    <w:pPr>
      <w:suppressAutoHyphens/>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styleId="FollowedHyperlink">
    <w:name w:val="FollowedHyperlink"/>
    <w:rsid w:val="008C2B46"/>
    <w:rPr>
      <w:color w:val="800080"/>
      <w:u w:val="single"/>
    </w:rPr>
  </w:style>
  <w:style w:type="character" w:styleId="CommentReference">
    <w:name w:val="annotation reference"/>
    <w:uiPriority w:val="99"/>
    <w:semiHidden/>
    <w:rsid w:val="008C2B46"/>
    <w:rPr>
      <w:sz w:val="16"/>
      <w:szCs w:val="16"/>
    </w:rPr>
  </w:style>
  <w:style w:type="paragraph" w:styleId="CommentSubject">
    <w:name w:val="annotation subject"/>
    <w:basedOn w:val="CommentText"/>
    <w:next w:val="CommentText"/>
    <w:link w:val="CommentSubjectChar"/>
    <w:uiPriority w:val="99"/>
    <w:semiHidden/>
    <w:rsid w:val="008C2B46"/>
    <w:pPr>
      <w:tabs>
        <w:tab w:val="clear" w:pos="-720"/>
      </w:tabs>
    </w:pPr>
    <w:rPr>
      <w:rFonts w:ascii="Times New Roman" w:hAnsi="Times New Roman" w:cs="Times New Roman"/>
      <w:b/>
      <w:bCs/>
      <w:sz w:val="20"/>
      <w:szCs w:val="20"/>
      <w:lang w:eastAsia="ar-SA"/>
    </w:rPr>
  </w:style>
  <w:style w:type="character" w:customStyle="1" w:styleId="CommentSubjectChar">
    <w:name w:val="Comment Subject Char"/>
    <w:basedOn w:val="CommentTextChar"/>
    <w:link w:val="CommentSubject"/>
    <w:uiPriority w:val="99"/>
    <w:semiHidden/>
    <w:rsid w:val="008C2B46"/>
    <w:rPr>
      <w:rFonts w:ascii="Times New Roman" w:eastAsia="Times New Roman" w:hAnsi="Times New Roman" w:cs="Times New Roman"/>
      <w:b/>
      <w:bCs/>
      <w:sz w:val="20"/>
      <w:szCs w:val="20"/>
      <w:lang w:eastAsia="ar-SA"/>
    </w:rPr>
  </w:style>
  <w:style w:type="character" w:styleId="BookTitle">
    <w:name w:val="Book Title"/>
    <w:uiPriority w:val="99"/>
    <w:qFormat/>
    <w:rsid w:val="008C2B46"/>
    <w:rPr>
      <w:b/>
      <w:bCs/>
      <w:smallCaps/>
      <w:spacing w:val="5"/>
    </w:rPr>
  </w:style>
  <w:style w:type="table" w:customStyle="1" w:styleId="LightShading-Accent12">
    <w:name w:val="Light Shading - Accent 12"/>
    <w:uiPriority w:val="60"/>
    <w:rsid w:val="008C2B46"/>
    <w:pPr>
      <w:spacing w:after="0" w:line="240" w:lineRule="auto"/>
    </w:pPr>
    <w:rPr>
      <w:rFonts w:ascii="Times New Roman" w:eastAsia="Times New Roman" w:hAnsi="Times New Roman" w:cs="Times New Roman"/>
      <w:color w:val="365F91"/>
      <w:sz w:val="20"/>
      <w:szCs w:val="20"/>
      <w:lang w:val="sr-Latn-CS" w:eastAsia="sr-Latn-CS"/>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styleId="MediumShading2-Accent5">
    <w:name w:val="Medium Shading 2 Accent 5"/>
    <w:basedOn w:val="TableNormal"/>
    <w:uiPriority w:val="99"/>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3-Accent5">
    <w:name w:val="Medium Grid 3 Accent 5"/>
    <w:basedOn w:val="TableNormal"/>
    <w:uiPriority w:val="99"/>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LightShading-Accent13">
    <w:name w:val="Light Shading - Accent 13"/>
    <w:uiPriority w:val="99"/>
    <w:rsid w:val="008C2B46"/>
    <w:pPr>
      <w:spacing w:after="0" w:line="240" w:lineRule="auto"/>
    </w:pPr>
    <w:rPr>
      <w:rFonts w:ascii="Times New Roman" w:eastAsia="Times New Roman" w:hAnsi="Times New Roman" w:cs="Times New Roman"/>
      <w:color w:val="365F91"/>
      <w:sz w:val="20"/>
      <w:szCs w:val="20"/>
      <w:lang w:val="sr-Latn-CS" w:eastAsia="sr-Latn-CS"/>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styleId="MediumGrid3-Accent1">
    <w:name w:val="Medium Grid 3 Accent 1"/>
    <w:basedOn w:val="TableNormal"/>
    <w:uiPriority w:val="99"/>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character" w:styleId="SubtleEmphasis">
    <w:name w:val="Subtle Emphasis"/>
    <w:uiPriority w:val="19"/>
    <w:qFormat/>
    <w:rsid w:val="008C2B46"/>
    <w:rPr>
      <w:i/>
      <w:iCs/>
      <w:color w:val="808080"/>
    </w:rPr>
  </w:style>
  <w:style w:type="character" w:styleId="Emphasis">
    <w:name w:val="Emphasis"/>
    <w:uiPriority w:val="20"/>
    <w:qFormat/>
    <w:rsid w:val="008C2B46"/>
    <w:rPr>
      <w:i/>
      <w:iCs/>
    </w:rPr>
  </w:style>
  <w:style w:type="paragraph" w:customStyle="1" w:styleId="Default">
    <w:name w:val="Default"/>
    <w:rsid w:val="008C2B46"/>
    <w:pPr>
      <w:autoSpaceDE w:val="0"/>
      <w:autoSpaceDN w:val="0"/>
      <w:adjustRightInd w:val="0"/>
      <w:spacing w:after="0" w:line="240" w:lineRule="auto"/>
    </w:pPr>
    <w:rPr>
      <w:rFonts w:ascii="Arial" w:eastAsia="Times New Roman" w:hAnsi="Arial" w:cs="Arial"/>
      <w:color w:val="000000"/>
      <w:sz w:val="24"/>
      <w:szCs w:val="24"/>
      <w:lang w:eastAsia="sr-Latn-CS"/>
    </w:rPr>
  </w:style>
  <w:style w:type="table" w:customStyle="1" w:styleId="LightShading-Accent14">
    <w:name w:val="Light Shading - Accent 14"/>
    <w:basedOn w:val="TableNormal"/>
    <w:uiPriority w:val="60"/>
    <w:rsid w:val="008C2B46"/>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11">
    <w:name w:val="Light Grid - Accent 11"/>
    <w:basedOn w:val="TableNormal"/>
    <w:uiPriority w:val="62"/>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MediumShading1-Accent11">
    <w:name w:val="Medium Shading 1 - Accent 11"/>
    <w:basedOn w:val="TableNormal"/>
    <w:uiPriority w:val="63"/>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List2-Accent1">
    <w:name w:val="Medium List 2 Accent 1"/>
    <w:basedOn w:val="TableNormal"/>
    <w:uiPriority w:val="66"/>
    <w:rsid w:val="008C2B46"/>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character" w:customStyle="1" w:styleId="BodyTextIndentChar">
    <w:name w:val="Body Text Indent Char"/>
    <w:link w:val="BodyTextIndent"/>
    <w:rsid w:val="008C2B46"/>
    <w:rPr>
      <w:sz w:val="24"/>
      <w:szCs w:val="24"/>
      <w:lang w:eastAsia="ar-SA"/>
    </w:rPr>
  </w:style>
  <w:style w:type="paragraph" w:styleId="BodyTextIndent">
    <w:name w:val="Body Text Indent"/>
    <w:basedOn w:val="Normal"/>
    <w:link w:val="BodyTextIndentChar"/>
    <w:unhideWhenUsed/>
    <w:rsid w:val="008C2B46"/>
    <w:pPr>
      <w:suppressAutoHyphens/>
      <w:spacing w:after="0" w:line="240" w:lineRule="auto"/>
      <w:ind w:firstLine="360"/>
      <w:jc w:val="both"/>
    </w:pPr>
    <w:rPr>
      <w:sz w:val="24"/>
      <w:szCs w:val="24"/>
      <w:lang w:eastAsia="ar-SA"/>
    </w:rPr>
  </w:style>
  <w:style w:type="character" w:customStyle="1" w:styleId="BodyTextIndentChar1">
    <w:name w:val="Body Text Indent Char1"/>
    <w:basedOn w:val="DefaultParagraphFont"/>
    <w:uiPriority w:val="99"/>
    <w:semiHidden/>
    <w:rsid w:val="008C2B46"/>
  </w:style>
  <w:style w:type="paragraph" w:styleId="TOC2">
    <w:name w:val="toc 2"/>
    <w:basedOn w:val="Normal"/>
    <w:next w:val="Normal"/>
    <w:autoRedefine/>
    <w:uiPriority w:val="39"/>
    <w:unhideWhenUsed/>
    <w:qFormat/>
    <w:rsid w:val="008C2B46"/>
    <w:pPr>
      <w:tabs>
        <w:tab w:val="left" w:pos="1276"/>
        <w:tab w:val="right" w:leader="dot" w:pos="9396"/>
      </w:tabs>
      <w:spacing w:after="0" w:line="240" w:lineRule="auto"/>
      <w:ind w:left="216"/>
    </w:pPr>
    <w:rPr>
      <w:rFonts w:ascii="Calibri" w:eastAsia="Times New Roman" w:hAnsi="Calibri" w:cs="Times New Roman"/>
      <w:lang w:eastAsia="ja-JP"/>
    </w:rPr>
  </w:style>
  <w:style w:type="character" w:customStyle="1" w:styleId="DefaultParagraphFont1">
    <w:name w:val="Default Paragraph Font1"/>
    <w:rsid w:val="008C2B46"/>
  </w:style>
  <w:style w:type="paragraph" w:customStyle="1" w:styleId="msonospacing0">
    <w:name w:val="msonospacing"/>
    <w:basedOn w:val="Normal"/>
    <w:rsid w:val="008C2B4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har3">
    <w:name w:val="Char3"/>
    <w:rsid w:val="008C2B46"/>
    <w:rPr>
      <w:b/>
      <w:bCs/>
      <w:sz w:val="24"/>
      <w:lang w:val="en-US" w:eastAsia="ar-SA" w:bidi="ar-SA"/>
    </w:rPr>
  </w:style>
  <w:style w:type="paragraph" w:customStyle="1" w:styleId="BodySingle">
    <w:name w:val="Body Single"/>
    <w:rsid w:val="008C2B46"/>
    <w:pPr>
      <w:spacing w:after="0" w:line="240" w:lineRule="auto"/>
    </w:pPr>
    <w:rPr>
      <w:rFonts w:ascii="Times New Roman" w:eastAsia="Times New Roman" w:hAnsi="Times New Roman" w:cs="Times New Roman"/>
      <w:color w:val="000000"/>
      <w:sz w:val="24"/>
      <w:szCs w:val="20"/>
    </w:rPr>
  </w:style>
  <w:style w:type="table" w:styleId="TableWeb2">
    <w:name w:val="Table Web 2"/>
    <w:basedOn w:val="TableNormal"/>
    <w:rsid w:val="008C2B46"/>
    <w:pPr>
      <w:suppressAutoHyphens/>
      <w:spacing w:after="0" w:line="240" w:lineRule="auto"/>
    </w:pPr>
    <w:rPr>
      <w:rFonts w:ascii="Times New Roman" w:eastAsia="Times New Roman"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styleId="111111">
    <w:name w:val="Outline List 2"/>
    <w:basedOn w:val="NoList"/>
    <w:rsid w:val="008C2B46"/>
    <w:pPr>
      <w:numPr>
        <w:numId w:val="9"/>
      </w:numPr>
    </w:pPr>
  </w:style>
  <w:style w:type="numbering" w:styleId="ArticleSection">
    <w:name w:val="Outline List 3"/>
    <w:basedOn w:val="NoList"/>
    <w:rsid w:val="008C2B46"/>
    <w:pPr>
      <w:numPr>
        <w:numId w:val="10"/>
      </w:numPr>
    </w:pPr>
  </w:style>
  <w:style w:type="paragraph" w:styleId="TOC4">
    <w:name w:val="toc 4"/>
    <w:basedOn w:val="Normal"/>
    <w:next w:val="Normal"/>
    <w:autoRedefine/>
    <w:uiPriority w:val="39"/>
    <w:rsid w:val="008C2B46"/>
    <w:pPr>
      <w:spacing w:after="0" w:line="240" w:lineRule="auto"/>
      <w:ind w:left="720"/>
    </w:pPr>
    <w:rPr>
      <w:rFonts w:ascii="Times New Roman" w:eastAsia="Times New Roman" w:hAnsi="Times New Roman" w:cs="Times New Roman"/>
      <w:sz w:val="24"/>
      <w:szCs w:val="24"/>
      <w:lang w:val="sr-Latn-CS" w:eastAsia="sr-Latn-CS"/>
    </w:rPr>
  </w:style>
  <w:style w:type="paragraph" w:styleId="TOC5">
    <w:name w:val="toc 5"/>
    <w:basedOn w:val="Normal"/>
    <w:next w:val="Normal"/>
    <w:autoRedefine/>
    <w:uiPriority w:val="39"/>
    <w:rsid w:val="008C2B46"/>
    <w:pPr>
      <w:spacing w:after="0" w:line="240" w:lineRule="auto"/>
      <w:ind w:left="960"/>
    </w:pPr>
    <w:rPr>
      <w:rFonts w:ascii="Times New Roman" w:eastAsia="Times New Roman" w:hAnsi="Times New Roman" w:cs="Times New Roman"/>
      <w:sz w:val="24"/>
      <w:szCs w:val="24"/>
      <w:lang w:val="sr-Latn-CS" w:eastAsia="sr-Latn-CS"/>
    </w:rPr>
  </w:style>
  <w:style w:type="paragraph" w:styleId="TOC6">
    <w:name w:val="toc 6"/>
    <w:basedOn w:val="Normal"/>
    <w:next w:val="Normal"/>
    <w:autoRedefine/>
    <w:uiPriority w:val="39"/>
    <w:rsid w:val="008C2B46"/>
    <w:pPr>
      <w:spacing w:after="0" w:line="240" w:lineRule="auto"/>
      <w:ind w:left="1200"/>
    </w:pPr>
    <w:rPr>
      <w:rFonts w:ascii="Times New Roman" w:eastAsia="Times New Roman" w:hAnsi="Times New Roman" w:cs="Times New Roman"/>
      <w:sz w:val="24"/>
      <w:szCs w:val="24"/>
      <w:lang w:val="sr-Latn-CS" w:eastAsia="sr-Latn-CS"/>
    </w:rPr>
  </w:style>
  <w:style w:type="paragraph" w:styleId="TOC7">
    <w:name w:val="toc 7"/>
    <w:basedOn w:val="Normal"/>
    <w:next w:val="Normal"/>
    <w:autoRedefine/>
    <w:uiPriority w:val="39"/>
    <w:rsid w:val="008C2B46"/>
    <w:pPr>
      <w:spacing w:after="0" w:line="240" w:lineRule="auto"/>
      <w:ind w:left="1440"/>
    </w:pPr>
    <w:rPr>
      <w:rFonts w:ascii="Times New Roman" w:eastAsia="Times New Roman" w:hAnsi="Times New Roman" w:cs="Times New Roman"/>
      <w:sz w:val="24"/>
      <w:szCs w:val="24"/>
      <w:lang w:val="sr-Latn-CS" w:eastAsia="sr-Latn-CS"/>
    </w:rPr>
  </w:style>
  <w:style w:type="paragraph" w:styleId="TOC8">
    <w:name w:val="toc 8"/>
    <w:basedOn w:val="Normal"/>
    <w:next w:val="Normal"/>
    <w:autoRedefine/>
    <w:uiPriority w:val="39"/>
    <w:rsid w:val="008C2B46"/>
    <w:pPr>
      <w:spacing w:after="0" w:line="240" w:lineRule="auto"/>
      <w:ind w:left="1680"/>
    </w:pPr>
    <w:rPr>
      <w:rFonts w:ascii="Times New Roman" w:eastAsia="Times New Roman" w:hAnsi="Times New Roman" w:cs="Times New Roman"/>
      <w:sz w:val="24"/>
      <w:szCs w:val="24"/>
      <w:lang w:val="sr-Latn-CS" w:eastAsia="sr-Latn-CS"/>
    </w:rPr>
  </w:style>
  <w:style w:type="paragraph" w:styleId="TOC9">
    <w:name w:val="toc 9"/>
    <w:basedOn w:val="Normal"/>
    <w:next w:val="Normal"/>
    <w:autoRedefine/>
    <w:uiPriority w:val="39"/>
    <w:rsid w:val="008C2B46"/>
    <w:pPr>
      <w:spacing w:after="0" w:line="240" w:lineRule="auto"/>
      <w:ind w:left="1920"/>
    </w:pPr>
    <w:rPr>
      <w:rFonts w:ascii="Times New Roman" w:eastAsia="Times New Roman" w:hAnsi="Times New Roman" w:cs="Times New Roman"/>
      <w:sz w:val="24"/>
      <w:szCs w:val="24"/>
      <w:lang w:val="sr-Latn-CS" w:eastAsia="sr-Latn-CS"/>
    </w:rPr>
  </w:style>
  <w:style w:type="character" w:customStyle="1" w:styleId="Char4">
    <w:name w:val="Char4"/>
    <w:rsid w:val="008C2B46"/>
    <w:rPr>
      <w:b/>
      <w:bCs/>
      <w:sz w:val="24"/>
      <w:lang w:eastAsia="ar-SA"/>
    </w:rPr>
  </w:style>
  <w:style w:type="paragraph" w:customStyle="1" w:styleId="StyleHeading1Tahoma11ptLeftLeft0cmFirstline0">
    <w:name w:val="Style Heading 1 + Tahoma 11 pt Left Left:  0 cm First line:  0 ..."/>
    <w:basedOn w:val="Heading1"/>
    <w:autoRedefine/>
    <w:rsid w:val="008C2B46"/>
    <w:pPr>
      <w:numPr>
        <w:numId w:val="0"/>
      </w:numPr>
      <w:spacing w:before="240" w:after="240"/>
      <w:ind w:right="-4"/>
      <w:jc w:val="both"/>
      <w:outlineLvl w:val="9"/>
    </w:pPr>
    <w:rPr>
      <w:rFonts w:ascii="Tahoma" w:hAnsi="Tahoma" w:cs="Times New Roman"/>
      <w:b w:val="0"/>
      <w:sz w:val="24"/>
      <w:szCs w:val="24"/>
    </w:rPr>
  </w:style>
  <w:style w:type="paragraph" w:customStyle="1" w:styleId="StyleHeading2Tahoma11ptChar">
    <w:name w:val="Style Heading 2 + Tahoma 11 pt Char"/>
    <w:basedOn w:val="Heading2"/>
    <w:link w:val="StyleHeading2Tahoma11ptCharChar"/>
    <w:autoRedefine/>
    <w:rsid w:val="008C2B46"/>
    <w:pPr>
      <w:numPr>
        <w:ilvl w:val="0"/>
        <w:numId w:val="0"/>
      </w:numPr>
      <w:tabs>
        <w:tab w:val="num" w:pos="567"/>
      </w:tabs>
      <w:spacing w:before="240" w:after="120"/>
      <w:ind w:left="567" w:hanging="567"/>
    </w:pPr>
    <w:rPr>
      <w:rFonts w:ascii="Tahoma" w:hAnsi="Tahoma"/>
      <w:sz w:val="22"/>
    </w:rPr>
  </w:style>
  <w:style w:type="character" w:customStyle="1" w:styleId="StyleHeading2Tahoma11ptCharChar">
    <w:name w:val="Style Heading 2 + Tahoma 11 pt Char Char"/>
    <w:link w:val="StyleHeading2Tahoma11ptChar"/>
    <w:rsid w:val="008C2B46"/>
    <w:rPr>
      <w:rFonts w:ascii="Tahoma" w:eastAsia="Times New Roman" w:hAnsi="Tahoma" w:cs="Times New Roman"/>
      <w:b/>
      <w:bCs/>
      <w:szCs w:val="24"/>
      <w:lang w:val="sr-Latn-CS" w:eastAsia="ar-SA"/>
    </w:rPr>
  </w:style>
  <w:style w:type="paragraph" w:customStyle="1" w:styleId="StyleStyleHeading1Tahoma11ptLeftLeft0cmFirstline">
    <w:name w:val="Style Style Heading 1 + Tahoma 11 pt Left Left:  0 cm First line:  ..."/>
    <w:basedOn w:val="StyleHeading1Tahoma11ptLeftLeft0cmFirstline0"/>
    <w:autoRedefine/>
    <w:rsid w:val="008C2B46"/>
  </w:style>
  <w:style w:type="paragraph" w:customStyle="1" w:styleId="StyleHeading3Tahoma11ptChar">
    <w:name w:val="Style Heading 3 + Tahoma 11 pt Char"/>
    <w:basedOn w:val="Heading3"/>
    <w:link w:val="StyleHeading3Tahoma11ptCharChar"/>
    <w:autoRedefine/>
    <w:rsid w:val="008C2B46"/>
    <w:pPr>
      <w:numPr>
        <w:ilvl w:val="0"/>
        <w:numId w:val="0"/>
      </w:numPr>
      <w:tabs>
        <w:tab w:val="left" w:pos="993"/>
        <w:tab w:val="num" w:pos="1146"/>
      </w:tabs>
      <w:spacing w:before="100" w:beforeAutospacing="1" w:after="100" w:afterAutospacing="1"/>
      <w:ind w:left="1468"/>
      <w:jc w:val="both"/>
    </w:pPr>
    <w:rPr>
      <w:rFonts w:ascii="Tahoma" w:hAnsi="Tahoma"/>
      <w:sz w:val="22"/>
    </w:rPr>
  </w:style>
  <w:style w:type="character" w:customStyle="1" w:styleId="StyleHeading3Tahoma11ptCharChar">
    <w:name w:val="Style Heading 3 + Tahoma 11 pt Char Char"/>
    <w:link w:val="StyleHeading3Tahoma11ptChar"/>
    <w:rsid w:val="008C2B46"/>
    <w:rPr>
      <w:rFonts w:ascii="Tahoma" w:eastAsia="Times New Roman" w:hAnsi="Tahoma" w:cs="Times New Roman"/>
      <w:b/>
      <w:bCs/>
      <w:szCs w:val="24"/>
      <w:lang w:val="sr-Latn-CS" w:eastAsia="ar-SA"/>
    </w:rPr>
  </w:style>
  <w:style w:type="paragraph" w:customStyle="1" w:styleId="Normal1">
    <w:name w:val="Normal1"/>
    <w:basedOn w:val="Normal"/>
    <w:rsid w:val="008C2B46"/>
    <w:pPr>
      <w:spacing w:before="100" w:beforeAutospacing="1" w:after="100" w:afterAutospacing="1" w:line="240" w:lineRule="auto"/>
    </w:pPr>
    <w:rPr>
      <w:rFonts w:ascii="Arial" w:eastAsia="Times New Roman" w:hAnsi="Arial" w:cs="Arial"/>
      <w:lang w:val="sr-Latn-CS"/>
    </w:rPr>
  </w:style>
  <w:style w:type="paragraph" w:styleId="MacroText">
    <w:name w:val="macro"/>
    <w:aliases w:val=" Char2"/>
    <w:link w:val="MacroTextChar"/>
    <w:semiHidden/>
    <w:rsid w:val="008C2B46"/>
    <w:pPr>
      <w:widowControl w:val="0"/>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w:snapToGrid w:val="0"/>
      <w:sz w:val="20"/>
      <w:szCs w:val="20"/>
    </w:rPr>
  </w:style>
  <w:style w:type="character" w:customStyle="1" w:styleId="MacroTextChar">
    <w:name w:val="Macro Text Char"/>
    <w:aliases w:val=" Char2 Char"/>
    <w:basedOn w:val="DefaultParagraphFont"/>
    <w:link w:val="MacroText"/>
    <w:semiHidden/>
    <w:rsid w:val="008C2B46"/>
    <w:rPr>
      <w:rFonts w:ascii="Courier New" w:eastAsia="Times New Roman" w:hAnsi="Courier New" w:cs="Times New Roman"/>
      <w:snapToGrid w:val="0"/>
      <w:sz w:val="20"/>
      <w:szCs w:val="20"/>
    </w:rPr>
  </w:style>
  <w:style w:type="paragraph" w:styleId="DocumentMap">
    <w:name w:val="Document Map"/>
    <w:basedOn w:val="Normal"/>
    <w:link w:val="DocumentMapChar"/>
    <w:semiHidden/>
    <w:rsid w:val="008C2B46"/>
    <w:pPr>
      <w:shd w:val="clear" w:color="auto" w:fill="000080"/>
      <w:suppressAutoHyphens/>
      <w:spacing w:after="0" w:line="240" w:lineRule="auto"/>
    </w:pPr>
    <w:rPr>
      <w:rFonts w:ascii="Tahoma" w:eastAsia="Times New Roman" w:hAnsi="Tahoma" w:cs="Tahoma"/>
      <w:sz w:val="24"/>
      <w:szCs w:val="24"/>
      <w:lang w:eastAsia="ar-SA"/>
    </w:rPr>
  </w:style>
  <w:style w:type="character" w:customStyle="1" w:styleId="DocumentMapChar">
    <w:name w:val="Document Map Char"/>
    <w:basedOn w:val="DefaultParagraphFont"/>
    <w:link w:val="DocumentMap"/>
    <w:semiHidden/>
    <w:rsid w:val="008C2B46"/>
    <w:rPr>
      <w:rFonts w:ascii="Tahoma" w:eastAsia="Times New Roman" w:hAnsi="Tahoma" w:cs="Tahoma"/>
      <w:sz w:val="24"/>
      <w:szCs w:val="24"/>
      <w:shd w:val="clear" w:color="auto" w:fill="000080"/>
      <w:lang w:eastAsia="ar-SA"/>
    </w:rPr>
  </w:style>
  <w:style w:type="paragraph" w:customStyle="1" w:styleId="Toc30">
    <w:name w:val="Toc3"/>
    <w:basedOn w:val="Normal"/>
    <w:link w:val="Toc3Char"/>
    <w:rsid w:val="008C2B46"/>
    <w:pPr>
      <w:tabs>
        <w:tab w:val="left" w:pos="960"/>
      </w:tabs>
      <w:suppressAutoHyphens/>
      <w:spacing w:after="0" w:line="240" w:lineRule="auto"/>
      <w:ind w:left="240" w:right="-124"/>
    </w:pPr>
    <w:rPr>
      <w:rFonts w:ascii="Tahoma" w:eastAsia="Times New Roman" w:hAnsi="Tahoma" w:cs="Tahoma"/>
      <w:lang w:val="sr-Latn-CS" w:eastAsia="ar-SA"/>
    </w:rPr>
  </w:style>
  <w:style w:type="character" w:customStyle="1" w:styleId="Toc3Char">
    <w:name w:val="Toc3 Char"/>
    <w:link w:val="Toc30"/>
    <w:rsid w:val="008C2B46"/>
    <w:rPr>
      <w:rFonts w:ascii="Tahoma" w:eastAsia="Times New Roman" w:hAnsi="Tahoma" w:cs="Tahoma"/>
      <w:lang w:val="sr-Latn-CS" w:eastAsia="ar-SA"/>
    </w:rPr>
  </w:style>
  <w:style w:type="paragraph" w:styleId="Closing">
    <w:name w:val="Closing"/>
    <w:basedOn w:val="Normal"/>
    <w:link w:val="ClosingChar"/>
    <w:rsid w:val="008C2B46"/>
    <w:pPr>
      <w:spacing w:after="0" w:line="240" w:lineRule="auto"/>
      <w:ind w:left="4320"/>
    </w:pPr>
    <w:rPr>
      <w:rFonts w:ascii="Cirilica Times" w:eastAsia="Times New Roman" w:hAnsi="Cirilica Times" w:cs="Times New Roman"/>
      <w:sz w:val="24"/>
      <w:szCs w:val="20"/>
    </w:rPr>
  </w:style>
  <w:style w:type="character" w:customStyle="1" w:styleId="ClosingChar">
    <w:name w:val="Closing Char"/>
    <w:basedOn w:val="DefaultParagraphFont"/>
    <w:link w:val="Closing"/>
    <w:rsid w:val="008C2B46"/>
    <w:rPr>
      <w:rFonts w:ascii="Cirilica Times" w:eastAsia="Times New Roman" w:hAnsi="Cirilica Times" w:cs="Times New Roman"/>
      <w:sz w:val="24"/>
      <w:szCs w:val="20"/>
    </w:rPr>
  </w:style>
  <w:style w:type="paragraph" w:styleId="EndnoteText">
    <w:name w:val="endnote text"/>
    <w:basedOn w:val="Normal"/>
    <w:link w:val="EndnoteTextChar"/>
    <w:uiPriority w:val="99"/>
    <w:semiHidden/>
    <w:rsid w:val="008C2B46"/>
    <w:pPr>
      <w:spacing w:after="0" w:line="240" w:lineRule="auto"/>
    </w:pPr>
    <w:rPr>
      <w:rFonts w:ascii="Cirilica Times" w:eastAsia="Times New Roman" w:hAnsi="Cirilica Times" w:cs="Times New Roman"/>
      <w:sz w:val="24"/>
      <w:szCs w:val="20"/>
    </w:rPr>
  </w:style>
  <w:style w:type="character" w:customStyle="1" w:styleId="EndnoteTextChar">
    <w:name w:val="Endnote Text Char"/>
    <w:basedOn w:val="DefaultParagraphFont"/>
    <w:link w:val="EndnoteText"/>
    <w:uiPriority w:val="99"/>
    <w:semiHidden/>
    <w:rsid w:val="008C2B46"/>
    <w:rPr>
      <w:rFonts w:ascii="Cirilica Times" w:eastAsia="Times New Roman" w:hAnsi="Cirilica Times" w:cs="Times New Roman"/>
      <w:sz w:val="24"/>
      <w:szCs w:val="20"/>
    </w:rPr>
  </w:style>
  <w:style w:type="paragraph" w:styleId="EnvelopeAddress">
    <w:name w:val="envelope address"/>
    <w:basedOn w:val="Normal"/>
    <w:rsid w:val="008C2B46"/>
    <w:pPr>
      <w:framePr w:w="7920" w:h="1980" w:hRule="exact" w:hSpace="180" w:wrap="auto" w:hAnchor="page" w:xAlign="center" w:yAlign="bottom"/>
      <w:spacing w:after="0" w:line="240" w:lineRule="auto"/>
      <w:ind w:left="2880"/>
    </w:pPr>
    <w:rPr>
      <w:rFonts w:ascii="Cirilica Times" w:eastAsia="Times New Roman" w:hAnsi="Cirilica Times" w:cs="Times New Roman"/>
      <w:sz w:val="24"/>
      <w:szCs w:val="20"/>
    </w:rPr>
  </w:style>
  <w:style w:type="paragraph" w:styleId="EnvelopeReturn">
    <w:name w:val="envelope return"/>
    <w:basedOn w:val="Normal"/>
    <w:rsid w:val="008C2B46"/>
    <w:pPr>
      <w:spacing w:after="0" w:line="240" w:lineRule="auto"/>
    </w:pPr>
    <w:rPr>
      <w:rFonts w:ascii="Cirilica Times" w:eastAsia="Times New Roman" w:hAnsi="Cirilica Times" w:cs="Times New Roman"/>
      <w:sz w:val="24"/>
      <w:szCs w:val="20"/>
    </w:rPr>
  </w:style>
  <w:style w:type="paragraph" w:styleId="Index1">
    <w:name w:val="index 1"/>
    <w:basedOn w:val="Normal"/>
    <w:next w:val="Normal"/>
    <w:semiHidden/>
    <w:rsid w:val="008C2B46"/>
    <w:pPr>
      <w:tabs>
        <w:tab w:val="right" w:leader="dot" w:pos="8640"/>
      </w:tabs>
      <w:spacing w:after="0" w:line="240" w:lineRule="auto"/>
      <w:ind w:left="200" w:hanging="200"/>
    </w:pPr>
    <w:rPr>
      <w:rFonts w:ascii="Cirilica Times" w:eastAsia="Times New Roman" w:hAnsi="Cirilica Times" w:cs="Times New Roman"/>
      <w:sz w:val="24"/>
      <w:szCs w:val="20"/>
    </w:rPr>
  </w:style>
  <w:style w:type="paragraph" w:styleId="Index2">
    <w:name w:val="index 2"/>
    <w:basedOn w:val="Normal"/>
    <w:next w:val="Normal"/>
    <w:semiHidden/>
    <w:rsid w:val="008C2B46"/>
    <w:pPr>
      <w:tabs>
        <w:tab w:val="right" w:leader="dot" w:pos="8640"/>
      </w:tabs>
      <w:spacing w:after="0" w:line="240" w:lineRule="auto"/>
      <w:ind w:left="400" w:hanging="200"/>
    </w:pPr>
    <w:rPr>
      <w:rFonts w:ascii="Cirilica Times" w:eastAsia="Times New Roman" w:hAnsi="Cirilica Times" w:cs="Times New Roman"/>
      <w:sz w:val="24"/>
      <w:szCs w:val="20"/>
    </w:rPr>
  </w:style>
  <w:style w:type="paragraph" w:styleId="Index3">
    <w:name w:val="index 3"/>
    <w:basedOn w:val="Normal"/>
    <w:next w:val="Normal"/>
    <w:semiHidden/>
    <w:rsid w:val="008C2B46"/>
    <w:pPr>
      <w:tabs>
        <w:tab w:val="right" w:leader="dot" w:pos="8640"/>
      </w:tabs>
      <w:spacing w:after="0" w:line="240" w:lineRule="auto"/>
      <w:ind w:left="600" w:hanging="200"/>
    </w:pPr>
    <w:rPr>
      <w:rFonts w:ascii="Cirilica Times" w:eastAsia="Times New Roman" w:hAnsi="Cirilica Times" w:cs="Times New Roman"/>
      <w:sz w:val="24"/>
      <w:szCs w:val="20"/>
    </w:rPr>
  </w:style>
  <w:style w:type="paragraph" w:styleId="Index4">
    <w:name w:val="index 4"/>
    <w:basedOn w:val="Normal"/>
    <w:next w:val="Normal"/>
    <w:semiHidden/>
    <w:rsid w:val="008C2B46"/>
    <w:pPr>
      <w:tabs>
        <w:tab w:val="right" w:leader="dot" w:pos="8640"/>
      </w:tabs>
      <w:spacing w:after="0" w:line="240" w:lineRule="auto"/>
      <w:ind w:left="800" w:hanging="200"/>
    </w:pPr>
    <w:rPr>
      <w:rFonts w:ascii="Cirilica Times" w:eastAsia="Times New Roman" w:hAnsi="Cirilica Times" w:cs="Times New Roman"/>
      <w:sz w:val="24"/>
      <w:szCs w:val="20"/>
    </w:rPr>
  </w:style>
  <w:style w:type="paragraph" w:styleId="Index5">
    <w:name w:val="index 5"/>
    <w:basedOn w:val="Normal"/>
    <w:next w:val="Normal"/>
    <w:semiHidden/>
    <w:rsid w:val="008C2B46"/>
    <w:pPr>
      <w:tabs>
        <w:tab w:val="right" w:leader="dot" w:pos="8640"/>
      </w:tabs>
      <w:spacing w:after="0" w:line="240" w:lineRule="auto"/>
      <w:ind w:left="1000" w:hanging="200"/>
    </w:pPr>
    <w:rPr>
      <w:rFonts w:ascii="Cirilica Times" w:eastAsia="Times New Roman" w:hAnsi="Cirilica Times" w:cs="Times New Roman"/>
      <w:sz w:val="24"/>
      <w:szCs w:val="20"/>
    </w:rPr>
  </w:style>
  <w:style w:type="paragraph" w:styleId="Index6">
    <w:name w:val="index 6"/>
    <w:basedOn w:val="Normal"/>
    <w:next w:val="Normal"/>
    <w:semiHidden/>
    <w:rsid w:val="008C2B46"/>
    <w:pPr>
      <w:tabs>
        <w:tab w:val="right" w:leader="dot" w:pos="8640"/>
      </w:tabs>
      <w:spacing w:after="0" w:line="240" w:lineRule="auto"/>
      <w:ind w:left="1200" w:hanging="200"/>
    </w:pPr>
    <w:rPr>
      <w:rFonts w:ascii="Cirilica Times" w:eastAsia="Times New Roman" w:hAnsi="Cirilica Times" w:cs="Times New Roman"/>
      <w:sz w:val="24"/>
      <w:szCs w:val="20"/>
    </w:rPr>
  </w:style>
  <w:style w:type="paragraph" w:styleId="Index7">
    <w:name w:val="index 7"/>
    <w:basedOn w:val="Normal"/>
    <w:next w:val="Normal"/>
    <w:semiHidden/>
    <w:rsid w:val="008C2B46"/>
    <w:pPr>
      <w:tabs>
        <w:tab w:val="right" w:leader="dot" w:pos="8640"/>
      </w:tabs>
      <w:spacing w:after="0" w:line="240" w:lineRule="auto"/>
      <w:ind w:left="1400" w:hanging="200"/>
    </w:pPr>
    <w:rPr>
      <w:rFonts w:ascii="Cirilica Times" w:eastAsia="Times New Roman" w:hAnsi="Cirilica Times" w:cs="Times New Roman"/>
      <w:sz w:val="24"/>
      <w:szCs w:val="20"/>
    </w:rPr>
  </w:style>
  <w:style w:type="paragraph" w:styleId="Index8">
    <w:name w:val="index 8"/>
    <w:basedOn w:val="Normal"/>
    <w:next w:val="Normal"/>
    <w:semiHidden/>
    <w:rsid w:val="008C2B46"/>
    <w:pPr>
      <w:tabs>
        <w:tab w:val="right" w:leader="dot" w:pos="8640"/>
      </w:tabs>
      <w:spacing w:after="0" w:line="240" w:lineRule="auto"/>
      <w:ind w:left="1600" w:hanging="200"/>
    </w:pPr>
    <w:rPr>
      <w:rFonts w:ascii="Cirilica Times" w:eastAsia="Times New Roman" w:hAnsi="Cirilica Times" w:cs="Times New Roman"/>
      <w:sz w:val="24"/>
      <w:szCs w:val="20"/>
    </w:rPr>
  </w:style>
  <w:style w:type="paragraph" w:styleId="Index9">
    <w:name w:val="index 9"/>
    <w:basedOn w:val="Normal"/>
    <w:next w:val="Normal"/>
    <w:semiHidden/>
    <w:rsid w:val="008C2B46"/>
    <w:pPr>
      <w:tabs>
        <w:tab w:val="right" w:leader="dot" w:pos="8640"/>
      </w:tabs>
      <w:spacing w:after="0" w:line="240" w:lineRule="auto"/>
      <w:ind w:left="1800" w:hanging="200"/>
    </w:pPr>
    <w:rPr>
      <w:rFonts w:ascii="Cirilica Times" w:eastAsia="Times New Roman" w:hAnsi="Cirilica Times" w:cs="Times New Roman"/>
      <w:sz w:val="24"/>
      <w:szCs w:val="20"/>
    </w:rPr>
  </w:style>
  <w:style w:type="paragraph" w:styleId="IndexHeading">
    <w:name w:val="index heading"/>
    <w:basedOn w:val="Normal"/>
    <w:next w:val="Index1"/>
    <w:semiHidden/>
    <w:rsid w:val="008C2B46"/>
    <w:pPr>
      <w:spacing w:after="0" w:line="240" w:lineRule="auto"/>
    </w:pPr>
    <w:rPr>
      <w:rFonts w:ascii="Cirilica Times" w:eastAsia="Times New Roman" w:hAnsi="Cirilica Times" w:cs="Times New Roman"/>
      <w:sz w:val="24"/>
      <w:szCs w:val="20"/>
    </w:rPr>
  </w:style>
  <w:style w:type="paragraph" w:styleId="List2">
    <w:name w:val="List 2"/>
    <w:basedOn w:val="Normal"/>
    <w:rsid w:val="008C2B46"/>
    <w:pPr>
      <w:spacing w:after="0" w:line="240" w:lineRule="auto"/>
      <w:ind w:left="720" w:hanging="360"/>
    </w:pPr>
    <w:rPr>
      <w:rFonts w:ascii="Cirilica Times" w:eastAsia="Times New Roman" w:hAnsi="Cirilica Times" w:cs="Times New Roman"/>
      <w:sz w:val="24"/>
      <w:szCs w:val="20"/>
    </w:rPr>
  </w:style>
  <w:style w:type="paragraph" w:styleId="List3">
    <w:name w:val="List 3"/>
    <w:basedOn w:val="Normal"/>
    <w:rsid w:val="008C2B46"/>
    <w:pPr>
      <w:spacing w:after="0" w:line="240" w:lineRule="auto"/>
      <w:ind w:left="1080" w:hanging="360"/>
    </w:pPr>
    <w:rPr>
      <w:rFonts w:ascii="Cirilica Times" w:eastAsia="Times New Roman" w:hAnsi="Cirilica Times" w:cs="Times New Roman"/>
      <w:sz w:val="24"/>
      <w:szCs w:val="20"/>
    </w:rPr>
  </w:style>
  <w:style w:type="paragraph" w:styleId="List4">
    <w:name w:val="List 4"/>
    <w:basedOn w:val="Normal"/>
    <w:rsid w:val="008C2B46"/>
    <w:pPr>
      <w:spacing w:after="0" w:line="240" w:lineRule="auto"/>
      <w:ind w:left="1440" w:hanging="360"/>
    </w:pPr>
    <w:rPr>
      <w:rFonts w:ascii="Cirilica Times" w:eastAsia="Times New Roman" w:hAnsi="Cirilica Times" w:cs="Times New Roman"/>
      <w:sz w:val="24"/>
      <w:szCs w:val="20"/>
    </w:rPr>
  </w:style>
  <w:style w:type="paragraph" w:styleId="List5">
    <w:name w:val="List 5"/>
    <w:basedOn w:val="Normal"/>
    <w:rsid w:val="008C2B46"/>
    <w:pPr>
      <w:spacing w:after="0" w:line="240" w:lineRule="auto"/>
      <w:ind w:left="1800" w:hanging="360"/>
    </w:pPr>
    <w:rPr>
      <w:rFonts w:ascii="Cirilica Times" w:eastAsia="Times New Roman" w:hAnsi="Cirilica Times" w:cs="Times New Roman"/>
      <w:sz w:val="24"/>
      <w:szCs w:val="20"/>
    </w:rPr>
  </w:style>
  <w:style w:type="paragraph" w:styleId="ListBullet">
    <w:name w:val="List Bullet"/>
    <w:basedOn w:val="Normal"/>
    <w:rsid w:val="008C2B46"/>
    <w:pPr>
      <w:spacing w:after="0" w:line="240" w:lineRule="auto"/>
      <w:ind w:left="360" w:hanging="360"/>
    </w:pPr>
    <w:rPr>
      <w:rFonts w:ascii="Cirilica Times" w:eastAsia="Times New Roman" w:hAnsi="Cirilica Times" w:cs="Times New Roman"/>
      <w:sz w:val="24"/>
      <w:szCs w:val="20"/>
    </w:rPr>
  </w:style>
  <w:style w:type="paragraph" w:styleId="ListBullet2">
    <w:name w:val="List Bullet 2"/>
    <w:basedOn w:val="Normal"/>
    <w:rsid w:val="008C2B46"/>
    <w:pPr>
      <w:spacing w:after="0" w:line="240" w:lineRule="auto"/>
      <w:ind w:left="720" w:hanging="360"/>
    </w:pPr>
    <w:rPr>
      <w:rFonts w:ascii="Cirilica Times" w:eastAsia="Times New Roman" w:hAnsi="Cirilica Times" w:cs="Times New Roman"/>
      <w:sz w:val="24"/>
      <w:szCs w:val="20"/>
    </w:rPr>
  </w:style>
  <w:style w:type="paragraph" w:styleId="ListBullet3">
    <w:name w:val="List Bullet 3"/>
    <w:basedOn w:val="Normal"/>
    <w:rsid w:val="008C2B46"/>
    <w:pPr>
      <w:spacing w:after="0" w:line="240" w:lineRule="auto"/>
      <w:ind w:left="1080" w:hanging="360"/>
    </w:pPr>
    <w:rPr>
      <w:rFonts w:ascii="Cirilica Times" w:eastAsia="Times New Roman" w:hAnsi="Cirilica Times" w:cs="Times New Roman"/>
      <w:sz w:val="24"/>
      <w:szCs w:val="20"/>
    </w:rPr>
  </w:style>
  <w:style w:type="paragraph" w:styleId="ListBullet4">
    <w:name w:val="List Bullet 4"/>
    <w:basedOn w:val="Normal"/>
    <w:rsid w:val="008C2B46"/>
    <w:pPr>
      <w:spacing w:after="0" w:line="240" w:lineRule="auto"/>
      <w:ind w:left="1440" w:hanging="360"/>
    </w:pPr>
    <w:rPr>
      <w:rFonts w:ascii="Cirilica Times" w:eastAsia="Times New Roman" w:hAnsi="Cirilica Times" w:cs="Times New Roman"/>
      <w:sz w:val="24"/>
      <w:szCs w:val="20"/>
    </w:rPr>
  </w:style>
  <w:style w:type="paragraph" w:styleId="ListBullet5">
    <w:name w:val="List Bullet 5"/>
    <w:basedOn w:val="Normal"/>
    <w:rsid w:val="008C2B46"/>
    <w:pPr>
      <w:spacing w:after="0" w:line="240" w:lineRule="auto"/>
      <w:ind w:left="1800" w:hanging="360"/>
    </w:pPr>
    <w:rPr>
      <w:rFonts w:ascii="Cirilica Times" w:eastAsia="Times New Roman" w:hAnsi="Cirilica Times" w:cs="Times New Roman"/>
      <w:sz w:val="24"/>
      <w:szCs w:val="20"/>
    </w:rPr>
  </w:style>
  <w:style w:type="paragraph" w:styleId="ListContinue">
    <w:name w:val="List Continue"/>
    <w:basedOn w:val="Normal"/>
    <w:rsid w:val="008C2B46"/>
    <w:pPr>
      <w:spacing w:after="120" w:line="240" w:lineRule="auto"/>
      <w:ind w:left="360"/>
    </w:pPr>
    <w:rPr>
      <w:rFonts w:ascii="Cirilica Times" w:eastAsia="Times New Roman" w:hAnsi="Cirilica Times" w:cs="Times New Roman"/>
      <w:sz w:val="24"/>
      <w:szCs w:val="20"/>
    </w:rPr>
  </w:style>
  <w:style w:type="paragraph" w:styleId="MessageHeader">
    <w:name w:val="Message Header"/>
    <w:basedOn w:val="Normal"/>
    <w:link w:val="MessageHeaderChar"/>
    <w:rsid w:val="008C2B46"/>
    <w:pPr>
      <w:spacing w:after="0" w:line="240" w:lineRule="auto"/>
      <w:ind w:left="1080" w:hanging="1080"/>
    </w:pPr>
    <w:rPr>
      <w:rFonts w:ascii="Cirilica Helvetica" w:eastAsia="Times New Roman" w:hAnsi="Cirilica Helvetica" w:cs="Times New Roman"/>
      <w:sz w:val="24"/>
      <w:szCs w:val="20"/>
    </w:rPr>
  </w:style>
  <w:style w:type="character" w:customStyle="1" w:styleId="MessageHeaderChar">
    <w:name w:val="Message Header Char"/>
    <w:basedOn w:val="DefaultParagraphFont"/>
    <w:link w:val="MessageHeader"/>
    <w:rsid w:val="008C2B46"/>
    <w:rPr>
      <w:rFonts w:ascii="Cirilica Helvetica" w:eastAsia="Times New Roman" w:hAnsi="Cirilica Helvetica" w:cs="Times New Roman"/>
      <w:sz w:val="24"/>
      <w:szCs w:val="20"/>
    </w:rPr>
  </w:style>
  <w:style w:type="paragraph" w:styleId="TOAHeading">
    <w:name w:val="toa heading"/>
    <w:basedOn w:val="Normal"/>
    <w:next w:val="Normal"/>
    <w:semiHidden/>
    <w:rsid w:val="008C2B46"/>
    <w:pPr>
      <w:spacing w:before="120" w:after="0" w:line="240" w:lineRule="auto"/>
    </w:pPr>
    <w:rPr>
      <w:rFonts w:ascii="Cirilica Helvetica" w:eastAsia="Times New Roman" w:hAnsi="Cirilica Helvetica" w:cs="Times New Roman"/>
      <w:b/>
      <w:sz w:val="24"/>
      <w:szCs w:val="20"/>
    </w:rPr>
  </w:style>
  <w:style w:type="paragraph" w:styleId="BodyText3">
    <w:name w:val="Body Text 3"/>
    <w:basedOn w:val="Normal"/>
    <w:link w:val="BodyText3Char"/>
    <w:rsid w:val="008C2B46"/>
    <w:pPr>
      <w:spacing w:after="0" w:line="240" w:lineRule="auto"/>
      <w:jc w:val="both"/>
    </w:pPr>
    <w:rPr>
      <w:rFonts w:ascii="Cirilica Times" w:eastAsia="Times New Roman" w:hAnsi="Cirilica Times" w:cs="Times New Roman"/>
      <w:b/>
      <w:sz w:val="28"/>
      <w:szCs w:val="20"/>
    </w:rPr>
  </w:style>
  <w:style w:type="character" w:customStyle="1" w:styleId="BodyText3Char">
    <w:name w:val="Body Text 3 Char"/>
    <w:basedOn w:val="DefaultParagraphFont"/>
    <w:link w:val="BodyText3"/>
    <w:rsid w:val="008C2B46"/>
    <w:rPr>
      <w:rFonts w:ascii="Cirilica Times" w:eastAsia="Times New Roman" w:hAnsi="Cirilica Times" w:cs="Times New Roman"/>
      <w:b/>
      <w:sz w:val="28"/>
      <w:szCs w:val="20"/>
    </w:rPr>
  </w:style>
  <w:style w:type="paragraph" w:customStyle="1" w:styleId="font5">
    <w:name w:val="font5"/>
    <w:basedOn w:val="Normal"/>
    <w:rsid w:val="008C2B46"/>
    <w:pP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font6">
    <w:name w:val="font6"/>
    <w:basedOn w:val="Normal"/>
    <w:rsid w:val="008C2B46"/>
    <w:pPr>
      <w:spacing w:before="100" w:beforeAutospacing="1" w:after="100" w:afterAutospacing="1" w:line="240" w:lineRule="auto"/>
    </w:pPr>
    <w:rPr>
      <w:rFonts w:ascii="Times New Roman" w:eastAsia="Arial Unicode MS" w:hAnsi="Times New Roman" w:cs="Times New Roman"/>
      <w:sz w:val="16"/>
      <w:szCs w:val="16"/>
    </w:rPr>
  </w:style>
  <w:style w:type="paragraph" w:customStyle="1" w:styleId="font7">
    <w:name w:val="font7"/>
    <w:basedOn w:val="Normal"/>
    <w:rsid w:val="008C2B46"/>
    <w:pPr>
      <w:spacing w:before="100" w:beforeAutospacing="1" w:after="100" w:afterAutospacing="1" w:line="240" w:lineRule="auto"/>
    </w:pPr>
    <w:rPr>
      <w:rFonts w:ascii="Cirilica Times" w:eastAsia="Arial Unicode MS" w:hAnsi="Cirilica Times" w:cs="Arial Unicode MS"/>
      <w:sz w:val="18"/>
      <w:szCs w:val="18"/>
    </w:rPr>
  </w:style>
  <w:style w:type="paragraph" w:customStyle="1" w:styleId="font8">
    <w:name w:val="font8"/>
    <w:basedOn w:val="Normal"/>
    <w:rsid w:val="008C2B46"/>
    <w:pPr>
      <w:spacing w:before="100" w:beforeAutospacing="1" w:after="100" w:afterAutospacing="1" w:line="240" w:lineRule="auto"/>
    </w:pPr>
    <w:rPr>
      <w:rFonts w:ascii="Courier New" w:eastAsia="Arial Unicode MS" w:hAnsi="Courier New" w:cs="Courier New"/>
      <w:sz w:val="18"/>
      <w:szCs w:val="18"/>
    </w:rPr>
  </w:style>
  <w:style w:type="paragraph" w:customStyle="1" w:styleId="font9">
    <w:name w:val="font9"/>
    <w:basedOn w:val="Normal"/>
    <w:rsid w:val="008C2B46"/>
    <w:pPr>
      <w:spacing w:before="100" w:beforeAutospacing="1" w:after="100" w:afterAutospacing="1" w:line="240" w:lineRule="auto"/>
    </w:pPr>
    <w:rPr>
      <w:rFonts w:ascii="Times New Roman" w:eastAsia="Arial Unicode MS" w:hAnsi="Times New Roman" w:cs="Times New Roman"/>
      <w:sz w:val="18"/>
      <w:szCs w:val="18"/>
    </w:rPr>
  </w:style>
  <w:style w:type="paragraph" w:customStyle="1" w:styleId="xl24">
    <w:name w:val="xl24"/>
    <w:basedOn w:val="Normal"/>
    <w:rsid w:val="008C2B4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16"/>
      <w:szCs w:val="16"/>
    </w:rPr>
  </w:style>
  <w:style w:type="paragraph" w:customStyle="1" w:styleId="xl25">
    <w:name w:val="xl25"/>
    <w:basedOn w:val="Normal"/>
    <w:rsid w:val="008C2B46"/>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18"/>
      <w:szCs w:val="18"/>
    </w:rPr>
  </w:style>
  <w:style w:type="paragraph" w:customStyle="1" w:styleId="xl26">
    <w:name w:val="xl26"/>
    <w:basedOn w:val="Normal"/>
    <w:rsid w:val="008C2B46"/>
    <w:pPr>
      <w:pBdr>
        <w:top w:val="single" w:sz="8" w:space="0" w:color="auto"/>
        <w:right w:val="single" w:sz="4" w:space="0" w:color="auto"/>
      </w:pBdr>
      <w:spacing w:before="100" w:beforeAutospacing="1" w:after="100" w:afterAutospacing="1" w:line="240" w:lineRule="auto"/>
      <w:jc w:val="center"/>
      <w:textAlignment w:val="center"/>
    </w:pPr>
    <w:rPr>
      <w:rFonts w:ascii="Cirilica Times" w:eastAsia="Arial Unicode MS" w:hAnsi="Cirilica Times" w:cs="Arial Unicode MS"/>
      <w:b/>
      <w:bCs/>
      <w:sz w:val="18"/>
      <w:szCs w:val="18"/>
    </w:rPr>
  </w:style>
  <w:style w:type="paragraph" w:customStyle="1" w:styleId="xl27">
    <w:name w:val="xl27"/>
    <w:basedOn w:val="Normal"/>
    <w:rsid w:val="008C2B46"/>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Unicode MS" w:eastAsia="Arial Unicode MS" w:hAnsi="Arial Unicode MS" w:cs="Arial Unicode MS"/>
      <w:b/>
      <w:bCs/>
      <w:sz w:val="18"/>
      <w:szCs w:val="18"/>
    </w:rPr>
  </w:style>
  <w:style w:type="paragraph" w:customStyle="1" w:styleId="xl28">
    <w:name w:val="xl28"/>
    <w:basedOn w:val="Normal"/>
    <w:rsid w:val="008C2B46"/>
    <w:pPr>
      <w:pBdr>
        <w:top w:val="single" w:sz="8" w:space="0" w:color="auto"/>
        <w:bottom w:val="single" w:sz="4" w:space="0" w:color="auto"/>
        <w:right w:val="single" w:sz="4" w:space="0" w:color="auto"/>
      </w:pBdr>
      <w:spacing w:before="100" w:beforeAutospacing="1" w:after="100" w:afterAutospacing="1" w:line="240" w:lineRule="auto"/>
      <w:textAlignment w:val="center"/>
    </w:pPr>
    <w:rPr>
      <w:rFonts w:ascii="Arial Unicode MS" w:eastAsia="Arial Unicode MS" w:hAnsi="Arial Unicode MS" w:cs="Arial Unicode MS"/>
      <w:b/>
      <w:bCs/>
      <w:sz w:val="18"/>
      <w:szCs w:val="18"/>
    </w:rPr>
  </w:style>
  <w:style w:type="paragraph" w:customStyle="1" w:styleId="xl29">
    <w:name w:val="xl29"/>
    <w:basedOn w:val="Normal"/>
    <w:rsid w:val="008C2B46"/>
    <w:pPr>
      <w:pBdr>
        <w:top w:val="single" w:sz="8" w:space="0" w:color="auto"/>
        <w:bottom w:val="single" w:sz="4" w:space="0" w:color="auto"/>
      </w:pBdr>
      <w:spacing w:before="100" w:beforeAutospacing="1" w:after="100" w:afterAutospacing="1" w:line="240" w:lineRule="auto"/>
      <w:textAlignment w:val="center"/>
    </w:pPr>
    <w:rPr>
      <w:rFonts w:ascii="Arial Unicode MS" w:eastAsia="Arial Unicode MS" w:hAnsi="Arial Unicode MS" w:cs="Arial Unicode MS"/>
      <w:b/>
      <w:bCs/>
      <w:sz w:val="18"/>
      <w:szCs w:val="18"/>
    </w:rPr>
  </w:style>
  <w:style w:type="paragraph" w:customStyle="1" w:styleId="xl30">
    <w:name w:val="xl30"/>
    <w:basedOn w:val="Normal"/>
    <w:rsid w:val="008C2B46"/>
    <w:pPr>
      <w:pBdr>
        <w:top w:val="single" w:sz="8" w:space="0" w:color="auto"/>
        <w:bottom w:val="single" w:sz="4" w:space="0" w:color="auto"/>
        <w:right w:val="single" w:sz="8" w:space="0" w:color="auto"/>
      </w:pBdr>
      <w:spacing w:before="100" w:beforeAutospacing="1" w:after="100" w:afterAutospacing="1" w:line="240" w:lineRule="auto"/>
      <w:textAlignment w:val="center"/>
    </w:pPr>
    <w:rPr>
      <w:rFonts w:ascii="Arial Unicode MS" w:eastAsia="Arial Unicode MS" w:hAnsi="Arial Unicode MS" w:cs="Arial Unicode MS"/>
      <w:b/>
      <w:bCs/>
      <w:sz w:val="18"/>
      <w:szCs w:val="18"/>
    </w:rPr>
  </w:style>
  <w:style w:type="paragraph" w:customStyle="1" w:styleId="xl31">
    <w:name w:val="xl31"/>
    <w:basedOn w:val="Normal"/>
    <w:rsid w:val="008C2B46"/>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18"/>
      <w:szCs w:val="18"/>
    </w:rPr>
  </w:style>
  <w:style w:type="paragraph" w:customStyle="1" w:styleId="xl32">
    <w:name w:val="xl32"/>
    <w:basedOn w:val="Normal"/>
    <w:rsid w:val="008C2B46"/>
    <w:pPr>
      <w:pBdr>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18"/>
      <w:szCs w:val="18"/>
    </w:rPr>
  </w:style>
  <w:style w:type="paragraph" w:customStyle="1" w:styleId="xl33">
    <w:name w:val="xl33"/>
    <w:basedOn w:val="Normal"/>
    <w:rsid w:val="008C2B46"/>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Arial Unicode MS" w:eastAsia="Arial Unicode MS" w:hAnsi="Arial Unicode MS" w:cs="Arial Unicode MS"/>
      <w:sz w:val="18"/>
      <w:szCs w:val="18"/>
    </w:rPr>
  </w:style>
  <w:style w:type="paragraph" w:customStyle="1" w:styleId="xl34">
    <w:name w:val="xl34"/>
    <w:basedOn w:val="Normal"/>
    <w:rsid w:val="008C2B46"/>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18"/>
      <w:szCs w:val="18"/>
    </w:rPr>
  </w:style>
  <w:style w:type="paragraph" w:customStyle="1" w:styleId="xl35">
    <w:name w:val="xl35"/>
    <w:basedOn w:val="Normal"/>
    <w:rsid w:val="008C2B46"/>
    <w:pPr>
      <w:pBdr>
        <w:bottom w:val="single" w:sz="8" w:space="0" w:color="auto"/>
        <w:right w:val="single" w:sz="8"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18"/>
      <w:szCs w:val="18"/>
    </w:rPr>
  </w:style>
  <w:style w:type="paragraph" w:customStyle="1" w:styleId="xl36">
    <w:name w:val="xl36"/>
    <w:basedOn w:val="Normal"/>
    <w:rsid w:val="008C2B46"/>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8"/>
      <w:szCs w:val="18"/>
    </w:rPr>
  </w:style>
  <w:style w:type="paragraph" w:customStyle="1" w:styleId="xl37">
    <w:name w:val="xl37"/>
    <w:basedOn w:val="Normal"/>
    <w:rsid w:val="008C2B46"/>
    <w:pPr>
      <w:pBdr>
        <w:top w:val="single" w:sz="8" w:space="0" w:color="auto"/>
        <w:bottom w:val="single" w:sz="8"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8"/>
      <w:szCs w:val="18"/>
    </w:rPr>
  </w:style>
  <w:style w:type="paragraph" w:customStyle="1" w:styleId="xl38">
    <w:name w:val="xl38"/>
    <w:basedOn w:val="Normal"/>
    <w:rsid w:val="008C2B46"/>
    <w:pPr>
      <w:pBdr>
        <w:top w:val="single" w:sz="8" w:space="0" w:color="auto"/>
        <w:bottom w:val="single" w:sz="8"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8"/>
      <w:szCs w:val="18"/>
    </w:rPr>
  </w:style>
  <w:style w:type="paragraph" w:customStyle="1" w:styleId="xl39">
    <w:name w:val="xl39"/>
    <w:basedOn w:val="Normal"/>
    <w:rsid w:val="008C2B46"/>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0">
    <w:name w:val="xl40"/>
    <w:basedOn w:val="Normal"/>
    <w:rsid w:val="008C2B46"/>
    <w:pPr>
      <w:pBdr>
        <w:top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1">
    <w:name w:val="xl41"/>
    <w:basedOn w:val="Normal"/>
    <w:rsid w:val="008C2B46"/>
    <w:pPr>
      <w:pBdr>
        <w:top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2">
    <w:name w:val="xl42"/>
    <w:basedOn w:val="Normal"/>
    <w:rsid w:val="008C2B46"/>
    <w:pPr>
      <w:pBdr>
        <w:left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3">
    <w:name w:val="xl43"/>
    <w:basedOn w:val="Normal"/>
    <w:rsid w:val="008C2B46"/>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4">
    <w:name w:val="xl44"/>
    <w:basedOn w:val="Normal"/>
    <w:rsid w:val="008C2B46"/>
    <w:pPr>
      <w:pBdr>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5">
    <w:name w:val="xl45"/>
    <w:basedOn w:val="Normal"/>
    <w:rsid w:val="008C2B46"/>
    <w:pPr>
      <w:pBdr>
        <w:left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b/>
      <w:bCs/>
      <w:sz w:val="18"/>
      <w:szCs w:val="18"/>
    </w:rPr>
  </w:style>
  <w:style w:type="paragraph" w:customStyle="1" w:styleId="xl46">
    <w:name w:val="xl46"/>
    <w:basedOn w:val="Normal"/>
    <w:rsid w:val="008C2B46"/>
    <w:pPr>
      <w:pBdr>
        <w:left w:val="single" w:sz="8" w:space="0" w:color="auto"/>
        <w:bottom w:val="single" w:sz="8"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7">
    <w:name w:val="xl47"/>
    <w:basedOn w:val="Normal"/>
    <w:rsid w:val="008C2B46"/>
    <w:pPr>
      <w:pBdr>
        <w:bottom w:val="single" w:sz="8"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8">
    <w:name w:val="xl48"/>
    <w:basedOn w:val="Normal"/>
    <w:rsid w:val="008C2B46"/>
    <w:pPr>
      <w:pBdr>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9">
    <w:name w:val="xl49"/>
    <w:basedOn w:val="Normal"/>
    <w:rsid w:val="008C2B46"/>
    <w:pPr>
      <w:pBdr>
        <w:left w:val="single" w:sz="8"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50">
    <w:name w:val="xl50"/>
    <w:basedOn w:val="Normal"/>
    <w:rsid w:val="008C2B46"/>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b/>
      <w:bCs/>
      <w:sz w:val="18"/>
      <w:szCs w:val="18"/>
    </w:rPr>
  </w:style>
  <w:style w:type="paragraph" w:customStyle="1" w:styleId="xl51">
    <w:name w:val="xl51"/>
    <w:basedOn w:val="Normal"/>
    <w:rsid w:val="008C2B46"/>
    <w:pPr>
      <w:pBdr>
        <w:left w:val="single" w:sz="8" w:space="0" w:color="auto"/>
        <w:bottom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52">
    <w:name w:val="xl52"/>
    <w:basedOn w:val="Normal"/>
    <w:rsid w:val="008C2B46"/>
    <w:pPr>
      <w:pBdr>
        <w:left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b/>
      <w:bCs/>
      <w:sz w:val="18"/>
      <w:szCs w:val="18"/>
    </w:rPr>
  </w:style>
  <w:style w:type="paragraph" w:customStyle="1" w:styleId="xl53">
    <w:name w:val="xl53"/>
    <w:basedOn w:val="Normal"/>
    <w:rsid w:val="008C2B46"/>
    <w:pPr>
      <w:pBdr>
        <w:left w:val="single" w:sz="8" w:space="0" w:color="auto"/>
        <w:bottom w:val="single" w:sz="4" w:space="0" w:color="auto"/>
      </w:pBdr>
      <w:spacing w:before="100" w:beforeAutospacing="1" w:after="100" w:afterAutospacing="1" w:line="240" w:lineRule="auto"/>
    </w:pPr>
    <w:rPr>
      <w:rFonts w:ascii="Courier New" w:eastAsia="Arial Unicode MS" w:hAnsi="Courier New" w:cs="Courier New"/>
      <w:b/>
      <w:bCs/>
      <w:sz w:val="18"/>
      <w:szCs w:val="18"/>
    </w:rPr>
  </w:style>
  <w:style w:type="paragraph" w:customStyle="1" w:styleId="xl54">
    <w:name w:val="xl54"/>
    <w:basedOn w:val="Normal"/>
    <w:rsid w:val="008C2B46"/>
    <w:pPr>
      <w:pBdr>
        <w:left w:val="single" w:sz="8"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18"/>
      <w:szCs w:val="18"/>
    </w:rPr>
  </w:style>
  <w:style w:type="paragraph" w:customStyle="1" w:styleId="xl55">
    <w:name w:val="xl55"/>
    <w:basedOn w:val="Normal"/>
    <w:rsid w:val="008C2B46"/>
    <w:pPr>
      <w:pBdr>
        <w:top w:val="single" w:sz="8" w:space="0" w:color="auto"/>
        <w:left w:val="single" w:sz="8" w:space="0" w:color="auto"/>
        <w:bottom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56">
    <w:name w:val="xl56"/>
    <w:basedOn w:val="Normal"/>
    <w:rsid w:val="008C2B4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57">
    <w:name w:val="xl57"/>
    <w:basedOn w:val="Normal"/>
    <w:rsid w:val="008C2B46"/>
    <w:pPr>
      <w:pBdr>
        <w:top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58">
    <w:name w:val="xl58"/>
    <w:basedOn w:val="Normal"/>
    <w:rsid w:val="008C2B46"/>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59">
    <w:name w:val="xl59"/>
    <w:basedOn w:val="Normal"/>
    <w:rsid w:val="008C2B46"/>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0">
    <w:name w:val="xl60"/>
    <w:basedOn w:val="Normal"/>
    <w:rsid w:val="008C2B46"/>
    <w:pPr>
      <w:pBdr>
        <w:top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1">
    <w:name w:val="xl61"/>
    <w:basedOn w:val="Normal"/>
    <w:rsid w:val="008C2B46"/>
    <w:pPr>
      <w:pBdr>
        <w:top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2">
    <w:name w:val="xl62"/>
    <w:basedOn w:val="Normal"/>
    <w:rsid w:val="008C2B46"/>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3">
    <w:name w:val="xl63"/>
    <w:basedOn w:val="Normal"/>
    <w:rsid w:val="008C2B46"/>
    <w:pPr>
      <w:pBdr>
        <w:left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4">
    <w:name w:val="xl64"/>
    <w:basedOn w:val="Normal"/>
    <w:rsid w:val="008C2B46"/>
    <w:pPr>
      <w:pBdr>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5">
    <w:name w:val="xl65"/>
    <w:basedOn w:val="Normal"/>
    <w:rsid w:val="008C2B46"/>
    <w:pPr>
      <w:pBdr>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6">
    <w:name w:val="xl66"/>
    <w:basedOn w:val="Normal"/>
    <w:rsid w:val="008C2B46"/>
    <w:pPr>
      <w:pBdr>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7">
    <w:name w:val="xl67"/>
    <w:basedOn w:val="Normal"/>
    <w:rsid w:val="008C2B4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8">
    <w:name w:val="xl68"/>
    <w:basedOn w:val="Normal"/>
    <w:rsid w:val="008C2B46"/>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9">
    <w:name w:val="xl69"/>
    <w:basedOn w:val="Normal"/>
    <w:rsid w:val="008C2B46"/>
    <w:pPr>
      <w:pBdr>
        <w:top w:val="single" w:sz="4"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0">
    <w:name w:val="xl70"/>
    <w:basedOn w:val="Normal"/>
    <w:rsid w:val="008C2B46"/>
    <w:pPr>
      <w:pBdr>
        <w:left w:val="single" w:sz="8"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1">
    <w:name w:val="xl71"/>
    <w:basedOn w:val="Normal"/>
    <w:rsid w:val="008C2B46"/>
    <w:pPr>
      <w:pBdr>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2">
    <w:name w:val="xl72"/>
    <w:basedOn w:val="Normal"/>
    <w:rsid w:val="008C2B46"/>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3">
    <w:name w:val="xl73"/>
    <w:basedOn w:val="Normal"/>
    <w:rsid w:val="008C2B46"/>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4">
    <w:name w:val="xl74"/>
    <w:basedOn w:val="Normal"/>
    <w:rsid w:val="008C2B46"/>
    <w:pPr>
      <w:pBdr>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5">
    <w:name w:val="xl75"/>
    <w:basedOn w:val="Normal"/>
    <w:rsid w:val="008C2B46"/>
    <w:pPr>
      <w:pBdr>
        <w:left w:val="single" w:sz="4"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6">
    <w:name w:val="xl76"/>
    <w:basedOn w:val="Normal"/>
    <w:rsid w:val="008C2B46"/>
    <w:pPr>
      <w:pBdr>
        <w:top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7">
    <w:name w:val="xl77"/>
    <w:basedOn w:val="Normal"/>
    <w:rsid w:val="008C2B46"/>
    <w:pPr>
      <w:pBdr>
        <w:top w:val="single" w:sz="8"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b/>
      <w:bCs/>
      <w:sz w:val="16"/>
      <w:szCs w:val="16"/>
    </w:rPr>
  </w:style>
  <w:style w:type="paragraph" w:customStyle="1" w:styleId="xl78">
    <w:name w:val="xl78"/>
    <w:basedOn w:val="Normal"/>
    <w:rsid w:val="008C2B46"/>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9">
    <w:name w:val="xl79"/>
    <w:basedOn w:val="Normal"/>
    <w:rsid w:val="008C2B46"/>
    <w:pPr>
      <w:pBdr>
        <w:left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80">
    <w:name w:val="xl80"/>
    <w:basedOn w:val="Normal"/>
    <w:rsid w:val="008C2B46"/>
    <w:pPr>
      <w:pBdr>
        <w:left w:val="single" w:sz="4" w:space="0" w:color="auto"/>
        <w:bottom w:val="single" w:sz="8"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81">
    <w:name w:val="xl81"/>
    <w:basedOn w:val="Normal"/>
    <w:rsid w:val="008C2B46"/>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Cirilica Times" w:eastAsia="Arial Unicode MS" w:hAnsi="Cirilica Times" w:cs="Arial Unicode MS"/>
      <w:sz w:val="16"/>
      <w:szCs w:val="16"/>
    </w:rPr>
  </w:style>
  <w:style w:type="paragraph" w:customStyle="1" w:styleId="xl82">
    <w:name w:val="xl82"/>
    <w:basedOn w:val="Normal"/>
    <w:rsid w:val="008C2B46"/>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83">
    <w:name w:val="xl83"/>
    <w:basedOn w:val="Normal"/>
    <w:rsid w:val="008C2B46"/>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Unicode MS" w:eastAsia="Arial Unicode MS" w:hAnsi="Arial Unicode MS" w:cs="Arial Unicode MS"/>
      <w:sz w:val="18"/>
      <w:szCs w:val="18"/>
    </w:rPr>
  </w:style>
  <w:style w:type="paragraph" w:customStyle="1" w:styleId="xl84">
    <w:name w:val="xl84"/>
    <w:basedOn w:val="Normal"/>
    <w:rsid w:val="008C2B46"/>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18"/>
      <w:szCs w:val="18"/>
    </w:rPr>
  </w:style>
  <w:style w:type="paragraph" w:customStyle="1" w:styleId="xl85">
    <w:name w:val="xl85"/>
    <w:basedOn w:val="Normal"/>
    <w:rsid w:val="008C2B46"/>
    <w:pPr>
      <w:pBdr>
        <w:top w:val="single" w:sz="8" w:space="0" w:color="auto"/>
        <w:left w:val="single" w:sz="8" w:space="0" w:color="auto"/>
        <w:bottom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113">
    <w:name w:val="xl113"/>
    <w:basedOn w:val="Normal"/>
    <w:rsid w:val="008C2B46"/>
    <w:pPr>
      <w:pBdr>
        <w:bottom w:val="single" w:sz="8" w:space="0" w:color="auto"/>
        <w:right w:val="single" w:sz="8" w:space="0" w:color="auto"/>
      </w:pBdr>
      <w:spacing w:before="100" w:beforeAutospacing="1" w:after="100" w:afterAutospacing="1" w:line="240" w:lineRule="auto"/>
      <w:jc w:val="center"/>
      <w:textAlignment w:val="center"/>
    </w:pPr>
    <w:rPr>
      <w:rFonts w:ascii="Cirilica Times" w:eastAsia="Arial Unicode MS" w:hAnsi="Cirilica Times" w:cs="Arial Unicode MS"/>
      <w:b/>
      <w:bCs/>
      <w:sz w:val="24"/>
      <w:szCs w:val="24"/>
    </w:rPr>
  </w:style>
  <w:style w:type="paragraph" w:customStyle="1" w:styleId="xl86">
    <w:name w:val="xl86"/>
    <w:basedOn w:val="Normal"/>
    <w:rsid w:val="008C2B46"/>
    <w:pPr>
      <w:pBdr>
        <w:left w:val="single" w:sz="4" w:space="0" w:color="auto"/>
        <w:bottom w:val="single" w:sz="4" w:space="0" w:color="auto"/>
        <w:right w:val="single" w:sz="4" w:space="0" w:color="auto"/>
      </w:pBdr>
      <w:shd w:val="clear" w:color="auto" w:fill="EAEAEA"/>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87">
    <w:name w:val="xl87"/>
    <w:basedOn w:val="Normal"/>
    <w:rsid w:val="008C2B46"/>
    <w:pPr>
      <w:pBdr>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88">
    <w:name w:val="xl88"/>
    <w:basedOn w:val="Normal"/>
    <w:rsid w:val="008C2B46"/>
    <w:pPr>
      <w:pBdr>
        <w:top w:val="single" w:sz="4"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89">
    <w:name w:val="xl89"/>
    <w:basedOn w:val="Normal"/>
    <w:rsid w:val="008C2B46"/>
    <w:pP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90">
    <w:name w:val="xl90"/>
    <w:basedOn w:val="Normal"/>
    <w:rsid w:val="008C2B46"/>
    <w:pPr>
      <w:pBdr>
        <w:top w:val="single" w:sz="8" w:space="0" w:color="auto"/>
        <w:left w:val="single" w:sz="8" w:space="0" w:color="auto"/>
        <w:bottom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91">
    <w:name w:val="xl91"/>
    <w:basedOn w:val="Normal"/>
    <w:rsid w:val="008C2B46"/>
    <w:pPr>
      <w:pBdr>
        <w:top w:val="single" w:sz="8" w:space="0" w:color="auto"/>
        <w:left w:val="single" w:sz="8" w:space="0" w:color="auto"/>
        <w:bottom w:val="single" w:sz="8" w:space="0" w:color="auto"/>
      </w:pBdr>
      <w:spacing w:before="100" w:beforeAutospacing="1" w:after="100" w:afterAutospacing="1" w:line="240" w:lineRule="auto"/>
      <w:jc w:val="right"/>
    </w:pPr>
    <w:rPr>
      <w:rFonts w:ascii="Arial Unicode MS" w:eastAsia="Arial Unicode MS" w:hAnsi="Arial Unicode MS" w:cs="Arial Unicode MS"/>
      <w:sz w:val="24"/>
      <w:szCs w:val="24"/>
    </w:rPr>
  </w:style>
  <w:style w:type="paragraph" w:customStyle="1" w:styleId="xl92">
    <w:name w:val="xl92"/>
    <w:basedOn w:val="Normal"/>
    <w:rsid w:val="008C2B46"/>
    <w:pPr>
      <w:pBdr>
        <w:bottom w:val="single" w:sz="4" w:space="0" w:color="auto"/>
        <w:right w:val="single" w:sz="8" w:space="0" w:color="auto"/>
      </w:pBdr>
      <w:spacing w:before="100" w:beforeAutospacing="1" w:after="100" w:afterAutospacing="1" w:line="240" w:lineRule="auto"/>
      <w:jc w:val="center"/>
    </w:pPr>
    <w:rPr>
      <w:rFonts w:ascii="Times New Roman" w:eastAsia="Arial Unicode MS" w:hAnsi="Times New Roman" w:cs="Times New Roman"/>
      <w:b/>
      <w:bCs/>
      <w:sz w:val="18"/>
      <w:szCs w:val="18"/>
    </w:rPr>
  </w:style>
  <w:style w:type="paragraph" w:customStyle="1" w:styleId="xl93">
    <w:name w:val="xl93"/>
    <w:basedOn w:val="Normal"/>
    <w:rsid w:val="008C2B46"/>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Arial Unicode MS" w:hAnsi="Times New Roman" w:cs="Times New Roman"/>
      <w:b/>
      <w:bCs/>
      <w:sz w:val="18"/>
      <w:szCs w:val="18"/>
    </w:rPr>
  </w:style>
  <w:style w:type="paragraph" w:customStyle="1" w:styleId="xl94">
    <w:name w:val="xl94"/>
    <w:basedOn w:val="Normal"/>
    <w:rsid w:val="008C2B46"/>
    <w:pPr>
      <w:pBdr>
        <w:left w:val="single" w:sz="4" w:space="0" w:color="auto"/>
        <w:right w:val="single" w:sz="4" w:space="0" w:color="auto"/>
      </w:pBdr>
      <w:shd w:val="clear" w:color="auto" w:fill="EAEAEA"/>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95">
    <w:name w:val="xl95"/>
    <w:basedOn w:val="Normal"/>
    <w:rsid w:val="008C2B4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rPr>
  </w:style>
  <w:style w:type="paragraph" w:customStyle="1" w:styleId="xl96">
    <w:name w:val="xl96"/>
    <w:basedOn w:val="Normal"/>
    <w:rsid w:val="008C2B46"/>
    <w:pPr>
      <w:pBdr>
        <w:top w:val="single" w:sz="4" w:space="0" w:color="auto"/>
        <w:left w:val="single" w:sz="4" w:space="0" w:color="auto"/>
        <w:bottom w:val="single" w:sz="4" w:space="0" w:color="auto"/>
        <w:right w:val="single" w:sz="4" w:space="0" w:color="auto"/>
      </w:pBdr>
      <w:shd w:val="clear" w:color="auto" w:fill="EAEAEA"/>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97">
    <w:name w:val="xl97"/>
    <w:basedOn w:val="Normal"/>
    <w:rsid w:val="008C2B46"/>
    <w:pPr>
      <w:pBdr>
        <w:top w:val="single" w:sz="4" w:space="0" w:color="auto"/>
        <w:left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98">
    <w:name w:val="xl98"/>
    <w:basedOn w:val="Normal"/>
    <w:rsid w:val="008C2B46"/>
    <w:pPr>
      <w:pBdr>
        <w:top w:val="single" w:sz="8" w:space="0" w:color="auto"/>
        <w:left w:val="single" w:sz="4" w:space="0" w:color="auto"/>
        <w:bottom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99">
    <w:name w:val="xl99"/>
    <w:basedOn w:val="Normal"/>
    <w:rsid w:val="008C2B46"/>
    <w:pPr>
      <w:pBdr>
        <w:top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00">
    <w:name w:val="xl100"/>
    <w:basedOn w:val="Normal"/>
    <w:rsid w:val="008C2B46"/>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01">
    <w:name w:val="xl101"/>
    <w:basedOn w:val="Normal"/>
    <w:rsid w:val="008C2B46"/>
    <w:pPr>
      <w:pBdr>
        <w:top w:val="single" w:sz="8" w:space="0" w:color="auto"/>
      </w:pBdr>
      <w:spacing w:before="100" w:beforeAutospacing="1" w:after="100" w:afterAutospacing="1" w:line="240" w:lineRule="auto"/>
      <w:jc w:val="center"/>
    </w:pPr>
    <w:rPr>
      <w:rFonts w:ascii="Cirilica Times" w:eastAsia="Arial Unicode MS" w:hAnsi="Cirilica Times" w:cs="Arial Unicode MS"/>
      <w:b/>
      <w:bCs/>
      <w:sz w:val="24"/>
      <w:szCs w:val="24"/>
    </w:rPr>
  </w:style>
  <w:style w:type="paragraph" w:customStyle="1" w:styleId="xl102">
    <w:name w:val="xl102"/>
    <w:basedOn w:val="Normal"/>
    <w:rsid w:val="008C2B46"/>
    <w:pPr>
      <w:pBdr>
        <w:bottom w:val="single" w:sz="4" w:space="0" w:color="auto"/>
      </w:pBdr>
      <w:spacing w:before="100" w:beforeAutospacing="1" w:after="100" w:afterAutospacing="1" w:line="240" w:lineRule="auto"/>
    </w:pPr>
    <w:rPr>
      <w:rFonts w:ascii="Times New Roman" w:eastAsia="Arial Unicode MS" w:hAnsi="Times New Roman" w:cs="Times New Roman"/>
      <w:b/>
      <w:bCs/>
      <w:sz w:val="24"/>
      <w:szCs w:val="24"/>
    </w:rPr>
  </w:style>
  <w:style w:type="paragraph" w:customStyle="1" w:styleId="xl103">
    <w:name w:val="xl103"/>
    <w:basedOn w:val="Normal"/>
    <w:rsid w:val="008C2B46"/>
    <w:pPr>
      <w:pBdr>
        <w:top w:val="single" w:sz="8" w:space="0" w:color="auto"/>
        <w:left w:val="single" w:sz="8" w:space="0" w:color="auto"/>
        <w:bottom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04">
    <w:name w:val="xl104"/>
    <w:basedOn w:val="Normal"/>
    <w:rsid w:val="008C2B46"/>
    <w:pPr>
      <w:pBdr>
        <w:left w:val="single" w:sz="8"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05">
    <w:name w:val="xl105"/>
    <w:basedOn w:val="Normal"/>
    <w:rsid w:val="008C2B46"/>
    <w:pPr>
      <w:pBdr>
        <w:top w:val="single" w:sz="4" w:space="0" w:color="auto"/>
        <w:left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06">
    <w:name w:val="xl106"/>
    <w:basedOn w:val="Normal"/>
    <w:rsid w:val="008C2B46"/>
    <w:pPr>
      <w:pBdr>
        <w:top w:val="single" w:sz="8" w:space="0" w:color="auto"/>
        <w:left w:val="single" w:sz="8" w:space="0" w:color="auto"/>
        <w:bottom w:val="single" w:sz="8" w:space="0" w:color="auto"/>
      </w:pBdr>
      <w:shd w:val="clear" w:color="auto" w:fill="EAEAEA"/>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07">
    <w:name w:val="xl107"/>
    <w:basedOn w:val="Normal"/>
    <w:rsid w:val="008C2B46"/>
    <w:pPr>
      <w:pBdr>
        <w:left w:val="single" w:sz="8" w:space="0" w:color="auto"/>
        <w:bottom w:val="single" w:sz="4" w:space="0" w:color="auto"/>
      </w:pBdr>
      <w:shd w:val="clear" w:color="auto" w:fill="EAEAEA"/>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08">
    <w:name w:val="xl108"/>
    <w:basedOn w:val="Normal"/>
    <w:rsid w:val="008C2B46"/>
    <w:pPr>
      <w:pBdr>
        <w:left w:val="single" w:sz="8" w:space="0" w:color="auto"/>
      </w:pBdr>
      <w:shd w:val="clear" w:color="auto" w:fill="EAEAEA"/>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09">
    <w:name w:val="xl109"/>
    <w:basedOn w:val="Normal"/>
    <w:rsid w:val="008C2B46"/>
    <w:pPr>
      <w:pBdr>
        <w:top w:val="single" w:sz="8" w:space="0" w:color="auto"/>
        <w:left w:val="single" w:sz="8" w:space="0" w:color="auto"/>
        <w:bottom w:val="single" w:sz="8" w:space="0" w:color="auto"/>
      </w:pBdr>
      <w:shd w:val="clear" w:color="auto" w:fill="EAEAEA"/>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10">
    <w:name w:val="xl110"/>
    <w:basedOn w:val="Normal"/>
    <w:rsid w:val="008C2B46"/>
    <w:pPr>
      <w:pBdr>
        <w:top w:val="single" w:sz="4" w:space="0" w:color="auto"/>
        <w:left w:val="single" w:sz="4" w:space="0" w:color="auto"/>
        <w:bottom w:val="single" w:sz="4" w:space="0" w:color="auto"/>
      </w:pBdr>
      <w:shd w:val="clear" w:color="auto" w:fill="EAEAEA"/>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11">
    <w:name w:val="xl111"/>
    <w:basedOn w:val="Normal"/>
    <w:rsid w:val="008C2B46"/>
    <w:pPr>
      <w:pBdr>
        <w:lef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12">
    <w:name w:val="xl112"/>
    <w:basedOn w:val="Normal"/>
    <w:rsid w:val="008C2B46"/>
    <w:pPr>
      <w:pBdr>
        <w:left w:val="single" w:sz="8" w:space="0" w:color="auto"/>
        <w:bottom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14">
    <w:name w:val="xl114"/>
    <w:basedOn w:val="Normal"/>
    <w:rsid w:val="008C2B46"/>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15">
    <w:name w:val="xl115"/>
    <w:basedOn w:val="Normal"/>
    <w:rsid w:val="008C2B46"/>
    <w:pPr>
      <w:pBdr>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16">
    <w:name w:val="xl116"/>
    <w:basedOn w:val="Normal"/>
    <w:rsid w:val="008C2B46"/>
    <w:pPr>
      <w:pBdr>
        <w:left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17">
    <w:name w:val="xl117"/>
    <w:basedOn w:val="Normal"/>
    <w:rsid w:val="008C2B46"/>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18">
    <w:name w:val="xl118"/>
    <w:basedOn w:val="Normal"/>
    <w:rsid w:val="008C2B4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19">
    <w:name w:val="xl119"/>
    <w:basedOn w:val="Normal"/>
    <w:rsid w:val="008C2B46"/>
    <w:pPr>
      <w:pBdr>
        <w:left w:val="single" w:sz="4" w:space="0" w:color="auto"/>
        <w:bottom w:val="single" w:sz="8"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20">
    <w:name w:val="xl120"/>
    <w:basedOn w:val="Normal"/>
    <w:rsid w:val="008C2B46"/>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21">
    <w:name w:val="xl121"/>
    <w:basedOn w:val="Normal"/>
    <w:rsid w:val="008C2B46"/>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22">
    <w:name w:val="xl122"/>
    <w:basedOn w:val="Normal"/>
    <w:rsid w:val="008C2B46"/>
    <w:pPr>
      <w:pBdr>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23">
    <w:name w:val="xl123"/>
    <w:basedOn w:val="Normal"/>
    <w:rsid w:val="008C2B46"/>
    <w:pPr>
      <w:pBdr>
        <w:top w:val="single" w:sz="8" w:space="0" w:color="auto"/>
        <w:left w:val="single" w:sz="8" w:space="0" w:color="auto"/>
        <w:bottom w:val="single" w:sz="8" w:space="0" w:color="auto"/>
      </w:pBdr>
      <w:spacing w:before="100" w:beforeAutospacing="1" w:after="100" w:afterAutospacing="1" w:line="240" w:lineRule="auto"/>
      <w:jc w:val="center"/>
    </w:pPr>
    <w:rPr>
      <w:rFonts w:ascii="Arial Unicode MS" w:eastAsia="Arial Unicode MS" w:hAnsi="Arial Unicode MS" w:cs="Arial Unicode MS"/>
      <w:sz w:val="24"/>
      <w:szCs w:val="24"/>
    </w:rPr>
  </w:style>
  <w:style w:type="paragraph" w:customStyle="1" w:styleId="xl124">
    <w:name w:val="xl124"/>
    <w:basedOn w:val="Normal"/>
    <w:rsid w:val="008C2B46"/>
    <w:pPr>
      <w:pBdr>
        <w:left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25">
    <w:name w:val="xl125"/>
    <w:basedOn w:val="Normal"/>
    <w:rsid w:val="008C2B46"/>
    <w:pPr>
      <w:pBdr>
        <w:bottom w:val="single" w:sz="4"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26">
    <w:name w:val="xl126"/>
    <w:basedOn w:val="Normal"/>
    <w:rsid w:val="008C2B46"/>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27">
    <w:name w:val="xl127"/>
    <w:basedOn w:val="Normal"/>
    <w:rsid w:val="008C2B46"/>
    <w:pPr>
      <w:pBdr>
        <w:top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28">
    <w:name w:val="xl128"/>
    <w:basedOn w:val="Normal"/>
    <w:rsid w:val="008C2B46"/>
    <w:pPr>
      <w:pBdr>
        <w:top w:val="single" w:sz="8" w:space="0" w:color="auto"/>
        <w:left w:val="single" w:sz="8" w:space="0" w:color="auto"/>
        <w:bottom w:val="single" w:sz="8" w:space="0" w:color="auto"/>
      </w:pBdr>
      <w:spacing w:before="100" w:beforeAutospacing="1" w:after="100" w:afterAutospacing="1" w:line="240" w:lineRule="auto"/>
      <w:jc w:val="center"/>
    </w:pPr>
    <w:rPr>
      <w:rFonts w:ascii="Cirilica Times" w:eastAsia="Arial Unicode MS" w:hAnsi="Cirilica Times" w:cs="Arial Unicode MS"/>
      <w:b/>
      <w:bCs/>
      <w:sz w:val="24"/>
      <w:szCs w:val="24"/>
    </w:rPr>
  </w:style>
  <w:style w:type="paragraph" w:customStyle="1" w:styleId="xl129">
    <w:name w:val="xl129"/>
    <w:basedOn w:val="Normal"/>
    <w:rsid w:val="008C2B46"/>
    <w:pPr>
      <w:pBdr>
        <w:top w:val="single" w:sz="8" w:space="0" w:color="auto"/>
        <w:bottom w:val="single" w:sz="8" w:space="0" w:color="auto"/>
      </w:pBdr>
      <w:spacing w:before="100" w:beforeAutospacing="1" w:after="100" w:afterAutospacing="1" w:line="240" w:lineRule="auto"/>
      <w:jc w:val="center"/>
    </w:pPr>
    <w:rPr>
      <w:rFonts w:ascii="Cirilica Times" w:eastAsia="Arial Unicode MS" w:hAnsi="Cirilica Times" w:cs="Arial Unicode MS"/>
      <w:b/>
      <w:bCs/>
      <w:sz w:val="24"/>
      <w:szCs w:val="24"/>
    </w:rPr>
  </w:style>
  <w:style w:type="paragraph" w:customStyle="1" w:styleId="xl130">
    <w:name w:val="xl130"/>
    <w:basedOn w:val="Normal"/>
    <w:rsid w:val="008C2B46"/>
    <w:pPr>
      <w:pBdr>
        <w:top w:val="single" w:sz="8" w:space="0" w:color="auto"/>
        <w:left w:val="single" w:sz="8" w:space="0" w:color="auto"/>
        <w:bottom w:val="single" w:sz="8" w:space="0" w:color="auto"/>
      </w:pBdr>
      <w:spacing w:before="100" w:beforeAutospacing="1" w:after="100" w:afterAutospacing="1" w:line="240" w:lineRule="auto"/>
      <w:jc w:val="center"/>
    </w:pPr>
    <w:rPr>
      <w:rFonts w:ascii="Arial Unicode MS" w:eastAsia="Arial Unicode MS" w:hAnsi="Arial Unicode MS" w:cs="Arial Unicode MS"/>
      <w:b/>
      <w:bCs/>
      <w:sz w:val="24"/>
      <w:szCs w:val="24"/>
    </w:rPr>
  </w:style>
  <w:style w:type="paragraph" w:customStyle="1" w:styleId="xl131">
    <w:name w:val="xl131"/>
    <w:basedOn w:val="Normal"/>
    <w:rsid w:val="008C2B46"/>
    <w:pPr>
      <w:pBdr>
        <w:top w:val="single" w:sz="8" w:space="0" w:color="auto"/>
        <w:bottom w:val="single" w:sz="8" w:space="0" w:color="auto"/>
      </w:pBdr>
      <w:spacing w:before="100" w:beforeAutospacing="1" w:after="100" w:afterAutospacing="1" w:line="240" w:lineRule="auto"/>
      <w:jc w:val="center"/>
    </w:pPr>
    <w:rPr>
      <w:rFonts w:ascii="Arial Unicode MS" w:eastAsia="Arial Unicode MS" w:hAnsi="Arial Unicode MS" w:cs="Arial Unicode MS"/>
      <w:b/>
      <w:bCs/>
      <w:sz w:val="24"/>
      <w:szCs w:val="24"/>
    </w:rPr>
  </w:style>
  <w:style w:type="paragraph" w:customStyle="1" w:styleId="xl132">
    <w:name w:val="xl132"/>
    <w:basedOn w:val="Normal"/>
    <w:rsid w:val="008C2B46"/>
    <w:pPr>
      <w:pBdr>
        <w:top w:val="single" w:sz="8" w:space="0" w:color="auto"/>
        <w:bottom w:val="single" w:sz="8"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b/>
      <w:bCs/>
      <w:sz w:val="24"/>
      <w:szCs w:val="24"/>
    </w:rPr>
  </w:style>
  <w:style w:type="paragraph" w:styleId="BlockText">
    <w:name w:val="Block Text"/>
    <w:basedOn w:val="Normal"/>
    <w:rsid w:val="008C2B46"/>
    <w:pPr>
      <w:autoSpaceDE w:val="0"/>
      <w:autoSpaceDN w:val="0"/>
      <w:spacing w:after="0" w:line="240" w:lineRule="auto"/>
      <w:ind w:left="360" w:right="276" w:hanging="360"/>
      <w:jc w:val="both"/>
    </w:pPr>
    <w:rPr>
      <w:rFonts w:ascii="Cirilica Times" w:eastAsia="Times New Roman" w:hAnsi="Cirilica Times" w:cs="Times New Roman"/>
    </w:rPr>
  </w:style>
  <w:style w:type="table" w:styleId="LightShading">
    <w:name w:val="Light Shading"/>
    <w:basedOn w:val="TableNormal"/>
    <w:uiPriority w:val="60"/>
    <w:rsid w:val="008C2B46"/>
    <w:pPr>
      <w:spacing w:after="0" w:line="240" w:lineRule="auto"/>
    </w:pPr>
    <w:rPr>
      <w:rFonts w:ascii="Times New Roman" w:eastAsia="Times New Roman" w:hAnsi="Times New Roman" w:cs="Times New Roman"/>
      <w:color w:val="000000" w:themeColor="text1" w:themeShade="BF"/>
      <w:sz w:val="20"/>
      <w:szCs w:val="20"/>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List1-Accent1">
    <w:name w:val="Medium List 1 Accent 1"/>
    <w:basedOn w:val="TableNormal"/>
    <w:uiPriority w:val="65"/>
    <w:rsid w:val="008C2B46"/>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LightList-Accent5">
    <w:name w:val="Light List Accent 5"/>
    <w:basedOn w:val="TableNormal"/>
    <w:uiPriority w:val="61"/>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customStyle="1" w:styleId="MediumList1-Accent1121">
    <w:name w:val="Medium List 1 - Accent 1121"/>
    <w:basedOn w:val="TableNormal"/>
    <w:uiPriority w:val="65"/>
    <w:rsid w:val="00F728BF"/>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styleId="PlainText">
    <w:name w:val="Plain Text"/>
    <w:basedOn w:val="Normal"/>
    <w:link w:val="PlainTextChar"/>
    <w:uiPriority w:val="99"/>
    <w:semiHidden/>
    <w:unhideWhenUsed/>
    <w:rsid w:val="006C0D6C"/>
    <w:pPr>
      <w:spacing w:after="0" w:line="240" w:lineRule="auto"/>
    </w:pPr>
    <w:rPr>
      <w:rFonts w:ascii="Verdana" w:hAnsi="Verdana" w:cs="Times New Roman"/>
      <w:sz w:val="20"/>
      <w:szCs w:val="20"/>
    </w:rPr>
  </w:style>
  <w:style w:type="character" w:customStyle="1" w:styleId="PlainTextChar">
    <w:name w:val="Plain Text Char"/>
    <w:basedOn w:val="DefaultParagraphFont"/>
    <w:link w:val="PlainText"/>
    <w:uiPriority w:val="99"/>
    <w:semiHidden/>
    <w:rsid w:val="006C0D6C"/>
    <w:rPr>
      <w:rFonts w:ascii="Verdana" w:hAnsi="Verdana" w:cs="Times New Roman"/>
      <w:sz w:val="20"/>
      <w:szCs w:val="20"/>
    </w:rPr>
  </w:style>
  <w:style w:type="character" w:styleId="EndnoteReference">
    <w:name w:val="endnote reference"/>
    <w:basedOn w:val="DefaultParagraphFont"/>
    <w:uiPriority w:val="99"/>
    <w:semiHidden/>
    <w:unhideWhenUsed/>
    <w:rsid w:val="006C0D6C"/>
    <w:rPr>
      <w:vertAlign w:val="superscript"/>
    </w:rPr>
  </w:style>
  <w:style w:type="paragraph" w:styleId="Revision">
    <w:name w:val="Revision"/>
    <w:hidden/>
    <w:uiPriority w:val="99"/>
    <w:semiHidden/>
    <w:rsid w:val="00DB37FF"/>
    <w:pPr>
      <w:spacing w:after="0" w:line="240" w:lineRule="auto"/>
    </w:pPr>
  </w:style>
  <w:style w:type="table" w:styleId="LightList-Accent1">
    <w:name w:val="Light List Accent 1"/>
    <w:basedOn w:val="TableNormal"/>
    <w:uiPriority w:val="61"/>
    <w:rsid w:val="00410DD2"/>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3A1E79"/>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5">
    <w:name w:val="Light Shading Accent 5"/>
    <w:basedOn w:val="TableNormal"/>
    <w:uiPriority w:val="60"/>
    <w:rsid w:val="003A1E79"/>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index heading" w:uiPriority="0"/>
    <w:lsdException w:name="caption" w:uiPriority="0" w:qFormat="1"/>
    <w:lsdException w:name="envelope address" w:uiPriority="0"/>
    <w:lsdException w:name="envelope return" w:uiPriority="0"/>
    <w:lsdException w:name="footnote reference" w:uiPriority="0"/>
    <w:lsdException w:name="line number" w:uiPriority="0"/>
    <w:lsdException w:name="page number" w:uiPriority="0"/>
    <w:lsdException w:name="macro" w:uiPriority="0"/>
    <w:lsdException w:name="toa heading"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Title" w:semiHidden="0" w:uiPriority="0" w:unhideWhenUsed="0" w:qFormat="1"/>
    <w:lsdException w:name="Closing" w:uiPriority="0"/>
    <w:lsdException w:name="Default Paragraph Font" w:uiPriority="1"/>
    <w:lsdException w:name="Body Text Indent" w:uiPriority="0"/>
    <w:lsdException w:name="List Continue" w:uiPriority="0"/>
    <w:lsdException w:name="Message Header"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Outline List 2" w:uiPriority="0"/>
    <w:lsdException w:name="Outline List 3" w:uiPriority="0"/>
    <w:lsdException w:name="Table Grid 1" w:uiPriority="0"/>
    <w:lsdException w:name="Table Grid 8" w:uiPriority="0"/>
    <w:lsdException w:name="Table List 1" w:uiPriority="0"/>
    <w:lsdException w:name="Table List 6" w:uiPriority="0"/>
    <w:lsdException w:name="Table Professional" w:uiPriority="0"/>
    <w:lsdException w:name="Table Web 2" w:uiPriority="0"/>
    <w:lsdException w:name="Table Web 3" w:uiPriority="0"/>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nhideWhenUsed="0" w:qFormat="1"/>
    <w:lsdException w:name="Bibliography" w:uiPriority="37"/>
    <w:lsdException w:name="TOC Heading" w:uiPriority="39" w:qFormat="1"/>
  </w:latentStyles>
  <w:style w:type="paragraph" w:default="1" w:styleId="Normal">
    <w:name w:val="Normal"/>
    <w:qFormat/>
    <w:rsid w:val="00410DD2"/>
  </w:style>
  <w:style w:type="paragraph" w:styleId="Heading1">
    <w:name w:val="heading 1"/>
    <w:basedOn w:val="Normal"/>
    <w:next w:val="Normal"/>
    <w:link w:val="Heading1Char"/>
    <w:qFormat/>
    <w:rsid w:val="00860C32"/>
    <w:pPr>
      <w:keepNext/>
      <w:numPr>
        <w:ilvl w:val="1"/>
        <w:numId w:val="6"/>
      </w:numPr>
      <w:suppressAutoHyphens/>
      <w:spacing w:before="360" w:after="360" w:line="240" w:lineRule="auto"/>
      <w:outlineLvl w:val="0"/>
    </w:pPr>
    <w:rPr>
      <w:rFonts w:asciiTheme="majorHAnsi" w:eastAsia="Times New Roman" w:hAnsiTheme="majorHAnsi" w:cs="Tahoma"/>
      <w:b/>
      <w:bCs/>
      <w:i/>
      <w:noProof/>
      <w:color w:val="4F81BD"/>
      <w:szCs w:val="18"/>
      <w:lang w:val="sr-Cyrl-CS" w:eastAsia="ar-SA"/>
    </w:rPr>
  </w:style>
  <w:style w:type="paragraph" w:styleId="Heading2">
    <w:name w:val="heading 2"/>
    <w:aliases w:val="Char, Char"/>
    <w:basedOn w:val="Normal"/>
    <w:next w:val="Normal"/>
    <w:link w:val="Heading2Char"/>
    <w:uiPriority w:val="9"/>
    <w:qFormat/>
    <w:rsid w:val="005353CD"/>
    <w:pPr>
      <w:keepNext/>
      <w:numPr>
        <w:ilvl w:val="1"/>
        <w:numId w:val="1"/>
      </w:numPr>
      <w:suppressAutoHyphens/>
      <w:spacing w:after="0" w:line="240" w:lineRule="auto"/>
      <w:outlineLvl w:val="1"/>
    </w:pPr>
    <w:rPr>
      <w:rFonts w:ascii="Times New Roman" w:eastAsia="Times New Roman" w:hAnsi="Times New Roman" w:cs="Times New Roman"/>
      <w:b/>
      <w:bCs/>
      <w:sz w:val="24"/>
      <w:szCs w:val="24"/>
      <w:lang w:val="sr-Latn-CS" w:eastAsia="ar-SA"/>
    </w:rPr>
  </w:style>
  <w:style w:type="paragraph" w:styleId="Heading3">
    <w:name w:val="heading 3"/>
    <w:basedOn w:val="Normal"/>
    <w:next w:val="Normal"/>
    <w:link w:val="Heading3Char"/>
    <w:qFormat/>
    <w:rsid w:val="005353CD"/>
    <w:pPr>
      <w:keepNext/>
      <w:numPr>
        <w:ilvl w:val="2"/>
        <w:numId w:val="1"/>
      </w:numPr>
      <w:suppressAutoHyphens/>
      <w:spacing w:after="0" w:line="240" w:lineRule="auto"/>
      <w:outlineLvl w:val="2"/>
    </w:pPr>
    <w:rPr>
      <w:rFonts w:ascii="Times New Roman" w:eastAsia="Times New Roman" w:hAnsi="Times New Roman" w:cs="Times New Roman"/>
      <w:b/>
      <w:bCs/>
      <w:sz w:val="24"/>
      <w:szCs w:val="24"/>
      <w:lang w:val="sr-Latn-CS" w:eastAsia="ar-SA"/>
    </w:rPr>
  </w:style>
  <w:style w:type="paragraph" w:styleId="Heading4">
    <w:name w:val="heading 4"/>
    <w:basedOn w:val="Normal"/>
    <w:next w:val="Normal"/>
    <w:link w:val="Heading4Char"/>
    <w:qFormat/>
    <w:rsid w:val="005353CD"/>
    <w:pPr>
      <w:keepNext/>
      <w:numPr>
        <w:ilvl w:val="3"/>
        <w:numId w:val="1"/>
      </w:numPr>
      <w:suppressAutoHyphens/>
      <w:spacing w:after="0" w:line="240" w:lineRule="auto"/>
      <w:jc w:val="both"/>
      <w:outlineLvl w:val="3"/>
    </w:pPr>
    <w:rPr>
      <w:rFonts w:ascii="Times New Roman" w:eastAsia="Times New Roman" w:hAnsi="Times New Roman" w:cs="Times New Roman"/>
      <w:b/>
      <w:bCs/>
      <w:sz w:val="24"/>
      <w:szCs w:val="24"/>
      <w:lang w:val="sr-Latn-CS" w:eastAsia="ar-SA"/>
    </w:rPr>
  </w:style>
  <w:style w:type="paragraph" w:styleId="Heading5">
    <w:name w:val="heading 5"/>
    <w:basedOn w:val="Normal"/>
    <w:next w:val="Normal"/>
    <w:link w:val="Heading5Char"/>
    <w:qFormat/>
    <w:rsid w:val="005353CD"/>
    <w:pPr>
      <w:numPr>
        <w:ilvl w:val="4"/>
        <w:numId w:val="1"/>
      </w:numPr>
      <w:suppressAutoHyphens/>
      <w:spacing w:before="240" w:after="60" w:line="240" w:lineRule="auto"/>
      <w:outlineLvl w:val="4"/>
    </w:pPr>
    <w:rPr>
      <w:rFonts w:ascii="Times New Roman" w:eastAsia="Times New Roman" w:hAnsi="Times New Roman" w:cs="Times New Roman"/>
      <w:b/>
      <w:bCs/>
      <w:i/>
      <w:iCs/>
      <w:sz w:val="26"/>
      <w:szCs w:val="26"/>
      <w:lang w:eastAsia="ar-SA"/>
    </w:rPr>
  </w:style>
  <w:style w:type="paragraph" w:styleId="Heading6">
    <w:name w:val="heading 6"/>
    <w:basedOn w:val="Normal"/>
    <w:next w:val="Normal"/>
    <w:link w:val="Heading6Char"/>
    <w:qFormat/>
    <w:rsid w:val="005353CD"/>
    <w:pPr>
      <w:numPr>
        <w:ilvl w:val="5"/>
        <w:numId w:val="1"/>
      </w:numPr>
      <w:suppressAutoHyphens/>
      <w:spacing w:before="240" w:after="60" w:line="240" w:lineRule="auto"/>
      <w:outlineLvl w:val="5"/>
    </w:pPr>
    <w:rPr>
      <w:rFonts w:ascii="Times New Roman" w:eastAsia="Times New Roman" w:hAnsi="Times New Roman" w:cs="Times New Roman"/>
      <w:b/>
      <w:bCs/>
      <w:lang w:eastAsia="ar-SA"/>
    </w:rPr>
  </w:style>
  <w:style w:type="paragraph" w:styleId="Heading7">
    <w:name w:val="heading 7"/>
    <w:basedOn w:val="Normal"/>
    <w:next w:val="Normal"/>
    <w:link w:val="Heading7Char"/>
    <w:qFormat/>
    <w:rsid w:val="005353CD"/>
    <w:pPr>
      <w:numPr>
        <w:ilvl w:val="6"/>
        <w:numId w:val="1"/>
      </w:numPr>
      <w:suppressAutoHyphens/>
      <w:spacing w:before="240" w:after="60" w:line="240" w:lineRule="auto"/>
      <w:outlineLvl w:val="6"/>
    </w:pPr>
    <w:rPr>
      <w:rFonts w:ascii="Times New Roman" w:eastAsia="Times New Roman" w:hAnsi="Times New Roman" w:cs="Times New Roman"/>
      <w:sz w:val="24"/>
      <w:szCs w:val="24"/>
      <w:lang w:eastAsia="ar-SA"/>
    </w:rPr>
  </w:style>
  <w:style w:type="paragraph" w:styleId="Heading8">
    <w:name w:val="heading 8"/>
    <w:basedOn w:val="Normal"/>
    <w:next w:val="Normal"/>
    <w:link w:val="Heading8Char"/>
    <w:qFormat/>
    <w:rsid w:val="005353CD"/>
    <w:pPr>
      <w:numPr>
        <w:ilvl w:val="7"/>
        <w:numId w:val="1"/>
      </w:numPr>
      <w:suppressAutoHyphens/>
      <w:spacing w:before="240" w:after="60" w:line="240" w:lineRule="auto"/>
      <w:outlineLvl w:val="7"/>
    </w:pPr>
    <w:rPr>
      <w:rFonts w:ascii="Times New Roman" w:eastAsia="Times New Roman" w:hAnsi="Times New Roman" w:cs="Times New Roman"/>
      <w:i/>
      <w:iCs/>
      <w:sz w:val="24"/>
      <w:szCs w:val="24"/>
      <w:lang w:eastAsia="ar-SA"/>
    </w:rPr>
  </w:style>
  <w:style w:type="paragraph" w:styleId="Heading9">
    <w:name w:val="heading 9"/>
    <w:basedOn w:val="Normal"/>
    <w:next w:val="Normal"/>
    <w:link w:val="Heading9Char"/>
    <w:qFormat/>
    <w:rsid w:val="005353CD"/>
    <w:pPr>
      <w:numPr>
        <w:ilvl w:val="8"/>
        <w:numId w:val="1"/>
      </w:numPr>
      <w:suppressAutoHyphens/>
      <w:spacing w:before="240" w:after="60" w:line="240" w:lineRule="auto"/>
      <w:outlineLvl w:val="8"/>
    </w:pPr>
    <w:rPr>
      <w:rFonts w:ascii="Arial" w:eastAsia="Times New Roman" w:hAnsi="Arial" w:cs="Arial"/>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856492"/>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856492"/>
    <w:rPr>
      <w:rFonts w:eastAsiaTheme="minorEastAsia"/>
      <w:lang w:val="en-US" w:eastAsia="ja-JP"/>
    </w:rPr>
  </w:style>
  <w:style w:type="paragraph" w:styleId="BalloonText">
    <w:name w:val="Balloon Text"/>
    <w:basedOn w:val="Normal"/>
    <w:link w:val="BalloonTextChar"/>
    <w:uiPriority w:val="99"/>
    <w:unhideWhenUsed/>
    <w:rsid w:val="008564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6492"/>
    <w:rPr>
      <w:rFonts w:ascii="Tahoma" w:hAnsi="Tahoma" w:cs="Tahoma"/>
      <w:sz w:val="16"/>
      <w:szCs w:val="16"/>
    </w:rPr>
  </w:style>
  <w:style w:type="table" w:styleId="TableGrid">
    <w:name w:val="Table Grid"/>
    <w:basedOn w:val="TableNormal"/>
    <w:uiPriority w:val="59"/>
    <w:rsid w:val="008564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856492"/>
    <w:pPr>
      <w:tabs>
        <w:tab w:val="center" w:pos="4536"/>
        <w:tab w:val="right" w:pos="9072"/>
      </w:tabs>
      <w:spacing w:after="0" w:line="240" w:lineRule="auto"/>
    </w:pPr>
  </w:style>
  <w:style w:type="character" w:customStyle="1" w:styleId="HeaderChar">
    <w:name w:val="Header Char"/>
    <w:basedOn w:val="DefaultParagraphFont"/>
    <w:link w:val="Header"/>
    <w:uiPriority w:val="99"/>
    <w:rsid w:val="00856492"/>
  </w:style>
  <w:style w:type="paragraph" w:styleId="Footer">
    <w:name w:val="footer"/>
    <w:basedOn w:val="Normal"/>
    <w:link w:val="FooterChar"/>
    <w:unhideWhenUsed/>
    <w:rsid w:val="00856492"/>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6492"/>
  </w:style>
  <w:style w:type="character" w:styleId="Hyperlink">
    <w:name w:val="Hyperlink"/>
    <w:uiPriority w:val="99"/>
    <w:rsid w:val="00856492"/>
    <w:rPr>
      <w:color w:val="333366"/>
      <w:u w:val="none"/>
      <w:effect w:val="none"/>
    </w:rPr>
  </w:style>
  <w:style w:type="paragraph" w:customStyle="1" w:styleId="2909F619802848F09E01365C32F34654">
    <w:name w:val="2909F619802848F09E01365C32F34654"/>
    <w:rsid w:val="00856492"/>
    <w:rPr>
      <w:rFonts w:eastAsiaTheme="minorEastAsia"/>
      <w:lang w:eastAsia="ja-JP"/>
    </w:rPr>
  </w:style>
  <w:style w:type="character" w:customStyle="1" w:styleId="Heading1Char">
    <w:name w:val="Heading 1 Char"/>
    <w:basedOn w:val="DefaultParagraphFont"/>
    <w:link w:val="Heading1"/>
    <w:rsid w:val="00860C32"/>
    <w:rPr>
      <w:rFonts w:asciiTheme="majorHAnsi" w:eastAsia="Times New Roman" w:hAnsiTheme="majorHAnsi" w:cs="Tahoma"/>
      <w:b/>
      <w:bCs/>
      <w:i/>
      <w:noProof/>
      <w:color w:val="4F81BD"/>
      <w:szCs w:val="18"/>
      <w:lang w:val="sr-Cyrl-CS" w:eastAsia="ar-SA"/>
    </w:rPr>
  </w:style>
  <w:style w:type="character" w:customStyle="1" w:styleId="Heading2Char">
    <w:name w:val="Heading 2 Char"/>
    <w:aliases w:val="Char Char, Char Char"/>
    <w:basedOn w:val="DefaultParagraphFont"/>
    <w:link w:val="Heading2"/>
    <w:uiPriority w:val="9"/>
    <w:rsid w:val="005353CD"/>
    <w:rPr>
      <w:rFonts w:ascii="Times New Roman" w:eastAsia="Times New Roman" w:hAnsi="Times New Roman" w:cs="Times New Roman"/>
      <w:b/>
      <w:bCs/>
      <w:sz w:val="24"/>
      <w:szCs w:val="24"/>
      <w:lang w:val="sr-Latn-CS" w:eastAsia="ar-SA"/>
    </w:rPr>
  </w:style>
  <w:style w:type="character" w:customStyle="1" w:styleId="Heading3Char">
    <w:name w:val="Heading 3 Char"/>
    <w:basedOn w:val="DefaultParagraphFont"/>
    <w:link w:val="Heading3"/>
    <w:rsid w:val="005353CD"/>
    <w:rPr>
      <w:rFonts w:ascii="Times New Roman" w:eastAsia="Times New Roman" w:hAnsi="Times New Roman" w:cs="Times New Roman"/>
      <w:b/>
      <w:bCs/>
      <w:sz w:val="24"/>
      <w:szCs w:val="24"/>
      <w:lang w:val="sr-Latn-CS" w:eastAsia="ar-SA"/>
    </w:rPr>
  </w:style>
  <w:style w:type="character" w:customStyle="1" w:styleId="Heading4Char">
    <w:name w:val="Heading 4 Char"/>
    <w:basedOn w:val="DefaultParagraphFont"/>
    <w:link w:val="Heading4"/>
    <w:rsid w:val="005353CD"/>
    <w:rPr>
      <w:rFonts w:ascii="Times New Roman" w:eastAsia="Times New Roman" w:hAnsi="Times New Roman" w:cs="Times New Roman"/>
      <w:b/>
      <w:bCs/>
      <w:sz w:val="24"/>
      <w:szCs w:val="24"/>
      <w:lang w:val="sr-Latn-CS" w:eastAsia="ar-SA"/>
    </w:rPr>
  </w:style>
  <w:style w:type="character" w:customStyle="1" w:styleId="Heading5Char">
    <w:name w:val="Heading 5 Char"/>
    <w:basedOn w:val="DefaultParagraphFont"/>
    <w:link w:val="Heading5"/>
    <w:rsid w:val="005353CD"/>
    <w:rPr>
      <w:rFonts w:ascii="Times New Roman" w:eastAsia="Times New Roman" w:hAnsi="Times New Roman" w:cs="Times New Roman"/>
      <w:b/>
      <w:bCs/>
      <w:i/>
      <w:iCs/>
      <w:sz w:val="26"/>
      <w:szCs w:val="26"/>
      <w:lang w:eastAsia="ar-SA"/>
    </w:rPr>
  </w:style>
  <w:style w:type="character" w:customStyle="1" w:styleId="Heading6Char">
    <w:name w:val="Heading 6 Char"/>
    <w:basedOn w:val="DefaultParagraphFont"/>
    <w:link w:val="Heading6"/>
    <w:rsid w:val="005353CD"/>
    <w:rPr>
      <w:rFonts w:ascii="Times New Roman" w:eastAsia="Times New Roman" w:hAnsi="Times New Roman" w:cs="Times New Roman"/>
      <w:b/>
      <w:bCs/>
      <w:lang w:eastAsia="ar-SA"/>
    </w:rPr>
  </w:style>
  <w:style w:type="character" w:customStyle="1" w:styleId="Heading7Char">
    <w:name w:val="Heading 7 Char"/>
    <w:basedOn w:val="DefaultParagraphFont"/>
    <w:link w:val="Heading7"/>
    <w:rsid w:val="005353CD"/>
    <w:rPr>
      <w:rFonts w:ascii="Times New Roman" w:eastAsia="Times New Roman" w:hAnsi="Times New Roman" w:cs="Times New Roman"/>
      <w:sz w:val="24"/>
      <w:szCs w:val="24"/>
      <w:lang w:eastAsia="ar-SA"/>
    </w:rPr>
  </w:style>
  <w:style w:type="character" w:customStyle="1" w:styleId="Heading8Char">
    <w:name w:val="Heading 8 Char"/>
    <w:basedOn w:val="DefaultParagraphFont"/>
    <w:link w:val="Heading8"/>
    <w:rsid w:val="005353CD"/>
    <w:rPr>
      <w:rFonts w:ascii="Times New Roman" w:eastAsia="Times New Roman" w:hAnsi="Times New Roman" w:cs="Times New Roman"/>
      <w:i/>
      <w:iCs/>
      <w:sz w:val="24"/>
      <w:szCs w:val="24"/>
      <w:lang w:eastAsia="ar-SA"/>
    </w:rPr>
  </w:style>
  <w:style w:type="character" w:customStyle="1" w:styleId="Heading9Char">
    <w:name w:val="Heading 9 Char"/>
    <w:basedOn w:val="DefaultParagraphFont"/>
    <w:link w:val="Heading9"/>
    <w:rsid w:val="005353CD"/>
    <w:rPr>
      <w:rFonts w:ascii="Arial" w:eastAsia="Times New Roman" w:hAnsi="Arial" w:cs="Arial"/>
      <w:lang w:eastAsia="ar-SA"/>
    </w:rPr>
  </w:style>
  <w:style w:type="paragraph" w:styleId="Subtitle">
    <w:name w:val="Subtitle"/>
    <w:basedOn w:val="Normal"/>
    <w:next w:val="BodyText"/>
    <w:link w:val="SubtitleChar"/>
    <w:qFormat/>
    <w:rsid w:val="005353CD"/>
    <w:pPr>
      <w:keepNext/>
      <w:suppressAutoHyphens/>
      <w:spacing w:before="240" w:after="120" w:line="240" w:lineRule="auto"/>
      <w:jc w:val="center"/>
    </w:pPr>
    <w:rPr>
      <w:rFonts w:ascii="Arial" w:eastAsia="MS Mincho" w:hAnsi="Arial" w:cs="Arial"/>
      <w:i/>
      <w:iCs/>
      <w:sz w:val="28"/>
      <w:szCs w:val="28"/>
      <w:lang w:eastAsia="ar-SA"/>
    </w:rPr>
  </w:style>
  <w:style w:type="character" w:customStyle="1" w:styleId="SubtitleChar">
    <w:name w:val="Subtitle Char"/>
    <w:basedOn w:val="DefaultParagraphFont"/>
    <w:link w:val="Subtitle"/>
    <w:rsid w:val="005353CD"/>
    <w:rPr>
      <w:rFonts w:ascii="Arial" w:eastAsia="MS Mincho" w:hAnsi="Arial" w:cs="Arial"/>
      <w:i/>
      <w:iCs/>
      <w:sz w:val="28"/>
      <w:szCs w:val="28"/>
      <w:lang w:val="en-US" w:eastAsia="ar-SA"/>
    </w:rPr>
  </w:style>
  <w:style w:type="paragraph" w:styleId="BodyText">
    <w:name w:val="Body Text"/>
    <w:aliases w:val="Char1, Char5"/>
    <w:basedOn w:val="Normal"/>
    <w:link w:val="BodyTextChar"/>
    <w:uiPriority w:val="99"/>
    <w:unhideWhenUsed/>
    <w:rsid w:val="005353CD"/>
    <w:pPr>
      <w:spacing w:after="120"/>
    </w:pPr>
  </w:style>
  <w:style w:type="character" w:customStyle="1" w:styleId="BodyTextChar">
    <w:name w:val="Body Text Char"/>
    <w:aliases w:val="Char1 Char, Char5 Char"/>
    <w:basedOn w:val="DefaultParagraphFont"/>
    <w:link w:val="BodyText"/>
    <w:uiPriority w:val="99"/>
    <w:rsid w:val="005353CD"/>
  </w:style>
  <w:style w:type="character" w:styleId="IntenseEmphasis">
    <w:name w:val="Intense Emphasis"/>
    <w:basedOn w:val="DefaultParagraphFont"/>
    <w:uiPriority w:val="21"/>
    <w:qFormat/>
    <w:rsid w:val="002A54DA"/>
    <w:rPr>
      <w:b/>
      <w:bCs/>
      <w:i/>
      <w:iCs/>
      <w:color w:val="4F81BD" w:themeColor="accent1"/>
    </w:rPr>
  </w:style>
  <w:style w:type="paragraph" w:styleId="ListParagraph">
    <w:name w:val="List Paragraph"/>
    <w:basedOn w:val="Normal"/>
    <w:link w:val="ListParagraphChar"/>
    <w:uiPriority w:val="34"/>
    <w:qFormat/>
    <w:rsid w:val="00003262"/>
    <w:pPr>
      <w:ind w:left="720"/>
      <w:contextualSpacing/>
    </w:pPr>
  </w:style>
  <w:style w:type="table" w:styleId="ColorfulGrid-Accent1">
    <w:name w:val="Colorful Grid Accent 1"/>
    <w:basedOn w:val="TableNormal"/>
    <w:uiPriority w:val="73"/>
    <w:rsid w:val="00A12FD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LightShading-Accent11">
    <w:name w:val="Light Shading - Accent 11"/>
    <w:basedOn w:val="TableNormal"/>
    <w:uiPriority w:val="60"/>
    <w:rsid w:val="00A12FD6"/>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Poudarek">
    <w:name w:val="Poudarek"/>
    <w:basedOn w:val="Normal"/>
    <w:rsid w:val="00DB4DCD"/>
    <w:pPr>
      <w:spacing w:after="0" w:line="240" w:lineRule="auto"/>
      <w:jc w:val="right"/>
    </w:pPr>
    <w:rPr>
      <w:rFonts w:ascii="Arial" w:eastAsia="Times New Roman" w:hAnsi="Arial" w:cs="Arial"/>
      <w:b/>
      <w:bCs/>
      <w:color w:val="000080"/>
      <w:sz w:val="16"/>
      <w:szCs w:val="20"/>
      <w:lang w:val="sl-SI"/>
    </w:rPr>
  </w:style>
  <w:style w:type="paragraph" w:styleId="TOCHeading">
    <w:name w:val="TOC Heading"/>
    <w:basedOn w:val="Heading1"/>
    <w:next w:val="Normal"/>
    <w:uiPriority w:val="39"/>
    <w:unhideWhenUsed/>
    <w:qFormat/>
    <w:rsid w:val="00801C6B"/>
    <w:pPr>
      <w:keepLines/>
      <w:numPr>
        <w:numId w:val="0"/>
      </w:numPr>
      <w:suppressAutoHyphens w:val="0"/>
      <w:spacing w:before="480" w:line="276" w:lineRule="auto"/>
      <w:outlineLvl w:val="9"/>
    </w:pPr>
    <w:rPr>
      <w:rFonts w:eastAsiaTheme="majorEastAsia" w:cstheme="majorBidi"/>
      <w:color w:val="365F91" w:themeColor="accent1" w:themeShade="BF"/>
      <w:sz w:val="28"/>
      <w:szCs w:val="28"/>
      <w:lang w:eastAsia="ja-JP"/>
    </w:rPr>
  </w:style>
  <w:style w:type="paragraph" w:styleId="TOC1">
    <w:name w:val="toc 1"/>
    <w:basedOn w:val="Normal"/>
    <w:next w:val="Normal"/>
    <w:autoRedefine/>
    <w:uiPriority w:val="39"/>
    <w:unhideWhenUsed/>
    <w:qFormat/>
    <w:rsid w:val="007438DB"/>
    <w:pPr>
      <w:tabs>
        <w:tab w:val="left" w:pos="440"/>
        <w:tab w:val="right" w:leader="dot" w:pos="9062"/>
      </w:tabs>
      <w:spacing w:after="100"/>
      <w:ind w:left="425" w:hanging="425"/>
    </w:pPr>
    <w:rPr>
      <w:rFonts w:asciiTheme="majorHAnsi" w:hAnsiTheme="majorHAnsi" w:cs="Tahoma"/>
      <w:b/>
      <w:i/>
      <w:noProof/>
      <w:color w:val="365F91" w:themeColor="accent1" w:themeShade="BF"/>
      <w:sz w:val="20"/>
    </w:rPr>
  </w:style>
  <w:style w:type="table" w:customStyle="1" w:styleId="MediumList1-Accent11">
    <w:name w:val="Medium List 1 - Accent 11"/>
    <w:basedOn w:val="TableNormal"/>
    <w:uiPriority w:val="65"/>
    <w:rsid w:val="00EE19E9"/>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
    <w:name w:val="Medium List 1 - Accent 111"/>
    <w:basedOn w:val="TableNormal"/>
    <w:uiPriority w:val="65"/>
    <w:rsid w:val="00BA732E"/>
    <w:pPr>
      <w:spacing w:after="0" w:line="240" w:lineRule="auto"/>
    </w:pPr>
    <w:rPr>
      <w:rFonts w:ascii="Times New Roman" w:eastAsia="Times New Roman" w:hAnsi="Times New Roman" w:cs="Times New Roman"/>
      <w:color w:val="000000"/>
      <w:sz w:val="20"/>
      <w:szCs w:val="2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paragraph" w:styleId="TOC3">
    <w:name w:val="toc 3"/>
    <w:basedOn w:val="Normal"/>
    <w:next w:val="Normal"/>
    <w:autoRedefine/>
    <w:uiPriority w:val="39"/>
    <w:unhideWhenUsed/>
    <w:qFormat/>
    <w:rsid w:val="001A3F64"/>
    <w:pPr>
      <w:spacing w:after="100"/>
      <w:ind w:left="440"/>
    </w:pPr>
  </w:style>
  <w:style w:type="character" w:customStyle="1" w:styleId="ListParagraphChar">
    <w:name w:val="List Paragraph Char"/>
    <w:link w:val="ListParagraph"/>
    <w:uiPriority w:val="34"/>
    <w:locked/>
    <w:rsid w:val="007D05A5"/>
  </w:style>
  <w:style w:type="table" w:styleId="LightShading-Accent2">
    <w:name w:val="Light Shading Accent 2"/>
    <w:basedOn w:val="TableNormal"/>
    <w:uiPriority w:val="60"/>
    <w:rsid w:val="00CE5244"/>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ColorfulList-Accent1">
    <w:name w:val="Colorful List Accent 1"/>
    <w:basedOn w:val="TableNormal"/>
    <w:uiPriority w:val="72"/>
    <w:rsid w:val="00095D5A"/>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customStyle="1" w:styleId="MediumList1-Accent112">
    <w:name w:val="Medium List 1 - Accent 112"/>
    <w:basedOn w:val="TableNormal"/>
    <w:uiPriority w:val="65"/>
    <w:rsid w:val="00EC424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3">
    <w:name w:val="Medium List 1 - Accent 113"/>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4">
    <w:name w:val="Medium List 1 - Accent 114"/>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5">
    <w:name w:val="Medium List 1 - Accent 115"/>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6">
    <w:name w:val="Medium List 1 - Accent 116"/>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7">
    <w:name w:val="Medium List 1 - Accent 117"/>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8">
    <w:name w:val="Medium List 1 - Accent 118"/>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9">
    <w:name w:val="Medium List 1 - Accent 119"/>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0">
    <w:name w:val="Medium List 1 - Accent 1110"/>
    <w:basedOn w:val="TableNormal"/>
    <w:uiPriority w:val="65"/>
    <w:rsid w:val="0010768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1">
    <w:name w:val="Medium List 1 - Accent 1111"/>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2">
    <w:name w:val="Medium List 1 - Accent 1112"/>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3">
    <w:name w:val="Medium List 1 - Accent 1113"/>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4">
    <w:name w:val="Medium List 1 - Accent 1114"/>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MediumList1-Accent1115">
    <w:name w:val="Medium List 1 - Accent 1115"/>
    <w:basedOn w:val="TableNormal"/>
    <w:uiPriority w:val="65"/>
    <w:rsid w:val="00612AE3"/>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character" w:customStyle="1" w:styleId="WW8Num2z0">
    <w:name w:val="WW8Num2z0"/>
    <w:rsid w:val="008C2B46"/>
    <w:rPr>
      <w:rFonts w:ascii="Symbol" w:hAnsi="Symbol" w:cs="Symbol"/>
      <w:color w:val="auto"/>
      <w:sz w:val="24"/>
      <w:szCs w:val="24"/>
    </w:rPr>
  </w:style>
  <w:style w:type="character" w:customStyle="1" w:styleId="WW8Num4z0">
    <w:name w:val="WW8Num4z0"/>
    <w:rsid w:val="008C2B46"/>
    <w:rPr>
      <w:rFonts w:ascii="Wingdings" w:hAnsi="Wingdings" w:cs="Wingdings"/>
    </w:rPr>
  </w:style>
  <w:style w:type="character" w:customStyle="1" w:styleId="WW8Num5z0">
    <w:name w:val="WW8Num5z0"/>
    <w:rsid w:val="008C2B46"/>
    <w:rPr>
      <w:rFonts w:ascii="Symbol" w:hAnsi="Symbol" w:cs="Symbol"/>
    </w:rPr>
  </w:style>
  <w:style w:type="character" w:customStyle="1" w:styleId="WW8Num5z1">
    <w:name w:val="WW8Num5z1"/>
    <w:rsid w:val="008C2B46"/>
    <w:rPr>
      <w:rFonts w:ascii="Times New Roman" w:hAnsi="Times New Roman" w:cs="Times New Roman"/>
    </w:rPr>
  </w:style>
  <w:style w:type="character" w:customStyle="1" w:styleId="WW8Num5z2">
    <w:name w:val="WW8Num5z2"/>
    <w:rsid w:val="008C2B46"/>
    <w:rPr>
      <w:rFonts w:ascii="Wingdings" w:hAnsi="Wingdings" w:cs="Wingdings"/>
    </w:rPr>
  </w:style>
  <w:style w:type="character" w:customStyle="1" w:styleId="WW8Num5z4">
    <w:name w:val="WW8Num5z4"/>
    <w:rsid w:val="008C2B46"/>
    <w:rPr>
      <w:rFonts w:ascii="Courier New" w:hAnsi="Courier New" w:cs="Courier New"/>
    </w:rPr>
  </w:style>
  <w:style w:type="character" w:customStyle="1" w:styleId="Absatz-Standardschriftart">
    <w:name w:val="Absatz-Standardschriftart"/>
    <w:rsid w:val="008C2B46"/>
  </w:style>
  <w:style w:type="character" w:customStyle="1" w:styleId="WW8Num1z0">
    <w:name w:val="WW8Num1z0"/>
    <w:rsid w:val="008C2B46"/>
    <w:rPr>
      <w:rFonts w:ascii="Symbol" w:hAnsi="Symbol" w:cs="Symbol"/>
    </w:rPr>
  </w:style>
  <w:style w:type="character" w:customStyle="1" w:styleId="WW8Num1z1">
    <w:name w:val="WW8Num1z1"/>
    <w:rsid w:val="008C2B46"/>
    <w:rPr>
      <w:rFonts w:ascii="Courier New" w:hAnsi="Courier New" w:cs="Courier New"/>
    </w:rPr>
  </w:style>
  <w:style w:type="character" w:customStyle="1" w:styleId="WW8Num1z2">
    <w:name w:val="WW8Num1z2"/>
    <w:rsid w:val="008C2B46"/>
    <w:rPr>
      <w:rFonts w:ascii="Wingdings" w:hAnsi="Wingdings" w:cs="Wingdings"/>
    </w:rPr>
  </w:style>
  <w:style w:type="character" w:customStyle="1" w:styleId="WW8Num2z1">
    <w:name w:val="WW8Num2z1"/>
    <w:rsid w:val="008C2B46"/>
    <w:rPr>
      <w:rFonts w:ascii="Courier New" w:hAnsi="Courier New" w:cs="Courier New"/>
    </w:rPr>
  </w:style>
  <w:style w:type="character" w:customStyle="1" w:styleId="WW8Num2z2">
    <w:name w:val="WW8Num2z2"/>
    <w:rsid w:val="008C2B46"/>
    <w:rPr>
      <w:rFonts w:ascii="Wingdings" w:hAnsi="Wingdings" w:cs="Wingdings"/>
    </w:rPr>
  </w:style>
  <w:style w:type="character" w:customStyle="1" w:styleId="WW8Num2z3">
    <w:name w:val="WW8Num2z3"/>
    <w:rsid w:val="008C2B46"/>
    <w:rPr>
      <w:rFonts w:ascii="Symbol" w:hAnsi="Symbol" w:cs="Symbol"/>
    </w:rPr>
  </w:style>
  <w:style w:type="character" w:customStyle="1" w:styleId="WW8Num3z0">
    <w:name w:val="WW8Num3z0"/>
    <w:rsid w:val="008C2B46"/>
    <w:rPr>
      <w:u w:val="none"/>
    </w:rPr>
  </w:style>
  <w:style w:type="character" w:customStyle="1" w:styleId="WW8Num4z1">
    <w:name w:val="WW8Num4z1"/>
    <w:rsid w:val="008C2B46"/>
    <w:rPr>
      <w:rFonts w:ascii="Courier New" w:hAnsi="Courier New" w:cs="Courier New"/>
    </w:rPr>
  </w:style>
  <w:style w:type="character" w:customStyle="1" w:styleId="WW8Num4z3">
    <w:name w:val="WW8Num4z3"/>
    <w:rsid w:val="008C2B46"/>
    <w:rPr>
      <w:rFonts w:ascii="Symbol" w:hAnsi="Symbol" w:cs="Symbol"/>
    </w:rPr>
  </w:style>
  <w:style w:type="character" w:customStyle="1" w:styleId="WW8Num7z0">
    <w:name w:val="WW8Num7z0"/>
    <w:rsid w:val="008C2B46"/>
    <w:rPr>
      <w:rFonts w:ascii="Symbol" w:hAnsi="Symbol" w:cs="Symbol"/>
    </w:rPr>
  </w:style>
  <w:style w:type="character" w:customStyle="1" w:styleId="WW8Num8z0">
    <w:name w:val="WW8Num8z0"/>
    <w:rsid w:val="008C2B46"/>
    <w:rPr>
      <w:rFonts w:ascii="Times New Roman" w:hAnsi="Times New Roman" w:cs="Times New Roman"/>
    </w:rPr>
  </w:style>
  <w:style w:type="character" w:customStyle="1" w:styleId="WW8Num8z1">
    <w:name w:val="WW8Num8z1"/>
    <w:rsid w:val="008C2B46"/>
    <w:rPr>
      <w:rFonts w:ascii="Courier New" w:hAnsi="Courier New" w:cs="Courier New"/>
    </w:rPr>
  </w:style>
  <w:style w:type="character" w:customStyle="1" w:styleId="WW8Num8z2">
    <w:name w:val="WW8Num8z2"/>
    <w:rsid w:val="008C2B46"/>
    <w:rPr>
      <w:rFonts w:ascii="Wingdings" w:hAnsi="Wingdings" w:cs="Wingdings"/>
    </w:rPr>
  </w:style>
  <w:style w:type="character" w:customStyle="1" w:styleId="WW8Num8z3">
    <w:name w:val="WW8Num8z3"/>
    <w:rsid w:val="008C2B46"/>
    <w:rPr>
      <w:rFonts w:ascii="Symbol" w:hAnsi="Symbol" w:cs="Symbol"/>
    </w:rPr>
  </w:style>
  <w:style w:type="character" w:customStyle="1" w:styleId="WW8Num9z0">
    <w:name w:val="WW8Num9z0"/>
    <w:rsid w:val="008C2B46"/>
    <w:rPr>
      <w:rFonts w:ascii="Symbol" w:hAnsi="Symbol" w:cs="Symbol"/>
    </w:rPr>
  </w:style>
  <w:style w:type="character" w:customStyle="1" w:styleId="WW8Num9z1">
    <w:name w:val="WW8Num9z1"/>
    <w:rsid w:val="008C2B46"/>
    <w:rPr>
      <w:rFonts w:ascii="Times New Roman" w:hAnsi="Times New Roman" w:cs="Times New Roman"/>
    </w:rPr>
  </w:style>
  <w:style w:type="character" w:customStyle="1" w:styleId="WW8Num9z2">
    <w:name w:val="WW8Num9z2"/>
    <w:rsid w:val="008C2B46"/>
    <w:rPr>
      <w:rFonts w:ascii="Wingdings" w:hAnsi="Wingdings" w:cs="Wingdings"/>
    </w:rPr>
  </w:style>
  <w:style w:type="character" w:customStyle="1" w:styleId="WW8Num9z4">
    <w:name w:val="WW8Num9z4"/>
    <w:rsid w:val="008C2B46"/>
    <w:rPr>
      <w:rFonts w:ascii="Courier New" w:hAnsi="Courier New" w:cs="Courier New"/>
    </w:rPr>
  </w:style>
  <w:style w:type="character" w:customStyle="1" w:styleId="WW-DefaultParagraphFont">
    <w:name w:val="WW-Default Paragraph Font"/>
    <w:rsid w:val="008C2B46"/>
  </w:style>
  <w:style w:type="character" w:styleId="PageNumber">
    <w:name w:val="page number"/>
    <w:basedOn w:val="WW-DefaultParagraphFont"/>
    <w:rsid w:val="008C2B46"/>
  </w:style>
  <w:style w:type="character" w:customStyle="1" w:styleId="NumberingSymbols">
    <w:name w:val="Numbering Symbols"/>
    <w:rsid w:val="008C2B46"/>
  </w:style>
  <w:style w:type="paragraph" w:customStyle="1" w:styleId="Heading">
    <w:name w:val="Heading"/>
    <w:basedOn w:val="Normal"/>
    <w:next w:val="BodyText"/>
    <w:rsid w:val="008C2B46"/>
    <w:pPr>
      <w:keepNext/>
      <w:suppressAutoHyphens/>
      <w:spacing w:before="240" w:after="120" w:line="240" w:lineRule="auto"/>
    </w:pPr>
    <w:rPr>
      <w:rFonts w:ascii="Arial" w:eastAsia="MS Mincho" w:hAnsi="Arial" w:cs="Arial"/>
      <w:sz w:val="28"/>
      <w:szCs w:val="28"/>
      <w:lang w:eastAsia="ar-SA"/>
    </w:rPr>
  </w:style>
  <w:style w:type="paragraph" w:styleId="List">
    <w:name w:val="List"/>
    <w:basedOn w:val="BodyText"/>
    <w:rsid w:val="008C2B46"/>
    <w:pPr>
      <w:suppressAutoHyphens/>
      <w:spacing w:after="0" w:line="240" w:lineRule="auto"/>
      <w:jc w:val="both"/>
    </w:pPr>
    <w:rPr>
      <w:rFonts w:ascii="Times New Roman" w:eastAsia="Times New Roman" w:hAnsi="Times New Roman" w:cs="Times New Roman"/>
      <w:sz w:val="24"/>
      <w:szCs w:val="24"/>
      <w:lang w:val="sr-Latn-CS" w:eastAsia="ar-SA"/>
    </w:rPr>
  </w:style>
  <w:style w:type="paragraph" w:styleId="Caption">
    <w:name w:val="caption"/>
    <w:basedOn w:val="Normal"/>
    <w:qFormat/>
    <w:rsid w:val="008C2B46"/>
    <w:pPr>
      <w:suppressLineNumbers/>
      <w:suppressAutoHyphens/>
      <w:spacing w:before="120" w:after="120" w:line="240" w:lineRule="auto"/>
    </w:pPr>
    <w:rPr>
      <w:rFonts w:ascii="Times New Roman" w:eastAsia="Times New Roman" w:hAnsi="Times New Roman" w:cs="Times New Roman"/>
      <w:i/>
      <w:iCs/>
      <w:sz w:val="24"/>
      <w:szCs w:val="24"/>
      <w:lang w:eastAsia="ar-SA"/>
    </w:rPr>
  </w:style>
  <w:style w:type="paragraph" w:customStyle="1" w:styleId="Index">
    <w:name w:val="Index"/>
    <w:basedOn w:val="Normal"/>
    <w:rsid w:val="008C2B46"/>
    <w:pPr>
      <w:suppressLineNumbers/>
      <w:suppressAutoHyphens/>
      <w:spacing w:after="0" w:line="240" w:lineRule="auto"/>
    </w:pPr>
    <w:rPr>
      <w:rFonts w:ascii="Times New Roman" w:eastAsia="Times New Roman" w:hAnsi="Times New Roman" w:cs="Times New Roman"/>
      <w:sz w:val="24"/>
      <w:szCs w:val="24"/>
      <w:lang w:eastAsia="ar-SA"/>
    </w:rPr>
  </w:style>
  <w:style w:type="paragraph" w:styleId="NormalWeb">
    <w:name w:val="Normal (Web)"/>
    <w:basedOn w:val="Normal"/>
    <w:rsid w:val="008C2B46"/>
    <w:pPr>
      <w:suppressAutoHyphens/>
      <w:spacing w:before="280" w:after="280" w:line="240" w:lineRule="auto"/>
    </w:pPr>
    <w:rPr>
      <w:rFonts w:ascii="Times New Roman" w:eastAsia="Times New Roman" w:hAnsi="Times New Roman" w:cs="Times New Roman"/>
      <w:sz w:val="24"/>
      <w:szCs w:val="24"/>
      <w:lang w:eastAsia="ar-SA"/>
    </w:rPr>
  </w:style>
  <w:style w:type="paragraph" w:styleId="Title">
    <w:name w:val="Title"/>
    <w:basedOn w:val="Normal"/>
    <w:next w:val="Subtitle"/>
    <w:link w:val="TitleChar"/>
    <w:qFormat/>
    <w:rsid w:val="008C2B46"/>
    <w:pPr>
      <w:suppressAutoHyphens/>
      <w:spacing w:after="0" w:line="240" w:lineRule="auto"/>
      <w:jc w:val="center"/>
    </w:pPr>
    <w:rPr>
      <w:rFonts w:ascii="Times New Roman" w:eastAsia="Times New Roman" w:hAnsi="Times New Roman" w:cs="Times New Roman"/>
      <w:b/>
      <w:bCs/>
      <w:sz w:val="28"/>
      <w:szCs w:val="28"/>
      <w:lang w:val="sr-Latn-CS" w:eastAsia="ar-SA"/>
    </w:rPr>
  </w:style>
  <w:style w:type="character" w:customStyle="1" w:styleId="TitleChar">
    <w:name w:val="Title Char"/>
    <w:basedOn w:val="DefaultParagraphFont"/>
    <w:link w:val="Title"/>
    <w:rsid w:val="008C2B46"/>
    <w:rPr>
      <w:rFonts w:ascii="Times New Roman" w:eastAsia="Times New Roman" w:hAnsi="Times New Roman" w:cs="Times New Roman"/>
      <w:b/>
      <w:bCs/>
      <w:sz w:val="28"/>
      <w:szCs w:val="28"/>
      <w:lang w:val="sr-Latn-CS" w:eastAsia="ar-SA"/>
    </w:rPr>
  </w:style>
  <w:style w:type="paragraph" w:styleId="BodyText2">
    <w:name w:val="Body Text 2"/>
    <w:basedOn w:val="Normal"/>
    <w:link w:val="BodyText2Char"/>
    <w:rsid w:val="008C2B46"/>
    <w:pPr>
      <w:suppressAutoHyphens/>
      <w:spacing w:after="120" w:line="480" w:lineRule="auto"/>
    </w:pPr>
    <w:rPr>
      <w:rFonts w:ascii="Times New Roman" w:eastAsia="Times New Roman" w:hAnsi="Times New Roman" w:cs="Times New Roman"/>
      <w:sz w:val="24"/>
      <w:szCs w:val="24"/>
      <w:lang w:eastAsia="ar-SA"/>
    </w:rPr>
  </w:style>
  <w:style w:type="character" w:customStyle="1" w:styleId="BodyText2Char">
    <w:name w:val="Body Text 2 Char"/>
    <w:basedOn w:val="DefaultParagraphFont"/>
    <w:link w:val="BodyText2"/>
    <w:rsid w:val="008C2B46"/>
    <w:rPr>
      <w:rFonts w:ascii="Times New Roman" w:eastAsia="Times New Roman" w:hAnsi="Times New Roman" w:cs="Times New Roman"/>
      <w:sz w:val="24"/>
      <w:szCs w:val="24"/>
      <w:lang w:eastAsia="ar-SA"/>
    </w:rPr>
  </w:style>
  <w:style w:type="paragraph" w:styleId="BodyTextIndent2">
    <w:name w:val="Body Text Indent 2"/>
    <w:basedOn w:val="Normal"/>
    <w:link w:val="BodyTextIndent2Char"/>
    <w:rsid w:val="008C2B46"/>
    <w:pPr>
      <w:suppressAutoHyphens/>
      <w:spacing w:after="0" w:line="240" w:lineRule="auto"/>
      <w:ind w:left="720"/>
      <w:jc w:val="both"/>
    </w:pPr>
    <w:rPr>
      <w:rFonts w:ascii="Times New Roman" w:eastAsia="Times New Roman" w:hAnsi="Times New Roman" w:cs="Times New Roman"/>
      <w:sz w:val="24"/>
      <w:szCs w:val="24"/>
      <w:lang w:val="sr-Latn-CS" w:eastAsia="ar-SA"/>
    </w:rPr>
  </w:style>
  <w:style w:type="character" w:customStyle="1" w:styleId="BodyTextIndent2Char">
    <w:name w:val="Body Text Indent 2 Char"/>
    <w:basedOn w:val="DefaultParagraphFont"/>
    <w:link w:val="BodyTextIndent2"/>
    <w:rsid w:val="008C2B46"/>
    <w:rPr>
      <w:rFonts w:ascii="Times New Roman" w:eastAsia="Times New Roman" w:hAnsi="Times New Roman" w:cs="Times New Roman"/>
      <w:sz w:val="24"/>
      <w:szCs w:val="24"/>
      <w:lang w:val="sr-Latn-CS" w:eastAsia="ar-SA"/>
    </w:rPr>
  </w:style>
  <w:style w:type="paragraph" w:styleId="BodyTextIndent3">
    <w:name w:val="Body Text Indent 3"/>
    <w:basedOn w:val="Normal"/>
    <w:link w:val="BodyTextIndent3Char"/>
    <w:rsid w:val="008C2B46"/>
    <w:pPr>
      <w:suppressAutoHyphens/>
      <w:spacing w:after="0" w:line="240" w:lineRule="auto"/>
      <w:ind w:left="1080"/>
      <w:jc w:val="both"/>
    </w:pPr>
    <w:rPr>
      <w:rFonts w:ascii="Times New Roman" w:eastAsia="Times New Roman" w:hAnsi="Times New Roman" w:cs="Times New Roman"/>
      <w:sz w:val="24"/>
      <w:szCs w:val="24"/>
      <w:lang w:val="sr-Latn-CS" w:eastAsia="ar-SA"/>
    </w:rPr>
  </w:style>
  <w:style w:type="character" w:customStyle="1" w:styleId="BodyTextIndent3Char">
    <w:name w:val="Body Text Indent 3 Char"/>
    <w:basedOn w:val="DefaultParagraphFont"/>
    <w:link w:val="BodyTextIndent3"/>
    <w:rsid w:val="008C2B46"/>
    <w:rPr>
      <w:rFonts w:ascii="Times New Roman" w:eastAsia="Times New Roman" w:hAnsi="Times New Roman" w:cs="Times New Roman"/>
      <w:sz w:val="24"/>
      <w:szCs w:val="24"/>
      <w:lang w:val="sr-Latn-CS" w:eastAsia="ar-SA"/>
    </w:rPr>
  </w:style>
  <w:style w:type="paragraph" w:customStyle="1" w:styleId="TableContents">
    <w:name w:val="Table Contents"/>
    <w:basedOn w:val="Normal"/>
    <w:rsid w:val="008C2B46"/>
    <w:pPr>
      <w:suppressLineNumbers/>
      <w:suppressAutoHyphens/>
      <w:spacing w:after="0" w:line="240" w:lineRule="auto"/>
    </w:pPr>
    <w:rPr>
      <w:rFonts w:ascii="Times New Roman" w:eastAsia="Times New Roman" w:hAnsi="Times New Roman" w:cs="Times New Roman"/>
      <w:sz w:val="24"/>
      <w:szCs w:val="24"/>
      <w:lang w:eastAsia="ar-SA"/>
    </w:rPr>
  </w:style>
  <w:style w:type="paragraph" w:customStyle="1" w:styleId="TableHeading">
    <w:name w:val="Table Heading"/>
    <w:basedOn w:val="TableContents"/>
    <w:rsid w:val="008C2B46"/>
    <w:pPr>
      <w:jc w:val="center"/>
    </w:pPr>
    <w:rPr>
      <w:b/>
      <w:bCs/>
      <w:i/>
      <w:iCs/>
    </w:rPr>
  </w:style>
  <w:style w:type="paragraph" w:customStyle="1" w:styleId="Framecontents">
    <w:name w:val="Frame contents"/>
    <w:basedOn w:val="BodyText"/>
    <w:rsid w:val="008C2B46"/>
    <w:pPr>
      <w:suppressAutoHyphens/>
      <w:spacing w:after="0" w:line="240" w:lineRule="auto"/>
      <w:jc w:val="both"/>
    </w:pPr>
    <w:rPr>
      <w:rFonts w:ascii="Times New Roman" w:eastAsia="Times New Roman" w:hAnsi="Times New Roman" w:cs="Times New Roman"/>
      <w:sz w:val="24"/>
      <w:szCs w:val="24"/>
      <w:lang w:val="sr-Latn-CS" w:eastAsia="ar-SA"/>
    </w:rPr>
  </w:style>
  <w:style w:type="character" w:customStyle="1" w:styleId="Style105pt">
    <w:name w:val="Style 105 pt"/>
    <w:rsid w:val="008C2B46"/>
    <w:rPr>
      <w:rFonts w:ascii="Times New Roman Bold" w:hAnsi="Times New Roman Bold" w:cs="Times New Roman Bold"/>
      <w:b/>
      <w:bCs/>
      <w:color w:val="auto"/>
      <w:sz w:val="24"/>
      <w:szCs w:val="24"/>
    </w:rPr>
  </w:style>
  <w:style w:type="table" w:styleId="TableWeb3">
    <w:name w:val="Table Web 3"/>
    <w:basedOn w:val="TableNormal"/>
    <w:rsid w:val="008C2B46"/>
    <w:pPr>
      <w:spacing w:after="0" w:line="240" w:lineRule="auto"/>
    </w:pPr>
    <w:rPr>
      <w:rFonts w:ascii="Times New Roman" w:eastAsia="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paragraph" w:styleId="CommentText">
    <w:name w:val="annotation text"/>
    <w:basedOn w:val="Normal"/>
    <w:link w:val="CommentTextChar"/>
    <w:uiPriority w:val="99"/>
    <w:semiHidden/>
    <w:rsid w:val="008C2B46"/>
    <w:pPr>
      <w:tabs>
        <w:tab w:val="left" w:pos="-720"/>
      </w:tabs>
      <w:suppressAutoHyphens/>
      <w:spacing w:after="0" w:line="240" w:lineRule="auto"/>
    </w:pPr>
    <w:rPr>
      <w:rFonts w:ascii="Helvetica 11pt" w:eastAsia="Times New Roman" w:hAnsi="Helvetica 11pt" w:cs="Helvetica 11pt"/>
      <w:sz w:val="24"/>
      <w:szCs w:val="24"/>
    </w:rPr>
  </w:style>
  <w:style w:type="character" w:customStyle="1" w:styleId="CommentTextChar">
    <w:name w:val="Comment Text Char"/>
    <w:basedOn w:val="DefaultParagraphFont"/>
    <w:link w:val="CommentText"/>
    <w:uiPriority w:val="99"/>
    <w:semiHidden/>
    <w:rsid w:val="008C2B46"/>
    <w:rPr>
      <w:rFonts w:ascii="Helvetica 11pt" w:eastAsia="Times New Roman" w:hAnsi="Helvetica 11pt" w:cs="Helvetica 11pt"/>
      <w:sz w:val="24"/>
      <w:szCs w:val="24"/>
    </w:rPr>
  </w:style>
  <w:style w:type="paragraph" w:customStyle="1" w:styleId="Style1">
    <w:name w:val="Style1"/>
    <w:basedOn w:val="Heading"/>
    <w:rsid w:val="008C2B46"/>
    <w:rPr>
      <w:rFonts w:ascii="Tahoma" w:hAnsi="Tahoma" w:cs="Tahoma"/>
      <w:b/>
      <w:bCs/>
      <w:sz w:val="24"/>
      <w:szCs w:val="24"/>
    </w:rPr>
  </w:style>
  <w:style w:type="paragraph" w:customStyle="1" w:styleId="Style2">
    <w:name w:val="Style2"/>
    <w:basedOn w:val="Heading1"/>
    <w:rsid w:val="008C2B46"/>
    <w:pPr>
      <w:numPr>
        <w:numId w:val="8"/>
      </w:numPr>
    </w:pPr>
    <w:rPr>
      <w:rFonts w:ascii="Tahoma" w:hAnsi="Tahoma"/>
      <w:b w:val="0"/>
      <w:bCs w:val="0"/>
      <w:sz w:val="24"/>
      <w:szCs w:val="24"/>
    </w:rPr>
  </w:style>
  <w:style w:type="character" w:styleId="LineNumber">
    <w:name w:val="line number"/>
    <w:basedOn w:val="DefaultParagraphFont"/>
    <w:rsid w:val="008C2B46"/>
  </w:style>
  <w:style w:type="character" w:customStyle="1" w:styleId="Bullets">
    <w:name w:val="Bullets"/>
    <w:rsid w:val="008C2B46"/>
    <w:rPr>
      <w:rFonts w:ascii="StarSymbol" w:eastAsia="StarSymbol" w:cs="StarSymbol"/>
      <w:sz w:val="18"/>
      <w:szCs w:val="18"/>
    </w:rPr>
  </w:style>
  <w:style w:type="paragraph" w:styleId="FootnoteText">
    <w:name w:val="footnote text"/>
    <w:basedOn w:val="Normal"/>
    <w:link w:val="FootnoteTextChar"/>
    <w:semiHidden/>
    <w:rsid w:val="008C2B46"/>
    <w:pPr>
      <w:widowControl w:val="0"/>
      <w:suppressAutoHyphens/>
      <w:spacing w:after="0" w:line="240" w:lineRule="auto"/>
    </w:pPr>
    <w:rPr>
      <w:rFonts w:ascii="Times New Roman" w:eastAsia="Times New Roman" w:hAnsi="Times New Roman" w:cs="Times New Roman"/>
      <w:sz w:val="20"/>
      <w:szCs w:val="20"/>
      <w:lang w:eastAsia="ar-SA"/>
    </w:rPr>
  </w:style>
  <w:style w:type="character" w:customStyle="1" w:styleId="FootnoteTextChar">
    <w:name w:val="Footnote Text Char"/>
    <w:basedOn w:val="DefaultParagraphFont"/>
    <w:link w:val="FootnoteText"/>
    <w:semiHidden/>
    <w:rsid w:val="008C2B46"/>
    <w:rPr>
      <w:rFonts w:ascii="Times New Roman" w:eastAsia="Times New Roman" w:hAnsi="Times New Roman" w:cs="Times New Roman"/>
      <w:sz w:val="20"/>
      <w:szCs w:val="20"/>
      <w:lang w:eastAsia="ar-SA"/>
    </w:rPr>
  </w:style>
  <w:style w:type="character" w:styleId="FootnoteReference">
    <w:name w:val="footnote reference"/>
    <w:semiHidden/>
    <w:rsid w:val="008C2B46"/>
    <w:rPr>
      <w:vertAlign w:val="superscript"/>
    </w:rPr>
  </w:style>
  <w:style w:type="table" w:styleId="TableList1">
    <w:name w:val="Table List 1"/>
    <w:basedOn w:val="TableNormal"/>
    <w:rsid w:val="008C2B46"/>
    <w:pPr>
      <w:widowControl w:val="0"/>
      <w:suppressAutoHyphens/>
      <w:spacing w:after="0" w:line="240" w:lineRule="auto"/>
    </w:pPr>
    <w:rPr>
      <w:rFonts w:ascii="Times New Roman" w:eastAsia="Times New Roman"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insideH w:val="single" w:sz="6" w:space="0" w:color="008080"/>
        <w:insideV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8C2B46"/>
    <w:pPr>
      <w:widowControl w:val="0"/>
      <w:suppressAutoHyphens/>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8">
    <w:name w:val="Table Grid 8"/>
    <w:basedOn w:val="TableNormal"/>
    <w:rsid w:val="008C2B46"/>
    <w:pPr>
      <w:widowControl w:val="0"/>
      <w:suppressAutoHyphens/>
      <w:spacing w:after="0" w:line="240" w:lineRule="auto"/>
    </w:pPr>
    <w:rPr>
      <w:rFonts w:ascii="Times New Roman" w:eastAsia="Times New Roman"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Professional">
    <w:name w:val="Table Professional"/>
    <w:basedOn w:val="TableNormal"/>
    <w:rsid w:val="008C2B46"/>
    <w:pPr>
      <w:widowControl w:val="0"/>
      <w:suppressAutoHyphens/>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TableList6">
    <w:name w:val="Table List 6"/>
    <w:basedOn w:val="TableNormal"/>
    <w:rsid w:val="008C2B46"/>
    <w:pPr>
      <w:suppressAutoHyphens/>
      <w:spacing w:after="0" w:line="240" w:lineRule="auto"/>
    </w:pPr>
    <w:rPr>
      <w:rFonts w:ascii="Times New Roman" w:eastAsia="Times New Roman"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character" w:customStyle="1" w:styleId="Char2">
    <w:name w:val="Char2"/>
    <w:rsid w:val="008C2B46"/>
    <w:rPr>
      <w:b/>
      <w:bCs/>
      <w:sz w:val="24"/>
      <w:szCs w:val="24"/>
      <w:lang w:val="en-US" w:eastAsia="ar-SA" w:bidi="ar-SA"/>
    </w:rPr>
  </w:style>
  <w:style w:type="table" w:styleId="TableGrid1">
    <w:name w:val="Table Grid 1"/>
    <w:basedOn w:val="TableNormal"/>
    <w:rsid w:val="008C2B46"/>
    <w:pPr>
      <w:suppressAutoHyphens/>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styleId="FollowedHyperlink">
    <w:name w:val="FollowedHyperlink"/>
    <w:rsid w:val="008C2B46"/>
    <w:rPr>
      <w:color w:val="800080"/>
      <w:u w:val="single"/>
    </w:rPr>
  </w:style>
  <w:style w:type="character" w:styleId="CommentReference">
    <w:name w:val="annotation reference"/>
    <w:uiPriority w:val="99"/>
    <w:semiHidden/>
    <w:rsid w:val="008C2B46"/>
    <w:rPr>
      <w:sz w:val="16"/>
      <w:szCs w:val="16"/>
    </w:rPr>
  </w:style>
  <w:style w:type="paragraph" w:styleId="CommentSubject">
    <w:name w:val="annotation subject"/>
    <w:basedOn w:val="CommentText"/>
    <w:next w:val="CommentText"/>
    <w:link w:val="CommentSubjectChar"/>
    <w:uiPriority w:val="99"/>
    <w:semiHidden/>
    <w:rsid w:val="008C2B46"/>
    <w:pPr>
      <w:tabs>
        <w:tab w:val="clear" w:pos="-720"/>
      </w:tabs>
    </w:pPr>
    <w:rPr>
      <w:rFonts w:ascii="Times New Roman" w:hAnsi="Times New Roman" w:cs="Times New Roman"/>
      <w:b/>
      <w:bCs/>
      <w:sz w:val="20"/>
      <w:szCs w:val="20"/>
      <w:lang w:eastAsia="ar-SA"/>
    </w:rPr>
  </w:style>
  <w:style w:type="character" w:customStyle="1" w:styleId="CommentSubjectChar">
    <w:name w:val="Comment Subject Char"/>
    <w:basedOn w:val="CommentTextChar"/>
    <w:link w:val="CommentSubject"/>
    <w:uiPriority w:val="99"/>
    <w:semiHidden/>
    <w:rsid w:val="008C2B46"/>
    <w:rPr>
      <w:rFonts w:ascii="Times New Roman" w:eastAsia="Times New Roman" w:hAnsi="Times New Roman" w:cs="Times New Roman"/>
      <w:b/>
      <w:bCs/>
      <w:sz w:val="20"/>
      <w:szCs w:val="20"/>
      <w:lang w:eastAsia="ar-SA"/>
    </w:rPr>
  </w:style>
  <w:style w:type="character" w:styleId="BookTitle">
    <w:name w:val="Book Title"/>
    <w:uiPriority w:val="99"/>
    <w:qFormat/>
    <w:rsid w:val="008C2B46"/>
    <w:rPr>
      <w:b/>
      <w:bCs/>
      <w:smallCaps/>
      <w:spacing w:val="5"/>
    </w:rPr>
  </w:style>
  <w:style w:type="table" w:customStyle="1" w:styleId="LightShading-Accent12">
    <w:name w:val="Light Shading - Accent 12"/>
    <w:uiPriority w:val="60"/>
    <w:rsid w:val="008C2B46"/>
    <w:pPr>
      <w:spacing w:after="0" w:line="240" w:lineRule="auto"/>
    </w:pPr>
    <w:rPr>
      <w:rFonts w:ascii="Times New Roman" w:eastAsia="Times New Roman" w:hAnsi="Times New Roman" w:cs="Times New Roman"/>
      <w:color w:val="365F91"/>
      <w:sz w:val="20"/>
      <w:szCs w:val="20"/>
      <w:lang w:val="sr-Latn-CS" w:eastAsia="sr-Latn-CS"/>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styleId="MediumShading2-Accent5">
    <w:name w:val="Medium Shading 2 Accent 5"/>
    <w:basedOn w:val="TableNormal"/>
    <w:uiPriority w:val="99"/>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3-Accent5">
    <w:name w:val="Medium Grid 3 Accent 5"/>
    <w:basedOn w:val="TableNormal"/>
    <w:uiPriority w:val="99"/>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LightShading-Accent13">
    <w:name w:val="Light Shading - Accent 13"/>
    <w:uiPriority w:val="99"/>
    <w:rsid w:val="008C2B46"/>
    <w:pPr>
      <w:spacing w:after="0" w:line="240" w:lineRule="auto"/>
    </w:pPr>
    <w:rPr>
      <w:rFonts w:ascii="Times New Roman" w:eastAsia="Times New Roman" w:hAnsi="Times New Roman" w:cs="Times New Roman"/>
      <w:color w:val="365F91"/>
      <w:sz w:val="20"/>
      <w:szCs w:val="20"/>
      <w:lang w:val="sr-Latn-CS" w:eastAsia="sr-Latn-CS"/>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styleId="MediumGrid3-Accent1">
    <w:name w:val="Medium Grid 3 Accent 1"/>
    <w:basedOn w:val="TableNormal"/>
    <w:uiPriority w:val="99"/>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character" w:styleId="SubtleEmphasis">
    <w:name w:val="Subtle Emphasis"/>
    <w:uiPriority w:val="19"/>
    <w:qFormat/>
    <w:rsid w:val="008C2B46"/>
    <w:rPr>
      <w:i/>
      <w:iCs/>
      <w:color w:val="808080"/>
    </w:rPr>
  </w:style>
  <w:style w:type="character" w:styleId="Emphasis">
    <w:name w:val="Emphasis"/>
    <w:uiPriority w:val="20"/>
    <w:qFormat/>
    <w:rsid w:val="008C2B46"/>
    <w:rPr>
      <w:i/>
      <w:iCs/>
    </w:rPr>
  </w:style>
  <w:style w:type="paragraph" w:customStyle="1" w:styleId="Default">
    <w:name w:val="Default"/>
    <w:rsid w:val="008C2B46"/>
    <w:pPr>
      <w:autoSpaceDE w:val="0"/>
      <w:autoSpaceDN w:val="0"/>
      <w:adjustRightInd w:val="0"/>
      <w:spacing w:after="0" w:line="240" w:lineRule="auto"/>
    </w:pPr>
    <w:rPr>
      <w:rFonts w:ascii="Arial" w:eastAsia="Times New Roman" w:hAnsi="Arial" w:cs="Arial"/>
      <w:color w:val="000000"/>
      <w:sz w:val="24"/>
      <w:szCs w:val="24"/>
      <w:lang w:eastAsia="sr-Latn-CS"/>
    </w:rPr>
  </w:style>
  <w:style w:type="table" w:customStyle="1" w:styleId="LightShading-Accent14">
    <w:name w:val="Light Shading - Accent 14"/>
    <w:basedOn w:val="TableNormal"/>
    <w:uiPriority w:val="60"/>
    <w:rsid w:val="008C2B46"/>
    <w:pPr>
      <w:spacing w:after="0" w:line="240" w:lineRule="auto"/>
    </w:pPr>
    <w:rPr>
      <w:rFonts w:ascii="Times New Roman" w:eastAsia="Times New Roman" w:hAnsi="Times New Roman"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Grid-Accent11">
    <w:name w:val="Light Grid - Accent 11"/>
    <w:basedOn w:val="TableNormal"/>
    <w:uiPriority w:val="62"/>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MediumShading1-Accent11">
    <w:name w:val="Medium Shading 1 - Accent 11"/>
    <w:basedOn w:val="TableNormal"/>
    <w:uiPriority w:val="63"/>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MediumShading2-Accent11">
    <w:name w:val="Medium Shading 2 - Accent 11"/>
    <w:basedOn w:val="TableNormal"/>
    <w:uiPriority w:val="64"/>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List2-Accent1">
    <w:name w:val="Medium List 2 Accent 1"/>
    <w:basedOn w:val="TableNormal"/>
    <w:uiPriority w:val="66"/>
    <w:rsid w:val="008C2B46"/>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character" w:customStyle="1" w:styleId="BodyTextIndentChar">
    <w:name w:val="Body Text Indent Char"/>
    <w:link w:val="BodyTextIndent"/>
    <w:rsid w:val="008C2B46"/>
    <w:rPr>
      <w:sz w:val="24"/>
      <w:szCs w:val="24"/>
      <w:lang w:eastAsia="ar-SA"/>
    </w:rPr>
  </w:style>
  <w:style w:type="paragraph" w:styleId="BodyTextIndent">
    <w:name w:val="Body Text Indent"/>
    <w:basedOn w:val="Normal"/>
    <w:link w:val="BodyTextIndentChar"/>
    <w:unhideWhenUsed/>
    <w:rsid w:val="008C2B46"/>
    <w:pPr>
      <w:suppressAutoHyphens/>
      <w:spacing w:after="0" w:line="240" w:lineRule="auto"/>
      <w:ind w:firstLine="360"/>
      <w:jc w:val="both"/>
    </w:pPr>
    <w:rPr>
      <w:sz w:val="24"/>
      <w:szCs w:val="24"/>
      <w:lang w:eastAsia="ar-SA"/>
    </w:rPr>
  </w:style>
  <w:style w:type="character" w:customStyle="1" w:styleId="BodyTextIndentChar1">
    <w:name w:val="Body Text Indent Char1"/>
    <w:basedOn w:val="DefaultParagraphFont"/>
    <w:uiPriority w:val="99"/>
    <w:semiHidden/>
    <w:rsid w:val="008C2B46"/>
  </w:style>
  <w:style w:type="paragraph" w:styleId="TOC2">
    <w:name w:val="toc 2"/>
    <w:basedOn w:val="Normal"/>
    <w:next w:val="Normal"/>
    <w:autoRedefine/>
    <w:uiPriority w:val="39"/>
    <w:unhideWhenUsed/>
    <w:qFormat/>
    <w:rsid w:val="008C2B46"/>
    <w:pPr>
      <w:tabs>
        <w:tab w:val="left" w:pos="1276"/>
        <w:tab w:val="right" w:leader="dot" w:pos="9396"/>
      </w:tabs>
      <w:spacing w:after="0" w:line="240" w:lineRule="auto"/>
      <w:ind w:left="216"/>
    </w:pPr>
    <w:rPr>
      <w:rFonts w:ascii="Calibri" w:eastAsia="Times New Roman" w:hAnsi="Calibri" w:cs="Times New Roman"/>
      <w:lang w:eastAsia="ja-JP"/>
    </w:rPr>
  </w:style>
  <w:style w:type="character" w:customStyle="1" w:styleId="DefaultParagraphFont1">
    <w:name w:val="Default Paragraph Font1"/>
    <w:rsid w:val="008C2B46"/>
  </w:style>
  <w:style w:type="paragraph" w:customStyle="1" w:styleId="msonospacing0">
    <w:name w:val="msonospacing"/>
    <w:basedOn w:val="Normal"/>
    <w:rsid w:val="008C2B4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har3">
    <w:name w:val="Char3"/>
    <w:rsid w:val="008C2B46"/>
    <w:rPr>
      <w:b/>
      <w:bCs/>
      <w:sz w:val="24"/>
      <w:lang w:val="en-US" w:eastAsia="ar-SA" w:bidi="ar-SA"/>
    </w:rPr>
  </w:style>
  <w:style w:type="paragraph" w:customStyle="1" w:styleId="BodySingle">
    <w:name w:val="Body Single"/>
    <w:rsid w:val="008C2B46"/>
    <w:pPr>
      <w:spacing w:after="0" w:line="240" w:lineRule="auto"/>
    </w:pPr>
    <w:rPr>
      <w:rFonts w:ascii="Times New Roman" w:eastAsia="Times New Roman" w:hAnsi="Times New Roman" w:cs="Times New Roman"/>
      <w:color w:val="000000"/>
      <w:sz w:val="24"/>
      <w:szCs w:val="20"/>
    </w:rPr>
  </w:style>
  <w:style w:type="table" w:styleId="TableWeb2">
    <w:name w:val="Table Web 2"/>
    <w:basedOn w:val="TableNormal"/>
    <w:rsid w:val="008C2B46"/>
    <w:pPr>
      <w:suppressAutoHyphens/>
      <w:spacing w:after="0" w:line="240" w:lineRule="auto"/>
    </w:pPr>
    <w:rPr>
      <w:rFonts w:ascii="Times New Roman" w:eastAsia="Times New Roman"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styleId="111111">
    <w:name w:val="Outline List 2"/>
    <w:basedOn w:val="NoList"/>
    <w:rsid w:val="008C2B46"/>
    <w:pPr>
      <w:numPr>
        <w:numId w:val="9"/>
      </w:numPr>
    </w:pPr>
  </w:style>
  <w:style w:type="numbering" w:styleId="ArticleSection">
    <w:name w:val="Outline List 3"/>
    <w:basedOn w:val="NoList"/>
    <w:rsid w:val="008C2B46"/>
    <w:pPr>
      <w:numPr>
        <w:numId w:val="10"/>
      </w:numPr>
    </w:pPr>
  </w:style>
  <w:style w:type="paragraph" w:styleId="TOC4">
    <w:name w:val="toc 4"/>
    <w:basedOn w:val="Normal"/>
    <w:next w:val="Normal"/>
    <w:autoRedefine/>
    <w:uiPriority w:val="39"/>
    <w:rsid w:val="008C2B46"/>
    <w:pPr>
      <w:spacing w:after="0" w:line="240" w:lineRule="auto"/>
      <w:ind w:left="720"/>
    </w:pPr>
    <w:rPr>
      <w:rFonts w:ascii="Times New Roman" w:eastAsia="Times New Roman" w:hAnsi="Times New Roman" w:cs="Times New Roman"/>
      <w:sz w:val="24"/>
      <w:szCs w:val="24"/>
      <w:lang w:val="sr-Latn-CS" w:eastAsia="sr-Latn-CS"/>
    </w:rPr>
  </w:style>
  <w:style w:type="paragraph" w:styleId="TOC5">
    <w:name w:val="toc 5"/>
    <w:basedOn w:val="Normal"/>
    <w:next w:val="Normal"/>
    <w:autoRedefine/>
    <w:uiPriority w:val="39"/>
    <w:rsid w:val="008C2B46"/>
    <w:pPr>
      <w:spacing w:after="0" w:line="240" w:lineRule="auto"/>
      <w:ind w:left="960"/>
    </w:pPr>
    <w:rPr>
      <w:rFonts w:ascii="Times New Roman" w:eastAsia="Times New Roman" w:hAnsi="Times New Roman" w:cs="Times New Roman"/>
      <w:sz w:val="24"/>
      <w:szCs w:val="24"/>
      <w:lang w:val="sr-Latn-CS" w:eastAsia="sr-Latn-CS"/>
    </w:rPr>
  </w:style>
  <w:style w:type="paragraph" w:styleId="TOC6">
    <w:name w:val="toc 6"/>
    <w:basedOn w:val="Normal"/>
    <w:next w:val="Normal"/>
    <w:autoRedefine/>
    <w:uiPriority w:val="39"/>
    <w:rsid w:val="008C2B46"/>
    <w:pPr>
      <w:spacing w:after="0" w:line="240" w:lineRule="auto"/>
      <w:ind w:left="1200"/>
    </w:pPr>
    <w:rPr>
      <w:rFonts w:ascii="Times New Roman" w:eastAsia="Times New Roman" w:hAnsi="Times New Roman" w:cs="Times New Roman"/>
      <w:sz w:val="24"/>
      <w:szCs w:val="24"/>
      <w:lang w:val="sr-Latn-CS" w:eastAsia="sr-Latn-CS"/>
    </w:rPr>
  </w:style>
  <w:style w:type="paragraph" w:styleId="TOC7">
    <w:name w:val="toc 7"/>
    <w:basedOn w:val="Normal"/>
    <w:next w:val="Normal"/>
    <w:autoRedefine/>
    <w:uiPriority w:val="39"/>
    <w:rsid w:val="008C2B46"/>
    <w:pPr>
      <w:spacing w:after="0" w:line="240" w:lineRule="auto"/>
      <w:ind w:left="1440"/>
    </w:pPr>
    <w:rPr>
      <w:rFonts w:ascii="Times New Roman" w:eastAsia="Times New Roman" w:hAnsi="Times New Roman" w:cs="Times New Roman"/>
      <w:sz w:val="24"/>
      <w:szCs w:val="24"/>
      <w:lang w:val="sr-Latn-CS" w:eastAsia="sr-Latn-CS"/>
    </w:rPr>
  </w:style>
  <w:style w:type="paragraph" w:styleId="TOC8">
    <w:name w:val="toc 8"/>
    <w:basedOn w:val="Normal"/>
    <w:next w:val="Normal"/>
    <w:autoRedefine/>
    <w:uiPriority w:val="39"/>
    <w:rsid w:val="008C2B46"/>
    <w:pPr>
      <w:spacing w:after="0" w:line="240" w:lineRule="auto"/>
      <w:ind w:left="1680"/>
    </w:pPr>
    <w:rPr>
      <w:rFonts w:ascii="Times New Roman" w:eastAsia="Times New Roman" w:hAnsi="Times New Roman" w:cs="Times New Roman"/>
      <w:sz w:val="24"/>
      <w:szCs w:val="24"/>
      <w:lang w:val="sr-Latn-CS" w:eastAsia="sr-Latn-CS"/>
    </w:rPr>
  </w:style>
  <w:style w:type="paragraph" w:styleId="TOC9">
    <w:name w:val="toc 9"/>
    <w:basedOn w:val="Normal"/>
    <w:next w:val="Normal"/>
    <w:autoRedefine/>
    <w:uiPriority w:val="39"/>
    <w:rsid w:val="008C2B46"/>
    <w:pPr>
      <w:spacing w:after="0" w:line="240" w:lineRule="auto"/>
      <w:ind w:left="1920"/>
    </w:pPr>
    <w:rPr>
      <w:rFonts w:ascii="Times New Roman" w:eastAsia="Times New Roman" w:hAnsi="Times New Roman" w:cs="Times New Roman"/>
      <w:sz w:val="24"/>
      <w:szCs w:val="24"/>
      <w:lang w:val="sr-Latn-CS" w:eastAsia="sr-Latn-CS"/>
    </w:rPr>
  </w:style>
  <w:style w:type="character" w:customStyle="1" w:styleId="Char4">
    <w:name w:val="Char4"/>
    <w:rsid w:val="008C2B46"/>
    <w:rPr>
      <w:b/>
      <w:bCs/>
      <w:sz w:val="24"/>
      <w:lang w:eastAsia="ar-SA"/>
    </w:rPr>
  </w:style>
  <w:style w:type="paragraph" w:customStyle="1" w:styleId="StyleHeading1Tahoma11ptLeftLeft0cmFirstline0">
    <w:name w:val="Style Heading 1 + Tahoma 11 pt Left Left:  0 cm First line:  0 ..."/>
    <w:basedOn w:val="Heading1"/>
    <w:autoRedefine/>
    <w:rsid w:val="008C2B46"/>
    <w:pPr>
      <w:numPr>
        <w:numId w:val="0"/>
      </w:numPr>
      <w:spacing w:before="240" w:after="240"/>
      <w:ind w:right="-4"/>
      <w:jc w:val="both"/>
      <w:outlineLvl w:val="9"/>
    </w:pPr>
    <w:rPr>
      <w:rFonts w:ascii="Tahoma" w:hAnsi="Tahoma" w:cs="Times New Roman"/>
      <w:b w:val="0"/>
      <w:sz w:val="24"/>
      <w:szCs w:val="24"/>
    </w:rPr>
  </w:style>
  <w:style w:type="paragraph" w:customStyle="1" w:styleId="StyleHeading2Tahoma11ptChar">
    <w:name w:val="Style Heading 2 + Tahoma 11 pt Char"/>
    <w:basedOn w:val="Heading2"/>
    <w:link w:val="StyleHeading2Tahoma11ptCharChar"/>
    <w:autoRedefine/>
    <w:rsid w:val="008C2B46"/>
    <w:pPr>
      <w:numPr>
        <w:ilvl w:val="0"/>
        <w:numId w:val="0"/>
      </w:numPr>
      <w:tabs>
        <w:tab w:val="num" w:pos="567"/>
      </w:tabs>
      <w:spacing w:before="240" w:after="120"/>
      <w:ind w:left="567" w:hanging="567"/>
    </w:pPr>
    <w:rPr>
      <w:rFonts w:ascii="Tahoma" w:hAnsi="Tahoma"/>
      <w:sz w:val="22"/>
    </w:rPr>
  </w:style>
  <w:style w:type="character" w:customStyle="1" w:styleId="StyleHeading2Tahoma11ptCharChar">
    <w:name w:val="Style Heading 2 + Tahoma 11 pt Char Char"/>
    <w:link w:val="StyleHeading2Tahoma11ptChar"/>
    <w:rsid w:val="008C2B46"/>
    <w:rPr>
      <w:rFonts w:ascii="Tahoma" w:eastAsia="Times New Roman" w:hAnsi="Tahoma" w:cs="Times New Roman"/>
      <w:b/>
      <w:bCs/>
      <w:szCs w:val="24"/>
      <w:lang w:val="sr-Latn-CS" w:eastAsia="ar-SA"/>
    </w:rPr>
  </w:style>
  <w:style w:type="paragraph" w:customStyle="1" w:styleId="StyleStyleHeading1Tahoma11ptLeftLeft0cmFirstline">
    <w:name w:val="Style Style Heading 1 + Tahoma 11 pt Left Left:  0 cm First line:  ..."/>
    <w:basedOn w:val="StyleHeading1Tahoma11ptLeftLeft0cmFirstline0"/>
    <w:autoRedefine/>
    <w:rsid w:val="008C2B46"/>
  </w:style>
  <w:style w:type="paragraph" w:customStyle="1" w:styleId="StyleHeading3Tahoma11ptChar">
    <w:name w:val="Style Heading 3 + Tahoma 11 pt Char"/>
    <w:basedOn w:val="Heading3"/>
    <w:link w:val="StyleHeading3Tahoma11ptCharChar"/>
    <w:autoRedefine/>
    <w:rsid w:val="008C2B46"/>
    <w:pPr>
      <w:numPr>
        <w:ilvl w:val="0"/>
        <w:numId w:val="0"/>
      </w:numPr>
      <w:tabs>
        <w:tab w:val="left" w:pos="993"/>
        <w:tab w:val="num" w:pos="1146"/>
      </w:tabs>
      <w:spacing w:before="100" w:beforeAutospacing="1" w:after="100" w:afterAutospacing="1"/>
      <w:ind w:left="1468"/>
      <w:jc w:val="both"/>
    </w:pPr>
    <w:rPr>
      <w:rFonts w:ascii="Tahoma" w:hAnsi="Tahoma"/>
      <w:sz w:val="22"/>
    </w:rPr>
  </w:style>
  <w:style w:type="character" w:customStyle="1" w:styleId="StyleHeading3Tahoma11ptCharChar">
    <w:name w:val="Style Heading 3 + Tahoma 11 pt Char Char"/>
    <w:link w:val="StyleHeading3Tahoma11ptChar"/>
    <w:rsid w:val="008C2B46"/>
    <w:rPr>
      <w:rFonts w:ascii="Tahoma" w:eastAsia="Times New Roman" w:hAnsi="Tahoma" w:cs="Times New Roman"/>
      <w:b/>
      <w:bCs/>
      <w:szCs w:val="24"/>
      <w:lang w:val="sr-Latn-CS" w:eastAsia="ar-SA"/>
    </w:rPr>
  </w:style>
  <w:style w:type="paragraph" w:customStyle="1" w:styleId="Normal1">
    <w:name w:val="Normal1"/>
    <w:basedOn w:val="Normal"/>
    <w:rsid w:val="008C2B46"/>
    <w:pPr>
      <w:spacing w:before="100" w:beforeAutospacing="1" w:after="100" w:afterAutospacing="1" w:line="240" w:lineRule="auto"/>
    </w:pPr>
    <w:rPr>
      <w:rFonts w:ascii="Arial" w:eastAsia="Times New Roman" w:hAnsi="Arial" w:cs="Arial"/>
      <w:lang w:val="sr-Latn-CS"/>
    </w:rPr>
  </w:style>
  <w:style w:type="paragraph" w:styleId="MacroText">
    <w:name w:val="macro"/>
    <w:aliases w:val=" Char2"/>
    <w:link w:val="MacroTextChar"/>
    <w:semiHidden/>
    <w:rsid w:val="008C2B46"/>
    <w:pPr>
      <w:widowControl w:val="0"/>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Times New Roman"/>
      <w:snapToGrid w:val="0"/>
      <w:sz w:val="20"/>
      <w:szCs w:val="20"/>
    </w:rPr>
  </w:style>
  <w:style w:type="character" w:customStyle="1" w:styleId="MacroTextChar">
    <w:name w:val="Macro Text Char"/>
    <w:aliases w:val=" Char2 Char"/>
    <w:basedOn w:val="DefaultParagraphFont"/>
    <w:link w:val="MacroText"/>
    <w:semiHidden/>
    <w:rsid w:val="008C2B46"/>
    <w:rPr>
      <w:rFonts w:ascii="Courier New" w:eastAsia="Times New Roman" w:hAnsi="Courier New" w:cs="Times New Roman"/>
      <w:snapToGrid w:val="0"/>
      <w:sz w:val="20"/>
      <w:szCs w:val="20"/>
    </w:rPr>
  </w:style>
  <w:style w:type="paragraph" w:styleId="DocumentMap">
    <w:name w:val="Document Map"/>
    <w:basedOn w:val="Normal"/>
    <w:link w:val="DocumentMapChar"/>
    <w:semiHidden/>
    <w:rsid w:val="008C2B46"/>
    <w:pPr>
      <w:shd w:val="clear" w:color="auto" w:fill="000080"/>
      <w:suppressAutoHyphens/>
      <w:spacing w:after="0" w:line="240" w:lineRule="auto"/>
    </w:pPr>
    <w:rPr>
      <w:rFonts w:ascii="Tahoma" w:eastAsia="Times New Roman" w:hAnsi="Tahoma" w:cs="Tahoma"/>
      <w:sz w:val="24"/>
      <w:szCs w:val="24"/>
      <w:lang w:eastAsia="ar-SA"/>
    </w:rPr>
  </w:style>
  <w:style w:type="character" w:customStyle="1" w:styleId="DocumentMapChar">
    <w:name w:val="Document Map Char"/>
    <w:basedOn w:val="DefaultParagraphFont"/>
    <w:link w:val="DocumentMap"/>
    <w:semiHidden/>
    <w:rsid w:val="008C2B46"/>
    <w:rPr>
      <w:rFonts w:ascii="Tahoma" w:eastAsia="Times New Roman" w:hAnsi="Tahoma" w:cs="Tahoma"/>
      <w:sz w:val="24"/>
      <w:szCs w:val="24"/>
      <w:shd w:val="clear" w:color="auto" w:fill="000080"/>
      <w:lang w:eastAsia="ar-SA"/>
    </w:rPr>
  </w:style>
  <w:style w:type="paragraph" w:customStyle="1" w:styleId="Toc30">
    <w:name w:val="Toc3"/>
    <w:basedOn w:val="Normal"/>
    <w:link w:val="Toc3Char"/>
    <w:rsid w:val="008C2B46"/>
    <w:pPr>
      <w:tabs>
        <w:tab w:val="left" w:pos="960"/>
      </w:tabs>
      <w:suppressAutoHyphens/>
      <w:spacing w:after="0" w:line="240" w:lineRule="auto"/>
      <w:ind w:left="240" w:right="-124"/>
    </w:pPr>
    <w:rPr>
      <w:rFonts w:ascii="Tahoma" w:eastAsia="Times New Roman" w:hAnsi="Tahoma" w:cs="Tahoma"/>
      <w:lang w:val="sr-Latn-CS" w:eastAsia="ar-SA"/>
    </w:rPr>
  </w:style>
  <w:style w:type="character" w:customStyle="1" w:styleId="Toc3Char">
    <w:name w:val="Toc3 Char"/>
    <w:link w:val="Toc30"/>
    <w:rsid w:val="008C2B46"/>
    <w:rPr>
      <w:rFonts w:ascii="Tahoma" w:eastAsia="Times New Roman" w:hAnsi="Tahoma" w:cs="Tahoma"/>
      <w:lang w:val="sr-Latn-CS" w:eastAsia="ar-SA"/>
    </w:rPr>
  </w:style>
  <w:style w:type="paragraph" w:styleId="Closing">
    <w:name w:val="Closing"/>
    <w:basedOn w:val="Normal"/>
    <w:link w:val="ClosingChar"/>
    <w:rsid w:val="008C2B46"/>
    <w:pPr>
      <w:spacing w:after="0" w:line="240" w:lineRule="auto"/>
      <w:ind w:left="4320"/>
    </w:pPr>
    <w:rPr>
      <w:rFonts w:ascii="Cirilica Times" w:eastAsia="Times New Roman" w:hAnsi="Cirilica Times" w:cs="Times New Roman"/>
      <w:sz w:val="24"/>
      <w:szCs w:val="20"/>
    </w:rPr>
  </w:style>
  <w:style w:type="character" w:customStyle="1" w:styleId="ClosingChar">
    <w:name w:val="Closing Char"/>
    <w:basedOn w:val="DefaultParagraphFont"/>
    <w:link w:val="Closing"/>
    <w:rsid w:val="008C2B46"/>
    <w:rPr>
      <w:rFonts w:ascii="Cirilica Times" w:eastAsia="Times New Roman" w:hAnsi="Cirilica Times" w:cs="Times New Roman"/>
      <w:sz w:val="24"/>
      <w:szCs w:val="20"/>
    </w:rPr>
  </w:style>
  <w:style w:type="paragraph" w:styleId="EndnoteText">
    <w:name w:val="endnote text"/>
    <w:basedOn w:val="Normal"/>
    <w:link w:val="EndnoteTextChar"/>
    <w:uiPriority w:val="99"/>
    <w:semiHidden/>
    <w:rsid w:val="008C2B46"/>
    <w:pPr>
      <w:spacing w:after="0" w:line="240" w:lineRule="auto"/>
    </w:pPr>
    <w:rPr>
      <w:rFonts w:ascii="Cirilica Times" w:eastAsia="Times New Roman" w:hAnsi="Cirilica Times" w:cs="Times New Roman"/>
      <w:sz w:val="24"/>
      <w:szCs w:val="20"/>
    </w:rPr>
  </w:style>
  <w:style w:type="character" w:customStyle="1" w:styleId="EndnoteTextChar">
    <w:name w:val="Endnote Text Char"/>
    <w:basedOn w:val="DefaultParagraphFont"/>
    <w:link w:val="EndnoteText"/>
    <w:uiPriority w:val="99"/>
    <w:semiHidden/>
    <w:rsid w:val="008C2B46"/>
    <w:rPr>
      <w:rFonts w:ascii="Cirilica Times" w:eastAsia="Times New Roman" w:hAnsi="Cirilica Times" w:cs="Times New Roman"/>
      <w:sz w:val="24"/>
      <w:szCs w:val="20"/>
    </w:rPr>
  </w:style>
  <w:style w:type="paragraph" w:styleId="EnvelopeAddress">
    <w:name w:val="envelope address"/>
    <w:basedOn w:val="Normal"/>
    <w:rsid w:val="008C2B46"/>
    <w:pPr>
      <w:framePr w:w="7920" w:h="1980" w:hRule="exact" w:hSpace="180" w:wrap="auto" w:hAnchor="page" w:xAlign="center" w:yAlign="bottom"/>
      <w:spacing w:after="0" w:line="240" w:lineRule="auto"/>
      <w:ind w:left="2880"/>
    </w:pPr>
    <w:rPr>
      <w:rFonts w:ascii="Cirilica Times" w:eastAsia="Times New Roman" w:hAnsi="Cirilica Times" w:cs="Times New Roman"/>
      <w:sz w:val="24"/>
      <w:szCs w:val="20"/>
    </w:rPr>
  </w:style>
  <w:style w:type="paragraph" w:styleId="EnvelopeReturn">
    <w:name w:val="envelope return"/>
    <w:basedOn w:val="Normal"/>
    <w:rsid w:val="008C2B46"/>
    <w:pPr>
      <w:spacing w:after="0" w:line="240" w:lineRule="auto"/>
    </w:pPr>
    <w:rPr>
      <w:rFonts w:ascii="Cirilica Times" w:eastAsia="Times New Roman" w:hAnsi="Cirilica Times" w:cs="Times New Roman"/>
      <w:sz w:val="24"/>
      <w:szCs w:val="20"/>
    </w:rPr>
  </w:style>
  <w:style w:type="paragraph" w:styleId="Index1">
    <w:name w:val="index 1"/>
    <w:basedOn w:val="Normal"/>
    <w:next w:val="Normal"/>
    <w:semiHidden/>
    <w:rsid w:val="008C2B46"/>
    <w:pPr>
      <w:tabs>
        <w:tab w:val="right" w:leader="dot" w:pos="8640"/>
      </w:tabs>
      <w:spacing w:after="0" w:line="240" w:lineRule="auto"/>
      <w:ind w:left="200" w:hanging="200"/>
    </w:pPr>
    <w:rPr>
      <w:rFonts w:ascii="Cirilica Times" w:eastAsia="Times New Roman" w:hAnsi="Cirilica Times" w:cs="Times New Roman"/>
      <w:sz w:val="24"/>
      <w:szCs w:val="20"/>
    </w:rPr>
  </w:style>
  <w:style w:type="paragraph" w:styleId="Index2">
    <w:name w:val="index 2"/>
    <w:basedOn w:val="Normal"/>
    <w:next w:val="Normal"/>
    <w:semiHidden/>
    <w:rsid w:val="008C2B46"/>
    <w:pPr>
      <w:tabs>
        <w:tab w:val="right" w:leader="dot" w:pos="8640"/>
      </w:tabs>
      <w:spacing w:after="0" w:line="240" w:lineRule="auto"/>
      <w:ind w:left="400" w:hanging="200"/>
    </w:pPr>
    <w:rPr>
      <w:rFonts w:ascii="Cirilica Times" w:eastAsia="Times New Roman" w:hAnsi="Cirilica Times" w:cs="Times New Roman"/>
      <w:sz w:val="24"/>
      <w:szCs w:val="20"/>
    </w:rPr>
  </w:style>
  <w:style w:type="paragraph" w:styleId="Index3">
    <w:name w:val="index 3"/>
    <w:basedOn w:val="Normal"/>
    <w:next w:val="Normal"/>
    <w:semiHidden/>
    <w:rsid w:val="008C2B46"/>
    <w:pPr>
      <w:tabs>
        <w:tab w:val="right" w:leader="dot" w:pos="8640"/>
      </w:tabs>
      <w:spacing w:after="0" w:line="240" w:lineRule="auto"/>
      <w:ind w:left="600" w:hanging="200"/>
    </w:pPr>
    <w:rPr>
      <w:rFonts w:ascii="Cirilica Times" w:eastAsia="Times New Roman" w:hAnsi="Cirilica Times" w:cs="Times New Roman"/>
      <w:sz w:val="24"/>
      <w:szCs w:val="20"/>
    </w:rPr>
  </w:style>
  <w:style w:type="paragraph" w:styleId="Index4">
    <w:name w:val="index 4"/>
    <w:basedOn w:val="Normal"/>
    <w:next w:val="Normal"/>
    <w:semiHidden/>
    <w:rsid w:val="008C2B46"/>
    <w:pPr>
      <w:tabs>
        <w:tab w:val="right" w:leader="dot" w:pos="8640"/>
      </w:tabs>
      <w:spacing w:after="0" w:line="240" w:lineRule="auto"/>
      <w:ind w:left="800" w:hanging="200"/>
    </w:pPr>
    <w:rPr>
      <w:rFonts w:ascii="Cirilica Times" w:eastAsia="Times New Roman" w:hAnsi="Cirilica Times" w:cs="Times New Roman"/>
      <w:sz w:val="24"/>
      <w:szCs w:val="20"/>
    </w:rPr>
  </w:style>
  <w:style w:type="paragraph" w:styleId="Index5">
    <w:name w:val="index 5"/>
    <w:basedOn w:val="Normal"/>
    <w:next w:val="Normal"/>
    <w:semiHidden/>
    <w:rsid w:val="008C2B46"/>
    <w:pPr>
      <w:tabs>
        <w:tab w:val="right" w:leader="dot" w:pos="8640"/>
      </w:tabs>
      <w:spacing w:after="0" w:line="240" w:lineRule="auto"/>
      <w:ind w:left="1000" w:hanging="200"/>
    </w:pPr>
    <w:rPr>
      <w:rFonts w:ascii="Cirilica Times" w:eastAsia="Times New Roman" w:hAnsi="Cirilica Times" w:cs="Times New Roman"/>
      <w:sz w:val="24"/>
      <w:szCs w:val="20"/>
    </w:rPr>
  </w:style>
  <w:style w:type="paragraph" w:styleId="Index6">
    <w:name w:val="index 6"/>
    <w:basedOn w:val="Normal"/>
    <w:next w:val="Normal"/>
    <w:semiHidden/>
    <w:rsid w:val="008C2B46"/>
    <w:pPr>
      <w:tabs>
        <w:tab w:val="right" w:leader="dot" w:pos="8640"/>
      </w:tabs>
      <w:spacing w:after="0" w:line="240" w:lineRule="auto"/>
      <w:ind w:left="1200" w:hanging="200"/>
    </w:pPr>
    <w:rPr>
      <w:rFonts w:ascii="Cirilica Times" w:eastAsia="Times New Roman" w:hAnsi="Cirilica Times" w:cs="Times New Roman"/>
      <w:sz w:val="24"/>
      <w:szCs w:val="20"/>
    </w:rPr>
  </w:style>
  <w:style w:type="paragraph" w:styleId="Index7">
    <w:name w:val="index 7"/>
    <w:basedOn w:val="Normal"/>
    <w:next w:val="Normal"/>
    <w:semiHidden/>
    <w:rsid w:val="008C2B46"/>
    <w:pPr>
      <w:tabs>
        <w:tab w:val="right" w:leader="dot" w:pos="8640"/>
      </w:tabs>
      <w:spacing w:after="0" w:line="240" w:lineRule="auto"/>
      <w:ind w:left="1400" w:hanging="200"/>
    </w:pPr>
    <w:rPr>
      <w:rFonts w:ascii="Cirilica Times" w:eastAsia="Times New Roman" w:hAnsi="Cirilica Times" w:cs="Times New Roman"/>
      <w:sz w:val="24"/>
      <w:szCs w:val="20"/>
    </w:rPr>
  </w:style>
  <w:style w:type="paragraph" w:styleId="Index8">
    <w:name w:val="index 8"/>
    <w:basedOn w:val="Normal"/>
    <w:next w:val="Normal"/>
    <w:semiHidden/>
    <w:rsid w:val="008C2B46"/>
    <w:pPr>
      <w:tabs>
        <w:tab w:val="right" w:leader="dot" w:pos="8640"/>
      </w:tabs>
      <w:spacing w:after="0" w:line="240" w:lineRule="auto"/>
      <w:ind w:left="1600" w:hanging="200"/>
    </w:pPr>
    <w:rPr>
      <w:rFonts w:ascii="Cirilica Times" w:eastAsia="Times New Roman" w:hAnsi="Cirilica Times" w:cs="Times New Roman"/>
      <w:sz w:val="24"/>
      <w:szCs w:val="20"/>
    </w:rPr>
  </w:style>
  <w:style w:type="paragraph" w:styleId="Index9">
    <w:name w:val="index 9"/>
    <w:basedOn w:val="Normal"/>
    <w:next w:val="Normal"/>
    <w:semiHidden/>
    <w:rsid w:val="008C2B46"/>
    <w:pPr>
      <w:tabs>
        <w:tab w:val="right" w:leader="dot" w:pos="8640"/>
      </w:tabs>
      <w:spacing w:after="0" w:line="240" w:lineRule="auto"/>
      <w:ind w:left="1800" w:hanging="200"/>
    </w:pPr>
    <w:rPr>
      <w:rFonts w:ascii="Cirilica Times" w:eastAsia="Times New Roman" w:hAnsi="Cirilica Times" w:cs="Times New Roman"/>
      <w:sz w:val="24"/>
      <w:szCs w:val="20"/>
    </w:rPr>
  </w:style>
  <w:style w:type="paragraph" w:styleId="IndexHeading">
    <w:name w:val="index heading"/>
    <w:basedOn w:val="Normal"/>
    <w:next w:val="Index1"/>
    <w:semiHidden/>
    <w:rsid w:val="008C2B46"/>
    <w:pPr>
      <w:spacing w:after="0" w:line="240" w:lineRule="auto"/>
    </w:pPr>
    <w:rPr>
      <w:rFonts w:ascii="Cirilica Times" w:eastAsia="Times New Roman" w:hAnsi="Cirilica Times" w:cs="Times New Roman"/>
      <w:sz w:val="24"/>
      <w:szCs w:val="20"/>
    </w:rPr>
  </w:style>
  <w:style w:type="paragraph" w:styleId="List2">
    <w:name w:val="List 2"/>
    <w:basedOn w:val="Normal"/>
    <w:rsid w:val="008C2B46"/>
    <w:pPr>
      <w:spacing w:after="0" w:line="240" w:lineRule="auto"/>
      <w:ind w:left="720" w:hanging="360"/>
    </w:pPr>
    <w:rPr>
      <w:rFonts w:ascii="Cirilica Times" w:eastAsia="Times New Roman" w:hAnsi="Cirilica Times" w:cs="Times New Roman"/>
      <w:sz w:val="24"/>
      <w:szCs w:val="20"/>
    </w:rPr>
  </w:style>
  <w:style w:type="paragraph" w:styleId="List3">
    <w:name w:val="List 3"/>
    <w:basedOn w:val="Normal"/>
    <w:rsid w:val="008C2B46"/>
    <w:pPr>
      <w:spacing w:after="0" w:line="240" w:lineRule="auto"/>
      <w:ind w:left="1080" w:hanging="360"/>
    </w:pPr>
    <w:rPr>
      <w:rFonts w:ascii="Cirilica Times" w:eastAsia="Times New Roman" w:hAnsi="Cirilica Times" w:cs="Times New Roman"/>
      <w:sz w:val="24"/>
      <w:szCs w:val="20"/>
    </w:rPr>
  </w:style>
  <w:style w:type="paragraph" w:styleId="List4">
    <w:name w:val="List 4"/>
    <w:basedOn w:val="Normal"/>
    <w:rsid w:val="008C2B46"/>
    <w:pPr>
      <w:spacing w:after="0" w:line="240" w:lineRule="auto"/>
      <w:ind w:left="1440" w:hanging="360"/>
    </w:pPr>
    <w:rPr>
      <w:rFonts w:ascii="Cirilica Times" w:eastAsia="Times New Roman" w:hAnsi="Cirilica Times" w:cs="Times New Roman"/>
      <w:sz w:val="24"/>
      <w:szCs w:val="20"/>
    </w:rPr>
  </w:style>
  <w:style w:type="paragraph" w:styleId="List5">
    <w:name w:val="List 5"/>
    <w:basedOn w:val="Normal"/>
    <w:rsid w:val="008C2B46"/>
    <w:pPr>
      <w:spacing w:after="0" w:line="240" w:lineRule="auto"/>
      <w:ind w:left="1800" w:hanging="360"/>
    </w:pPr>
    <w:rPr>
      <w:rFonts w:ascii="Cirilica Times" w:eastAsia="Times New Roman" w:hAnsi="Cirilica Times" w:cs="Times New Roman"/>
      <w:sz w:val="24"/>
      <w:szCs w:val="20"/>
    </w:rPr>
  </w:style>
  <w:style w:type="paragraph" w:styleId="ListBullet">
    <w:name w:val="List Bullet"/>
    <w:basedOn w:val="Normal"/>
    <w:rsid w:val="008C2B46"/>
    <w:pPr>
      <w:spacing w:after="0" w:line="240" w:lineRule="auto"/>
      <w:ind w:left="360" w:hanging="360"/>
    </w:pPr>
    <w:rPr>
      <w:rFonts w:ascii="Cirilica Times" w:eastAsia="Times New Roman" w:hAnsi="Cirilica Times" w:cs="Times New Roman"/>
      <w:sz w:val="24"/>
      <w:szCs w:val="20"/>
    </w:rPr>
  </w:style>
  <w:style w:type="paragraph" w:styleId="ListBullet2">
    <w:name w:val="List Bullet 2"/>
    <w:basedOn w:val="Normal"/>
    <w:rsid w:val="008C2B46"/>
    <w:pPr>
      <w:spacing w:after="0" w:line="240" w:lineRule="auto"/>
      <w:ind w:left="720" w:hanging="360"/>
    </w:pPr>
    <w:rPr>
      <w:rFonts w:ascii="Cirilica Times" w:eastAsia="Times New Roman" w:hAnsi="Cirilica Times" w:cs="Times New Roman"/>
      <w:sz w:val="24"/>
      <w:szCs w:val="20"/>
    </w:rPr>
  </w:style>
  <w:style w:type="paragraph" w:styleId="ListBullet3">
    <w:name w:val="List Bullet 3"/>
    <w:basedOn w:val="Normal"/>
    <w:rsid w:val="008C2B46"/>
    <w:pPr>
      <w:spacing w:after="0" w:line="240" w:lineRule="auto"/>
      <w:ind w:left="1080" w:hanging="360"/>
    </w:pPr>
    <w:rPr>
      <w:rFonts w:ascii="Cirilica Times" w:eastAsia="Times New Roman" w:hAnsi="Cirilica Times" w:cs="Times New Roman"/>
      <w:sz w:val="24"/>
      <w:szCs w:val="20"/>
    </w:rPr>
  </w:style>
  <w:style w:type="paragraph" w:styleId="ListBullet4">
    <w:name w:val="List Bullet 4"/>
    <w:basedOn w:val="Normal"/>
    <w:rsid w:val="008C2B46"/>
    <w:pPr>
      <w:spacing w:after="0" w:line="240" w:lineRule="auto"/>
      <w:ind w:left="1440" w:hanging="360"/>
    </w:pPr>
    <w:rPr>
      <w:rFonts w:ascii="Cirilica Times" w:eastAsia="Times New Roman" w:hAnsi="Cirilica Times" w:cs="Times New Roman"/>
      <w:sz w:val="24"/>
      <w:szCs w:val="20"/>
    </w:rPr>
  </w:style>
  <w:style w:type="paragraph" w:styleId="ListBullet5">
    <w:name w:val="List Bullet 5"/>
    <w:basedOn w:val="Normal"/>
    <w:rsid w:val="008C2B46"/>
    <w:pPr>
      <w:spacing w:after="0" w:line="240" w:lineRule="auto"/>
      <w:ind w:left="1800" w:hanging="360"/>
    </w:pPr>
    <w:rPr>
      <w:rFonts w:ascii="Cirilica Times" w:eastAsia="Times New Roman" w:hAnsi="Cirilica Times" w:cs="Times New Roman"/>
      <w:sz w:val="24"/>
      <w:szCs w:val="20"/>
    </w:rPr>
  </w:style>
  <w:style w:type="paragraph" w:styleId="ListContinue">
    <w:name w:val="List Continue"/>
    <w:basedOn w:val="Normal"/>
    <w:rsid w:val="008C2B46"/>
    <w:pPr>
      <w:spacing w:after="120" w:line="240" w:lineRule="auto"/>
      <w:ind w:left="360"/>
    </w:pPr>
    <w:rPr>
      <w:rFonts w:ascii="Cirilica Times" w:eastAsia="Times New Roman" w:hAnsi="Cirilica Times" w:cs="Times New Roman"/>
      <w:sz w:val="24"/>
      <w:szCs w:val="20"/>
    </w:rPr>
  </w:style>
  <w:style w:type="paragraph" w:styleId="MessageHeader">
    <w:name w:val="Message Header"/>
    <w:basedOn w:val="Normal"/>
    <w:link w:val="MessageHeaderChar"/>
    <w:rsid w:val="008C2B46"/>
    <w:pPr>
      <w:spacing w:after="0" w:line="240" w:lineRule="auto"/>
      <w:ind w:left="1080" w:hanging="1080"/>
    </w:pPr>
    <w:rPr>
      <w:rFonts w:ascii="Cirilica Helvetica" w:eastAsia="Times New Roman" w:hAnsi="Cirilica Helvetica" w:cs="Times New Roman"/>
      <w:sz w:val="24"/>
      <w:szCs w:val="20"/>
    </w:rPr>
  </w:style>
  <w:style w:type="character" w:customStyle="1" w:styleId="MessageHeaderChar">
    <w:name w:val="Message Header Char"/>
    <w:basedOn w:val="DefaultParagraphFont"/>
    <w:link w:val="MessageHeader"/>
    <w:rsid w:val="008C2B46"/>
    <w:rPr>
      <w:rFonts w:ascii="Cirilica Helvetica" w:eastAsia="Times New Roman" w:hAnsi="Cirilica Helvetica" w:cs="Times New Roman"/>
      <w:sz w:val="24"/>
      <w:szCs w:val="20"/>
    </w:rPr>
  </w:style>
  <w:style w:type="paragraph" w:styleId="TOAHeading">
    <w:name w:val="toa heading"/>
    <w:basedOn w:val="Normal"/>
    <w:next w:val="Normal"/>
    <w:semiHidden/>
    <w:rsid w:val="008C2B46"/>
    <w:pPr>
      <w:spacing w:before="120" w:after="0" w:line="240" w:lineRule="auto"/>
    </w:pPr>
    <w:rPr>
      <w:rFonts w:ascii="Cirilica Helvetica" w:eastAsia="Times New Roman" w:hAnsi="Cirilica Helvetica" w:cs="Times New Roman"/>
      <w:b/>
      <w:sz w:val="24"/>
      <w:szCs w:val="20"/>
    </w:rPr>
  </w:style>
  <w:style w:type="paragraph" w:styleId="BodyText3">
    <w:name w:val="Body Text 3"/>
    <w:basedOn w:val="Normal"/>
    <w:link w:val="BodyText3Char"/>
    <w:rsid w:val="008C2B46"/>
    <w:pPr>
      <w:spacing w:after="0" w:line="240" w:lineRule="auto"/>
      <w:jc w:val="both"/>
    </w:pPr>
    <w:rPr>
      <w:rFonts w:ascii="Cirilica Times" w:eastAsia="Times New Roman" w:hAnsi="Cirilica Times" w:cs="Times New Roman"/>
      <w:b/>
      <w:sz w:val="28"/>
      <w:szCs w:val="20"/>
    </w:rPr>
  </w:style>
  <w:style w:type="character" w:customStyle="1" w:styleId="BodyText3Char">
    <w:name w:val="Body Text 3 Char"/>
    <w:basedOn w:val="DefaultParagraphFont"/>
    <w:link w:val="BodyText3"/>
    <w:rsid w:val="008C2B46"/>
    <w:rPr>
      <w:rFonts w:ascii="Cirilica Times" w:eastAsia="Times New Roman" w:hAnsi="Cirilica Times" w:cs="Times New Roman"/>
      <w:b/>
      <w:sz w:val="28"/>
      <w:szCs w:val="20"/>
    </w:rPr>
  </w:style>
  <w:style w:type="paragraph" w:customStyle="1" w:styleId="font5">
    <w:name w:val="font5"/>
    <w:basedOn w:val="Normal"/>
    <w:rsid w:val="008C2B46"/>
    <w:pP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font6">
    <w:name w:val="font6"/>
    <w:basedOn w:val="Normal"/>
    <w:rsid w:val="008C2B46"/>
    <w:pPr>
      <w:spacing w:before="100" w:beforeAutospacing="1" w:after="100" w:afterAutospacing="1" w:line="240" w:lineRule="auto"/>
    </w:pPr>
    <w:rPr>
      <w:rFonts w:ascii="Times New Roman" w:eastAsia="Arial Unicode MS" w:hAnsi="Times New Roman" w:cs="Times New Roman"/>
      <w:sz w:val="16"/>
      <w:szCs w:val="16"/>
    </w:rPr>
  </w:style>
  <w:style w:type="paragraph" w:customStyle="1" w:styleId="font7">
    <w:name w:val="font7"/>
    <w:basedOn w:val="Normal"/>
    <w:rsid w:val="008C2B46"/>
    <w:pPr>
      <w:spacing w:before="100" w:beforeAutospacing="1" w:after="100" w:afterAutospacing="1" w:line="240" w:lineRule="auto"/>
    </w:pPr>
    <w:rPr>
      <w:rFonts w:ascii="Cirilica Times" w:eastAsia="Arial Unicode MS" w:hAnsi="Cirilica Times" w:cs="Arial Unicode MS"/>
      <w:sz w:val="18"/>
      <w:szCs w:val="18"/>
    </w:rPr>
  </w:style>
  <w:style w:type="paragraph" w:customStyle="1" w:styleId="font8">
    <w:name w:val="font8"/>
    <w:basedOn w:val="Normal"/>
    <w:rsid w:val="008C2B46"/>
    <w:pPr>
      <w:spacing w:before="100" w:beforeAutospacing="1" w:after="100" w:afterAutospacing="1" w:line="240" w:lineRule="auto"/>
    </w:pPr>
    <w:rPr>
      <w:rFonts w:ascii="Courier New" w:eastAsia="Arial Unicode MS" w:hAnsi="Courier New" w:cs="Courier New"/>
      <w:sz w:val="18"/>
      <w:szCs w:val="18"/>
    </w:rPr>
  </w:style>
  <w:style w:type="paragraph" w:customStyle="1" w:styleId="font9">
    <w:name w:val="font9"/>
    <w:basedOn w:val="Normal"/>
    <w:rsid w:val="008C2B46"/>
    <w:pPr>
      <w:spacing w:before="100" w:beforeAutospacing="1" w:after="100" w:afterAutospacing="1" w:line="240" w:lineRule="auto"/>
    </w:pPr>
    <w:rPr>
      <w:rFonts w:ascii="Times New Roman" w:eastAsia="Arial Unicode MS" w:hAnsi="Times New Roman" w:cs="Times New Roman"/>
      <w:sz w:val="18"/>
      <w:szCs w:val="18"/>
    </w:rPr>
  </w:style>
  <w:style w:type="paragraph" w:customStyle="1" w:styleId="xl24">
    <w:name w:val="xl24"/>
    <w:basedOn w:val="Normal"/>
    <w:rsid w:val="008C2B46"/>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16"/>
      <w:szCs w:val="16"/>
    </w:rPr>
  </w:style>
  <w:style w:type="paragraph" w:customStyle="1" w:styleId="xl25">
    <w:name w:val="xl25"/>
    <w:basedOn w:val="Normal"/>
    <w:rsid w:val="008C2B46"/>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18"/>
      <w:szCs w:val="18"/>
    </w:rPr>
  </w:style>
  <w:style w:type="paragraph" w:customStyle="1" w:styleId="xl26">
    <w:name w:val="xl26"/>
    <w:basedOn w:val="Normal"/>
    <w:rsid w:val="008C2B46"/>
    <w:pPr>
      <w:pBdr>
        <w:top w:val="single" w:sz="8" w:space="0" w:color="auto"/>
        <w:right w:val="single" w:sz="4" w:space="0" w:color="auto"/>
      </w:pBdr>
      <w:spacing w:before="100" w:beforeAutospacing="1" w:after="100" w:afterAutospacing="1" w:line="240" w:lineRule="auto"/>
      <w:jc w:val="center"/>
      <w:textAlignment w:val="center"/>
    </w:pPr>
    <w:rPr>
      <w:rFonts w:ascii="Cirilica Times" w:eastAsia="Arial Unicode MS" w:hAnsi="Cirilica Times" w:cs="Arial Unicode MS"/>
      <w:b/>
      <w:bCs/>
      <w:sz w:val="18"/>
      <w:szCs w:val="18"/>
    </w:rPr>
  </w:style>
  <w:style w:type="paragraph" w:customStyle="1" w:styleId="xl27">
    <w:name w:val="xl27"/>
    <w:basedOn w:val="Normal"/>
    <w:rsid w:val="008C2B46"/>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Arial Unicode MS" w:eastAsia="Arial Unicode MS" w:hAnsi="Arial Unicode MS" w:cs="Arial Unicode MS"/>
      <w:b/>
      <w:bCs/>
      <w:sz w:val="18"/>
      <w:szCs w:val="18"/>
    </w:rPr>
  </w:style>
  <w:style w:type="paragraph" w:customStyle="1" w:styleId="xl28">
    <w:name w:val="xl28"/>
    <w:basedOn w:val="Normal"/>
    <w:rsid w:val="008C2B46"/>
    <w:pPr>
      <w:pBdr>
        <w:top w:val="single" w:sz="8" w:space="0" w:color="auto"/>
        <w:bottom w:val="single" w:sz="4" w:space="0" w:color="auto"/>
        <w:right w:val="single" w:sz="4" w:space="0" w:color="auto"/>
      </w:pBdr>
      <w:spacing w:before="100" w:beforeAutospacing="1" w:after="100" w:afterAutospacing="1" w:line="240" w:lineRule="auto"/>
      <w:textAlignment w:val="center"/>
    </w:pPr>
    <w:rPr>
      <w:rFonts w:ascii="Arial Unicode MS" w:eastAsia="Arial Unicode MS" w:hAnsi="Arial Unicode MS" w:cs="Arial Unicode MS"/>
      <w:b/>
      <w:bCs/>
      <w:sz w:val="18"/>
      <w:szCs w:val="18"/>
    </w:rPr>
  </w:style>
  <w:style w:type="paragraph" w:customStyle="1" w:styleId="xl29">
    <w:name w:val="xl29"/>
    <w:basedOn w:val="Normal"/>
    <w:rsid w:val="008C2B46"/>
    <w:pPr>
      <w:pBdr>
        <w:top w:val="single" w:sz="8" w:space="0" w:color="auto"/>
        <w:bottom w:val="single" w:sz="4" w:space="0" w:color="auto"/>
      </w:pBdr>
      <w:spacing w:before="100" w:beforeAutospacing="1" w:after="100" w:afterAutospacing="1" w:line="240" w:lineRule="auto"/>
      <w:textAlignment w:val="center"/>
    </w:pPr>
    <w:rPr>
      <w:rFonts w:ascii="Arial Unicode MS" w:eastAsia="Arial Unicode MS" w:hAnsi="Arial Unicode MS" w:cs="Arial Unicode MS"/>
      <w:b/>
      <w:bCs/>
      <w:sz w:val="18"/>
      <w:szCs w:val="18"/>
    </w:rPr>
  </w:style>
  <w:style w:type="paragraph" w:customStyle="1" w:styleId="xl30">
    <w:name w:val="xl30"/>
    <w:basedOn w:val="Normal"/>
    <w:rsid w:val="008C2B46"/>
    <w:pPr>
      <w:pBdr>
        <w:top w:val="single" w:sz="8" w:space="0" w:color="auto"/>
        <w:bottom w:val="single" w:sz="4" w:space="0" w:color="auto"/>
        <w:right w:val="single" w:sz="8" w:space="0" w:color="auto"/>
      </w:pBdr>
      <w:spacing w:before="100" w:beforeAutospacing="1" w:after="100" w:afterAutospacing="1" w:line="240" w:lineRule="auto"/>
      <w:textAlignment w:val="center"/>
    </w:pPr>
    <w:rPr>
      <w:rFonts w:ascii="Arial Unicode MS" w:eastAsia="Arial Unicode MS" w:hAnsi="Arial Unicode MS" w:cs="Arial Unicode MS"/>
      <w:b/>
      <w:bCs/>
      <w:sz w:val="18"/>
      <w:szCs w:val="18"/>
    </w:rPr>
  </w:style>
  <w:style w:type="paragraph" w:customStyle="1" w:styleId="xl31">
    <w:name w:val="xl31"/>
    <w:basedOn w:val="Normal"/>
    <w:rsid w:val="008C2B46"/>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18"/>
      <w:szCs w:val="18"/>
    </w:rPr>
  </w:style>
  <w:style w:type="paragraph" w:customStyle="1" w:styleId="xl32">
    <w:name w:val="xl32"/>
    <w:basedOn w:val="Normal"/>
    <w:rsid w:val="008C2B46"/>
    <w:pPr>
      <w:pBdr>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18"/>
      <w:szCs w:val="18"/>
    </w:rPr>
  </w:style>
  <w:style w:type="paragraph" w:customStyle="1" w:styleId="xl33">
    <w:name w:val="xl33"/>
    <w:basedOn w:val="Normal"/>
    <w:rsid w:val="008C2B46"/>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Arial Unicode MS" w:eastAsia="Arial Unicode MS" w:hAnsi="Arial Unicode MS" w:cs="Arial Unicode MS"/>
      <w:sz w:val="18"/>
      <w:szCs w:val="18"/>
    </w:rPr>
  </w:style>
  <w:style w:type="paragraph" w:customStyle="1" w:styleId="xl34">
    <w:name w:val="xl34"/>
    <w:basedOn w:val="Normal"/>
    <w:rsid w:val="008C2B46"/>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18"/>
      <w:szCs w:val="18"/>
    </w:rPr>
  </w:style>
  <w:style w:type="paragraph" w:customStyle="1" w:styleId="xl35">
    <w:name w:val="xl35"/>
    <w:basedOn w:val="Normal"/>
    <w:rsid w:val="008C2B46"/>
    <w:pPr>
      <w:pBdr>
        <w:bottom w:val="single" w:sz="8" w:space="0" w:color="auto"/>
        <w:right w:val="single" w:sz="8" w:space="0" w:color="auto"/>
      </w:pBdr>
      <w:spacing w:before="100" w:beforeAutospacing="1" w:after="100" w:afterAutospacing="1" w:line="240" w:lineRule="auto"/>
      <w:jc w:val="center"/>
      <w:textAlignment w:val="center"/>
    </w:pPr>
    <w:rPr>
      <w:rFonts w:ascii="Arial Unicode MS" w:eastAsia="Arial Unicode MS" w:hAnsi="Arial Unicode MS" w:cs="Arial Unicode MS"/>
      <w:b/>
      <w:bCs/>
      <w:sz w:val="18"/>
      <w:szCs w:val="18"/>
    </w:rPr>
  </w:style>
  <w:style w:type="paragraph" w:customStyle="1" w:styleId="xl36">
    <w:name w:val="xl36"/>
    <w:basedOn w:val="Normal"/>
    <w:rsid w:val="008C2B46"/>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8"/>
      <w:szCs w:val="18"/>
    </w:rPr>
  </w:style>
  <w:style w:type="paragraph" w:customStyle="1" w:styleId="xl37">
    <w:name w:val="xl37"/>
    <w:basedOn w:val="Normal"/>
    <w:rsid w:val="008C2B46"/>
    <w:pPr>
      <w:pBdr>
        <w:top w:val="single" w:sz="8" w:space="0" w:color="auto"/>
        <w:bottom w:val="single" w:sz="8"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8"/>
      <w:szCs w:val="18"/>
    </w:rPr>
  </w:style>
  <w:style w:type="paragraph" w:customStyle="1" w:styleId="xl38">
    <w:name w:val="xl38"/>
    <w:basedOn w:val="Normal"/>
    <w:rsid w:val="008C2B46"/>
    <w:pPr>
      <w:pBdr>
        <w:top w:val="single" w:sz="8" w:space="0" w:color="auto"/>
        <w:bottom w:val="single" w:sz="8"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8"/>
      <w:szCs w:val="18"/>
    </w:rPr>
  </w:style>
  <w:style w:type="paragraph" w:customStyle="1" w:styleId="xl39">
    <w:name w:val="xl39"/>
    <w:basedOn w:val="Normal"/>
    <w:rsid w:val="008C2B46"/>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0">
    <w:name w:val="xl40"/>
    <w:basedOn w:val="Normal"/>
    <w:rsid w:val="008C2B46"/>
    <w:pPr>
      <w:pBdr>
        <w:top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1">
    <w:name w:val="xl41"/>
    <w:basedOn w:val="Normal"/>
    <w:rsid w:val="008C2B46"/>
    <w:pPr>
      <w:pBdr>
        <w:top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2">
    <w:name w:val="xl42"/>
    <w:basedOn w:val="Normal"/>
    <w:rsid w:val="008C2B46"/>
    <w:pPr>
      <w:pBdr>
        <w:left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3">
    <w:name w:val="xl43"/>
    <w:basedOn w:val="Normal"/>
    <w:rsid w:val="008C2B46"/>
    <w:pPr>
      <w:pBdr>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4">
    <w:name w:val="xl44"/>
    <w:basedOn w:val="Normal"/>
    <w:rsid w:val="008C2B46"/>
    <w:pPr>
      <w:pBdr>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5">
    <w:name w:val="xl45"/>
    <w:basedOn w:val="Normal"/>
    <w:rsid w:val="008C2B46"/>
    <w:pPr>
      <w:pBdr>
        <w:left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b/>
      <w:bCs/>
      <w:sz w:val="18"/>
      <w:szCs w:val="18"/>
    </w:rPr>
  </w:style>
  <w:style w:type="paragraph" w:customStyle="1" w:styleId="xl46">
    <w:name w:val="xl46"/>
    <w:basedOn w:val="Normal"/>
    <w:rsid w:val="008C2B46"/>
    <w:pPr>
      <w:pBdr>
        <w:left w:val="single" w:sz="8" w:space="0" w:color="auto"/>
        <w:bottom w:val="single" w:sz="8"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7">
    <w:name w:val="xl47"/>
    <w:basedOn w:val="Normal"/>
    <w:rsid w:val="008C2B46"/>
    <w:pPr>
      <w:pBdr>
        <w:bottom w:val="single" w:sz="8" w:space="0" w:color="auto"/>
        <w:right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8">
    <w:name w:val="xl48"/>
    <w:basedOn w:val="Normal"/>
    <w:rsid w:val="008C2B46"/>
    <w:pPr>
      <w:pBdr>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49">
    <w:name w:val="xl49"/>
    <w:basedOn w:val="Normal"/>
    <w:rsid w:val="008C2B46"/>
    <w:pPr>
      <w:pBdr>
        <w:left w:val="single" w:sz="8" w:space="0" w:color="auto"/>
        <w:bottom w:val="single" w:sz="4"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50">
    <w:name w:val="xl50"/>
    <w:basedOn w:val="Normal"/>
    <w:rsid w:val="008C2B46"/>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b/>
      <w:bCs/>
      <w:sz w:val="18"/>
      <w:szCs w:val="18"/>
    </w:rPr>
  </w:style>
  <w:style w:type="paragraph" w:customStyle="1" w:styleId="xl51">
    <w:name w:val="xl51"/>
    <w:basedOn w:val="Normal"/>
    <w:rsid w:val="008C2B46"/>
    <w:pPr>
      <w:pBdr>
        <w:left w:val="single" w:sz="8" w:space="0" w:color="auto"/>
        <w:bottom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52">
    <w:name w:val="xl52"/>
    <w:basedOn w:val="Normal"/>
    <w:rsid w:val="008C2B46"/>
    <w:pPr>
      <w:pBdr>
        <w:left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b/>
      <w:bCs/>
      <w:sz w:val="18"/>
      <w:szCs w:val="18"/>
    </w:rPr>
  </w:style>
  <w:style w:type="paragraph" w:customStyle="1" w:styleId="xl53">
    <w:name w:val="xl53"/>
    <w:basedOn w:val="Normal"/>
    <w:rsid w:val="008C2B46"/>
    <w:pPr>
      <w:pBdr>
        <w:left w:val="single" w:sz="8" w:space="0" w:color="auto"/>
        <w:bottom w:val="single" w:sz="4" w:space="0" w:color="auto"/>
      </w:pBdr>
      <w:spacing w:before="100" w:beforeAutospacing="1" w:after="100" w:afterAutospacing="1" w:line="240" w:lineRule="auto"/>
    </w:pPr>
    <w:rPr>
      <w:rFonts w:ascii="Courier New" w:eastAsia="Arial Unicode MS" w:hAnsi="Courier New" w:cs="Courier New"/>
      <w:b/>
      <w:bCs/>
      <w:sz w:val="18"/>
      <w:szCs w:val="18"/>
    </w:rPr>
  </w:style>
  <w:style w:type="paragraph" w:customStyle="1" w:styleId="xl54">
    <w:name w:val="xl54"/>
    <w:basedOn w:val="Normal"/>
    <w:rsid w:val="008C2B46"/>
    <w:pPr>
      <w:pBdr>
        <w:left w:val="single" w:sz="8"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18"/>
      <w:szCs w:val="18"/>
    </w:rPr>
  </w:style>
  <w:style w:type="paragraph" w:customStyle="1" w:styleId="xl55">
    <w:name w:val="xl55"/>
    <w:basedOn w:val="Normal"/>
    <w:rsid w:val="008C2B46"/>
    <w:pPr>
      <w:pBdr>
        <w:top w:val="single" w:sz="8" w:space="0" w:color="auto"/>
        <w:left w:val="single" w:sz="8" w:space="0" w:color="auto"/>
        <w:bottom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56">
    <w:name w:val="xl56"/>
    <w:basedOn w:val="Normal"/>
    <w:rsid w:val="008C2B4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18"/>
      <w:szCs w:val="18"/>
    </w:rPr>
  </w:style>
  <w:style w:type="paragraph" w:customStyle="1" w:styleId="xl57">
    <w:name w:val="xl57"/>
    <w:basedOn w:val="Normal"/>
    <w:rsid w:val="008C2B46"/>
    <w:pPr>
      <w:pBdr>
        <w:top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58">
    <w:name w:val="xl58"/>
    <w:basedOn w:val="Normal"/>
    <w:rsid w:val="008C2B46"/>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59">
    <w:name w:val="xl59"/>
    <w:basedOn w:val="Normal"/>
    <w:rsid w:val="008C2B46"/>
    <w:pPr>
      <w:pBdr>
        <w:top w:val="single" w:sz="8" w:space="0" w:color="auto"/>
        <w:left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0">
    <w:name w:val="xl60"/>
    <w:basedOn w:val="Normal"/>
    <w:rsid w:val="008C2B46"/>
    <w:pPr>
      <w:pBdr>
        <w:top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1">
    <w:name w:val="xl61"/>
    <w:basedOn w:val="Normal"/>
    <w:rsid w:val="008C2B46"/>
    <w:pPr>
      <w:pBdr>
        <w:top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2">
    <w:name w:val="xl62"/>
    <w:basedOn w:val="Normal"/>
    <w:rsid w:val="008C2B46"/>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3">
    <w:name w:val="xl63"/>
    <w:basedOn w:val="Normal"/>
    <w:rsid w:val="008C2B46"/>
    <w:pPr>
      <w:pBdr>
        <w:left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4">
    <w:name w:val="xl64"/>
    <w:basedOn w:val="Normal"/>
    <w:rsid w:val="008C2B46"/>
    <w:pPr>
      <w:pBdr>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5">
    <w:name w:val="xl65"/>
    <w:basedOn w:val="Normal"/>
    <w:rsid w:val="008C2B46"/>
    <w:pPr>
      <w:pBdr>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6">
    <w:name w:val="xl66"/>
    <w:basedOn w:val="Normal"/>
    <w:rsid w:val="008C2B46"/>
    <w:pPr>
      <w:pBdr>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7">
    <w:name w:val="xl67"/>
    <w:basedOn w:val="Normal"/>
    <w:rsid w:val="008C2B4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8">
    <w:name w:val="xl68"/>
    <w:basedOn w:val="Normal"/>
    <w:rsid w:val="008C2B46"/>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69">
    <w:name w:val="xl69"/>
    <w:basedOn w:val="Normal"/>
    <w:rsid w:val="008C2B46"/>
    <w:pPr>
      <w:pBdr>
        <w:top w:val="single" w:sz="4"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0">
    <w:name w:val="xl70"/>
    <w:basedOn w:val="Normal"/>
    <w:rsid w:val="008C2B46"/>
    <w:pPr>
      <w:pBdr>
        <w:left w:val="single" w:sz="8"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1">
    <w:name w:val="xl71"/>
    <w:basedOn w:val="Normal"/>
    <w:rsid w:val="008C2B46"/>
    <w:pPr>
      <w:pBdr>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2">
    <w:name w:val="xl72"/>
    <w:basedOn w:val="Normal"/>
    <w:rsid w:val="008C2B46"/>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3">
    <w:name w:val="xl73"/>
    <w:basedOn w:val="Normal"/>
    <w:rsid w:val="008C2B46"/>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4">
    <w:name w:val="xl74"/>
    <w:basedOn w:val="Normal"/>
    <w:rsid w:val="008C2B46"/>
    <w:pPr>
      <w:pBdr>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5">
    <w:name w:val="xl75"/>
    <w:basedOn w:val="Normal"/>
    <w:rsid w:val="008C2B46"/>
    <w:pPr>
      <w:pBdr>
        <w:left w:val="single" w:sz="4" w:space="0" w:color="auto"/>
        <w:bottom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6">
    <w:name w:val="xl76"/>
    <w:basedOn w:val="Normal"/>
    <w:rsid w:val="008C2B46"/>
    <w:pPr>
      <w:pBdr>
        <w:top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7">
    <w:name w:val="xl77"/>
    <w:basedOn w:val="Normal"/>
    <w:rsid w:val="008C2B46"/>
    <w:pPr>
      <w:pBdr>
        <w:top w:val="single" w:sz="8"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b/>
      <w:bCs/>
      <w:sz w:val="16"/>
      <w:szCs w:val="16"/>
    </w:rPr>
  </w:style>
  <w:style w:type="paragraph" w:customStyle="1" w:styleId="xl78">
    <w:name w:val="xl78"/>
    <w:basedOn w:val="Normal"/>
    <w:rsid w:val="008C2B46"/>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79">
    <w:name w:val="xl79"/>
    <w:basedOn w:val="Normal"/>
    <w:rsid w:val="008C2B46"/>
    <w:pPr>
      <w:pBdr>
        <w:left w:val="single" w:sz="4"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80">
    <w:name w:val="xl80"/>
    <w:basedOn w:val="Normal"/>
    <w:rsid w:val="008C2B46"/>
    <w:pPr>
      <w:pBdr>
        <w:left w:val="single" w:sz="4" w:space="0" w:color="auto"/>
        <w:bottom w:val="single" w:sz="8" w:space="0" w:color="auto"/>
        <w:right w:val="single" w:sz="8"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81">
    <w:name w:val="xl81"/>
    <w:basedOn w:val="Normal"/>
    <w:rsid w:val="008C2B46"/>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Cirilica Times" w:eastAsia="Arial Unicode MS" w:hAnsi="Cirilica Times" w:cs="Arial Unicode MS"/>
      <w:sz w:val="16"/>
      <w:szCs w:val="16"/>
    </w:rPr>
  </w:style>
  <w:style w:type="paragraph" w:customStyle="1" w:styleId="xl82">
    <w:name w:val="xl82"/>
    <w:basedOn w:val="Normal"/>
    <w:rsid w:val="008C2B46"/>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83">
    <w:name w:val="xl83"/>
    <w:basedOn w:val="Normal"/>
    <w:rsid w:val="008C2B46"/>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Unicode MS" w:eastAsia="Arial Unicode MS" w:hAnsi="Arial Unicode MS" w:cs="Arial Unicode MS"/>
      <w:sz w:val="18"/>
      <w:szCs w:val="18"/>
    </w:rPr>
  </w:style>
  <w:style w:type="paragraph" w:customStyle="1" w:styleId="xl84">
    <w:name w:val="xl84"/>
    <w:basedOn w:val="Normal"/>
    <w:rsid w:val="008C2B46"/>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18"/>
      <w:szCs w:val="18"/>
    </w:rPr>
  </w:style>
  <w:style w:type="paragraph" w:customStyle="1" w:styleId="xl85">
    <w:name w:val="xl85"/>
    <w:basedOn w:val="Normal"/>
    <w:rsid w:val="008C2B46"/>
    <w:pPr>
      <w:pBdr>
        <w:top w:val="single" w:sz="8" w:space="0" w:color="auto"/>
        <w:left w:val="single" w:sz="8" w:space="0" w:color="auto"/>
        <w:bottom w:val="single" w:sz="4" w:space="0" w:color="auto"/>
      </w:pBdr>
      <w:spacing w:before="100" w:beforeAutospacing="1" w:after="100" w:afterAutospacing="1" w:line="240" w:lineRule="auto"/>
    </w:pPr>
    <w:rPr>
      <w:rFonts w:ascii="Cirilica Times" w:eastAsia="Arial Unicode MS" w:hAnsi="Cirilica Times" w:cs="Arial Unicode MS"/>
      <w:sz w:val="16"/>
      <w:szCs w:val="16"/>
    </w:rPr>
  </w:style>
  <w:style w:type="paragraph" w:customStyle="1" w:styleId="xl113">
    <w:name w:val="xl113"/>
    <w:basedOn w:val="Normal"/>
    <w:rsid w:val="008C2B46"/>
    <w:pPr>
      <w:pBdr>
        <w:bottom w:val="single" w:sz="8" w:space="0" w:color="auto"/>
        <w:right w:val="single" w:sz="8" w:space="0" w:color="auto"/>
      </w:pBdr>
      <w:spacing w:before="100" w:beforeAutospacing="1" w:after="100" w:afterAutospacing="1" w:line="240" w:lineRule="auto"/>
      <w:jc w:val="center"/>
      <w:textAlignment w:val="center"/>
    </w:pPr>
    <w:rPr>
      <w:rFonts w:ascii="Cirilica Times" w:eastAsia="Arial Unicode MS" w:hAnsi="Cirilica Times" w:cs="Arial Unicode MS"/>
      <w:b/>
      <w:bCs/>
      <w:sz w:val="24"/>
      <w:szCs w:val="24"/>
    </w:rPr>
  </w:style>
  <w:style w:type="paragraph" w:customStyle="1" w:styleId="xl86">
    <w:name w:val="xl86"/>
    <w:basedOn w:val="Normal"/>
    <w:rsid w:val="008C2B46"/>
    <w:pPr>
      <w:pBdr>
        <w:left w:val="single" w:sz="4" w:space="0" w:color="auto"/>
        <w:bottom w:val="single" w:sz="4" w:space="0" w:color="auto"/>
        <w:right w:val="single" w:sz="4" w:space="0" w:color="auto"/>
      </w:pBdr>
      <w:shd w:val="clear" w:color="auto" w:fill="EAEAEA"/>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87">
    <w:name w:val="xl87"/>
    <w:basedOn w:val="Normal"/>
    <w:rsid w:val="008C2B46"/>
    <w:pPr>
      <w:pBdr>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88">
    <w:name w:val="xl88"/>
    <w:basedOn w:val="Normal"/>
    <w:rsid w:val="008C2B46"/>
    <w:pPr>
      <w:pBdr>
        <w:top w:val="single" w:sz="4"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89">
    <w:name w:val="xl89"/>
    <w:basedOn w:val="Normal"/>
    <w:rsid w:val="008C2B46"/>
    <w:pP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90">
    <w:name w:val="xl90"/>
    <w:basedOn w:val="Normal"/>
    <w:rsid w:val="008C2B46"/>
    <w:pPr>
      <w:pBdr>
        <w:top w:val="single" w:sz="8" w:space="0" w:color="auto"/>
        <w:left w:val="single" w:sz="8" w:space="0" w:color="auto"/>
        <w:bottom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91">
    <w:name w:val="xl91"/>
    <w:basedOn w:val="Normal"/>
    <w:rsid w:val="008C2B46"/>
    <w:pPr>
      <w:pBdr>
        <w:top w:val="single" w:sz="8" w:space="0" w:color="auto"/>
        <w:left w:val="single" w:sz="8" w:space="0" w:color="auto"/>
        <w:bottom w:val="single" w:sz="8" w:space="0" w:color="auto"/>
      </w:pBdr>
      <w:spacing w:before="100" w:beforeAutospacing="1" w:after="100" w:afterAutospacing="1" w:line="240" w:lineRule="auto"/>
      <w:jc w:val="right"/>
    </w:pPr>
    <w:rPr>
      <w:rFonts w:ascii="Arial Unicode MS" w:eastAsia="Arial Unicode MS" w:hAnsi="Arial Unicode MS" w:cs="Arial Unicode MS"/>
      <w:sz w:val="24"/>
      <w:szCs w:val="24"/>
    </w:rPr>
  </w:style>
  <w:style w:type="paragraph" w:customStyle="1" w:styleId="xl92">
    <w:name w:val="xl92"/>
    <w:basedOn w:val="Normal"/>
    <w:rsid w:val="008C2B46"/>
    <w:pPr>
      <w:pBdr>
        <w:bottom w:val="single" w:sz="4" w:space="0" w:color="auto"/>
        <w:right w:val="single" w:sz="8" w:space="0" w:color="auto"/>
      </w:pBdr>
      <w:spacing w:before="100" w:beforeAutospacing="1" w:after="100" w:afterAutospacing="1" w:line="240" w:lineRule="auto"/>
      <w:jc w:val="center"/>
    </w:pPr>
    <w:rPr>
      <w:rFonts w:ascii="Times New Roman" w:eastAsia="Arial Unicode MS" w:hAnsi="Times New Roman" w:cs="Times New Roman"/>
      <w:b/>
      <w:bCs/>
      <w:sz w:val="18"/>
      <w:szCs w:val="18"/>
    </w:rPr>
  </w:style>
  <w:style w:type="paragraph" w:customStyle="1" w:styleId="xl93">
    <w:name w:val="xl93"/>
    <w:basedOn w:val="Normal"/>
    <w:rsid w:val="008C2B46"/>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Arial Unicode MS" w:hAnsi="Times New Roman" w:cs="Times New Roman"/>
      <w:b/>
      <w:bCs/>
      <w:sz w:val="18"/>
      <w:szCs w:val="18"/>
    </w:rPr>
  </w:style>
  <w:style w:type="paragraph" w:customStyle="1" w:styleId="xl94">
    <w:name w:val="xl94"/>
    <w:basedOn w:val="Normal"/>
    <w:rsid w:val="008C2B46"/>
    <w:pPr>
      <w:pBdr>
        <w:left w:val="single" w:sz="4" w:space="0" w:color="auto"/>
        <w:right w:val="single" w:sz="4" w:space="0" w:color="auto"/>
      </w:pBdr>
      <w:shd w:val="clear" w:color="auto" w:fill="EAEAEA"/>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95">
    <w:name w:val="xl95"/>
    <w:basedOn w:val="Normal"/>
    <w:rsid w:val="008C2B4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rPr>
  </w:style>
  <w:style w:type="paragraph" w:customStyle="1" w:styleId="xl96">
    <w:name w:val="xl96"/>
    <w:basedOn w:val="Normal"/>
    <w:rsid w:val="008C2B46"/>
    <w:pPr>
      <w:pBdr>
        <w:top w:val="single" w:sz="4" w:space="0" w:color="auto"/>
        <w:left w:val="single" w:sz="4" w:space="0" w:color="auto"/>
        <w:bottom w:val="single" w:sz="4" w:space="0" w:color="auto"/>
        <w:right w:val="single" w:sz="4" w:space="0" w:color="auto"/>
      </w:pBdr>
      <w:shd w:val="clear" w:color="auto" w:fill="EAEAEA"/>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97">
    <w:name w:val="xl97"/>
    <w:basedOn w:val="Normal"/>
    <w:rsid w:val="008C2B46"/>
    <w:pPr>
      <w:pBdr>
        <w:top w:val="single" w:sz="4" w:space="0" w:color="auto"/>
        <w:left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98">
    <w:name w:val="xl98"/>
    <w:basedOn w:val="Normal"/>
    <w:rsid w:val="008C2B46"/>
    <w:pPr>
      <w:pBdr>
        <w:top w:val="single" w:sz="8" w:space="0" w:color="auto"/>
        <w:left w:val="single" w:sz="4" w:space="0" w:color="auto"/>
        <w:bottom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99">
    <w:name w:val="xl99"/>
    <w:basedOn w:val="Normal"/>
    <w:rsid w:val="008C2B46"/>
    <w:pPr>
      <w:pBdr>
        <w:top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00">
    <w:name w:val="xl100"/>
    <w:basedOn w:val="Normal"/>
    <w:rsid w:val="008C2B46"/>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01">
    <w:name w:val="xl101"/>
    <w:basedOn w:val="Normal"/>
    <w:rsid w:val="008C2B46"/>
    <w:pPr>
      <w:pBdr>
        <w:top w:val="single" w:sz="8" w:space="0" w:color="auto"/>
      </w:pBdr>
      <w:spacing w:before="100" w:beforeAutospacing="1" w:after="100" w:afterAutospacing="1" w:line="240" w:lineRule="auto"/>
      <w:jc w:val="center"/>
    </w:pPr>
    <w:rPr>
      <w:rFonts w:ascii="Cirilica Times" w:eastAsia="Arial Unicode MS" w:hAnsi="Cirilica Times" w:cs="Arial Unicode MS"/>
      <w:b/>
      <w:bCs/>
      <w:sz w:val="24"/>
      <w:szCs w:val="24"/>
    </w:rPr>
  </w:style>
  <w:style w:type="paragraph" w:customStyle="1" w:styleId="xl102">
    <w:name w:val="xl102"/>
    <w:basedOn w:val="Normal"/>
    <w:rsid w:val="008C2B46"/>
    <w:pPr>
      <w:pBdr>
        <w:bottom w:val="single" w:sz="4" w:space="0" w:color="auto"/>
      </w:pBdr>
      <w:spacing w:before="100" w:beforeAutospacing="1" w:after="100" w:afterAutospacing="1" w:line="240" w:lineRule="auto"/>
    </w:pPr>
    <w:rPr>
      <w:rFonts w:ascii="Times New Roman" w:eastAsia="Arial Unicode MS" w:hAnsi="Times New Roman" w:cs="Times New Roman"/>
      <w:b/>
      <w:bCs/>
      <w:sz w:val="24"/>
      <w:szCs w:val="24"/>
    </w:rPr>
  </w:style>
  <w:style w:type="paragraph" w:customStyle="1" w:styleId="xl103">
    <w:name w:val="xl103"/>
    <w:basedOn w:val="Normal"/>
    <w:rsid w:val="008C2B46"/>
    <w:pPr>
      <w:pBdr>
        <w:top w:val="single" w:sz="8" w:space="0" w:color="auto"/>
        <w:left w:val="single" w:sz="8" w:space="0" w:color="auto"/>
        <w:bottom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04">
    <w:name w:val="xl104"/>
    <w:basedOn w:val="Normal"/>
    <w:rsid w:val="008C2B46"/>
    <w:pPr>
      <w:pBdr>
        <w:left w:val="single" w:sz="8"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05">
    <w:name w:val="xl105"/>
    <w:basedOn w:val="Normal"/>
    <w:rsid w:val="008C2B46"/>
    <w:pPr>
      <w:pBdr>
        <w:top w:val="single" w:sz="4" w:space="0" w:color="auto"/>
        <w:left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06">
    <w:name w:val="xl106"/>
    <w:basedOn w:val="Normal"/>
    <w:rsid w:val="008C2B46"/>
    <w:pPr>
      <w:pBdr>
        <w:top w:val="single" w:sz="8" w:space="0" w:color="auto"/>
        <w:left w:val="single" w:sz="8" w:space="0" w:color="auto"/>
        <w:bottom w:val="single" w:sz="8" w:space="0" w:color="auto"/>
      </w:pBdr>
      <w:shd w:val="clear" w:color="auto" w:fill="EAEAEA"/>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07">
    <w:name w:val="xl107"/>
    <w:basedOn w:val="Normal"/>
    <w:rsid w:val="008C2B46"/>
    <w:pPr>
      <w:pBdr>
        <w:left w:val="single" w:sz="8" w:space="0" w:color="auto"/>
        <w:bottom w:val="single" w:sz="4" w:space="0" w:color="auto"/>
      </w:pBdr>
      <w:shd w:val="clear" w:color="auto" w:fill="EAEAEA"/>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08">
    <w:name w:val="xl108"/>
    <w:basedOn w:val="Normal"/>
    <w:rsid w:val="008C2B46"/>
    <w:pPr>
      <w:pBdr>
        <w:left w:val="single" w:sz="8" w:space="0" w:color="auto"/>
      </w:pBdr>
      <w:shd w:val="clear" w:color="auto" w:fill="EAEAEA"/>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09">
    <w:name w:val="xl109"/>
    <w:basedOn w:val="Normal"/>
    <w:rsid w:val="008C2B46"/>
    <w:pPr>
      <w:pBdr>
        <w:top w:val="single" w:sz="8" w:space="0" w:color="auto"/>
        <w:left w:val="single" w:sz="8" w:space="0" w:color="auto"/>
        <w:bottom w:val="single" w:sz="8" w:space="0" w:color="auto"/>
      </w:pBdr>
      <w:shd w:val="clear" w:color="auto" w:fill="EAEAEA"/>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10">
    <w:name w:val="xl110"/>
    <w:basedOn w:val="Normal"/>
    <w:rsid w:val="008C2B46"/>
    <w:pPr>
      <w:pBdr>
        <w:top w:val="single" w:sz="4" w:space="0" w:color="auto"/>
        <w:left w:val="single" w:sz="4" w:space="0" w:color="auto"/>
        <w:bottom w:val="single" w:sz="4" w:space="0" w:color="auto"/>
      </w:pBdr>
      <w:shd w:val="clear" w:color="auto" w:fill="EAEAEA"/>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11">
    <w:name w:val="xl111"/>
    <w:basedOn w:val="Normal"/>
    <w:rsid w:val="008C2B46"/>
    <w:pPr>
      <w:pBdr>
        <w:lef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12">
    <w:name w:val="xl112"/>
    <w:basedOn w:val="Normal"/>
    <w:rsid w:val="008C2B46"/>
    <w:pPr>
      <w:pBdr>
        <w:left w:val="single" w:sz="8" w:space="0" w:color="auto"/>
        <w:bottom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14">
    <w:name w:val="xl114"/>
    <w:basedOn w:val="Normal"/>
    <w:rsid w:val="008C2B46"/>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15">
    <w:name w:val="xl115"/>
    <w:basedOn w:val="Normal"/>
    <w:rsid w:val="008C2B46"/>
    <w:pPr>
      <w:pBdr>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16">
    <w:name w:val="xl116"/>
    <w:basedOn w:val="Normal"/>
    <w:rsid w:val="008C2B46"/>
    <w:pPr>
      <w:pBdr>
        <w:left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17">
    <w:name w:val="xl117"/>
    <w:basedOn w:val="Normal"/>
    <w:rsid w:val="008C2B46"/>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18">
    <w:name w:val="xl118"/>
    <w:basedOn w:val="Normal"/>
    <w:rsid w:val="008C2B46"/>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19">
    <w:name w:val="xl119"/>
    <w:basedOn w:val="Normal"/>
    <w:rsid w:val="008C2B46"/>
    <w:pPr>
      <w:pBdr>
        <w:left w:val="single" w:sz="4" w:space="0" w:color="auto"/>
        <w:bottom w:val="single" w:sz="8" w:space="0" w:color="auto"/>
        <w:right w:val="single" w:sz="8"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20">
    <w:name w:val="xl120"/>
    <w:basedOn w:val="Normal"/>
    <w:rsid w:val="008C2B46"/>
    <w:pPr>
      <w:pBdr>
        <w:top w:val="single" w:sz="8"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21">
    <w:name w:val="xl121"/>
    <w:basedOn w:val="Normal"/>
    <w:rsid w:val="008C2B46"/>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22">
    <w:name w:val="xl122"/>
    <w:basedOn w:val="Normal"/>
    <w:rsid w:val="008C2B46"/>
    <w:pPr>
      <w:pBdr>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23">
    <w:name w:val="xl123"/>
    <w:basedOn w:val="Normal"/>
    <w:rsid w:val="008C2B46"/>
    <w:pPr>
      <w:pBdr>
        <w:top w:val="single" w:sz="8" w:space="0" w:color="auto"/>
        <w:left w:val="single" w:sz="8" w:space="0" w:color="auto"/>
        <w:bottom w:val="single" w:sz="8" w:space="0" w:color="auto"/>
      </w:pBdr>
      <w:spacing w:before="100" w:beforeAutospacing="1" w:after="100" w:afterAutospacing="1" w:line="240" w:lineRule="auto"/>
      <w:jc w:val="center"/>
    </w:pPr>
    <w:rPr>
      <w:rFonts w:ascii="Arial Unicode MS" w:eastAsia="Arial Unicode MS" w:hAnsi="Arial Unicode MS" w:cs="Arial Unicode MS"/>
      <w:sz w:val="24"/>
      <w:szCs w:val="24"/>
    </w:rPr>
  </w:style>
  <w:style w:type="paragraph" w:customStyle="1" w:styleId="xl124">
    <w:name w:val="xl124"/>
    <w:basedOn w:val="Normal"/>
    <w:rsid w:val="008C2B46"/>
    <w:pPr>
      <w:pBdr>
        <w:left w:val="single" w:sz="4" w:space="0" w:color="auto"/>
        <w:right w:val="single" w:sz="4"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25">
    <w:name w:val="xl125"/>
    <w:basedOn w:val="Normal"/>
    <w:rsid w:val="008C2B46"/>
    <w:pPr>
      <w:pBdr>
        <w:bottom w:val="single" w:sz="4" w:space="0" w:color="auto"/>
      </w:pBdr>
      <w:spacing w:before="100" w:beforeAutospacing="1" w:after="100" w:afterAutospacing="1" w:line="240" w:lineRule="auto"/>
    </w:pPr>
    <w:rPr>
      <w:rFonts w:ascii="Cirilica Times" w:eastAsia="Arial Unicode MS" w:hAnsi="Cirilica Times" w:cs="Arial Unicode MS"/>
      <w:b/>
      <w:bCs/>
      <w:sz w:val="24"/>
      <w:szCs w:val="24"/>
    </w:rPr>
  </w:style>
  <w:style w:type="paragraph" w:customStyle="1" w:styleId="xl126">
    <w:name w:val="xl126"/>
    <w:basedOn w:val="Normal"/>
    <w:rsid w:val="008C2B46"/>
    <w:pPr>
      <w:pBdr>
        <w:top w:val="single" w:sz="4" w:space="0" w:color="auto"/>
        <w:left w:val="single" w:sz="8" w:space="0" w:color="auto"/>
        <w:bottom w:val="single" w:sz="4" w:space="0" w:color="auto"/>
        <w:right w:val="single" w:sz="8" w:space="0" w:color="auto"/>
      </w:pBdr>
      <w:spacing w:before="100" w:beforeAutospacing="1" w:after="100" w:afterAutospacing="1" w:line="240" w:lineRule="auto"/>
    </w:pPr>
    <w:rPr>
      <w:rFonts w:ascii="Arial Unicode MS" w:eastAsia="Arial Unicode MS" w:hAnsi="Arial Unicode MS" w:cs="Arial Unicode MS"/>
      <w:b/>
      <w:bCs/>
      <w:sz w:val="24"/>
      <w:szCs w:val="24"/>
    </w:rPr>
  </w:style>
  <w:style w:type="paragraph" w:customStyle="1" w:styleId="xl127">
    <w:name w:val="xl127"/>
    <w:basedOn w:val="Normal"/>
    <w:rsid w:val="008C2B46"/>
    <w:pPr>
      <w:pBdr>
        <w:top w:val="single" w:sz="8" w:space="0" w:color="auto"/>
        <w:bottom w:val="single" w:sz="8" w:space="0" w:color="auto"/>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128">
    <w:name w:val="xl128"/>
    <w:basedOn w:val="Normal"/>
    <w:rsid w:val="008C2B46"/>
    <w:pPr>
      <w:pBdr>
        <w:top w:val="single" w:sz="8" w:space="0" w:color="auto"/>
        <w:left w:val="single" w:sz="8" w:space="0" w:color="auto"/>
        <w:bottom w:val="single" w:sz="8" w:space="0" w:color="auto"/>
      </w:pBdr>
      <w:spacing w:before="100" w:beforeAutospacing="1" w:after="100" w:afterAutospacing="1" w:line="240" w:lineRule="auto"/>
      <w:jc w:val="center"/>
    </w:pPr>
    <w:rPr>
      <w:rFonts w:ascii="Cirilica Times" w:eastAsia="Arial Unicode MS" w:hAnsi="Cirilica Times" w:cs="Arial Unicode MS"/>
      <w:b/>
      <w:bCs/>
      <w:sz w:val="24"/>
      <w:szCs w:val="24"/>
    </w:rPr>
  </w:style>
  <w:style w:type="paragraph" w:customStyle="1" w:styleId="xl129">
    <w:name w:val="xl129"/>
    <w:basedOn w:val="Normal"/>
    <w:rsid w:val="008C2B46"/>
    <w:pPr>
      <w:pBdr>
        <w:top w:val="single" w:sz="8" w:space="0" w:color="auto"/>
        <w:bottom w:val="single" w:sz="8" w:space="0" w:color="auto"/>
      </w:pBdr>
      <w:spacing w:before="100" w:beforeAutospacing="1" w:after="100" w:afterAutospacing="1" w:line="240" w:lineRule="auto"/>
      <w:jc w:val="center"/>
    </w:pPr>
    <w:rPr>
      <w:rFonts w:ascii="Cirilica Times" w:eastAsia="Arial Unicode MS" w:hAnsi="Cirilica Times" w:cs="Arial Unicode MS"/>
      <w:b/>
      <w:bCs/>
      <w:sz w:val="24"/>
      <w:szCs w:val="24"/>
    </w:rPr>
  </w:style>
  <w:style w:type="paragraph" w:customStyle="1" w:styleId="xl130">
    <w:name w:val="xl130"/>
    <w:basedOn w:val="Normal"/>
    <w:rsid w:val="008C2B46"/>
    <w:pPr>
      <w:pBdr>
        <w:top w:val="single" w:sz="8" w:space="0" w:color="auto"/>
        <w:left w:val="single" w:sz="8" w:space="0" w:color="auto"/>
        <w:bottom w:val="single" w:sz="8" w:space="0" w:color="auto"/>
      </w:pBdr>
      <w:spacing w:before="100" w:beforeAutospacing="1" w:after="100" w:afterAutospacing="1" w:line="240" w:lineRule="auto"/>
      <w:jc w:val="center"/>
    </w:pPr>
    <w:rPr>
      <w:rFonts w:ascii="Arial Unicode MS" w:eastAsia="Arial Unicode MS" w:hAnsi="Arial Unicode MS" w:cs="Arial Unicode MS"/>
      <w:b/>
      <w:bCs/>
      <w:sz w:val="24"/>
      <w:szCs w:val="24"/>
    </w:rPr>
  </w:style>
  <w:style w:type="paragraph" w:customStyle="1" w:styleId="xl131">
    <w:name w:val="xl131"/>
    <w:basedOn w:val="Normal"/>
    <w:rsid w:val="008C2B46"/>
    <w:pPr>
      <w:pBdr>
        <w:top w:val="single" w:sz="8" w:space="0" w:color="auto"/>
        <w:bottom w:val="single" w:sz="8" w:space="0" w:color="auto"/>
      </w:pBdr>
      <w:spacing w:before="100" w:beforeAutospacing="1" w:after="100" w:afterAutospacing="1" w:line="240" w:lineRule="auto"/>
      <w:jc w:val="center"/>
    </w:pPr>
    <w:rPr>
      <w:rFonts w:ascii="Arial Unicode MS" w:eastAsia="Arial Unicode MS" w:hAnsi="Arial Unicode MS" w:cs="Arial Unicode MS"/>
      <w:b/>
      <w:bCs/>
      <w:sz w:val="24"/>
      <w:szCs w:val="24"/>
    </w:rPr>
  </w:style>
  <w:style w:type="paragraph" w:customStyle="1" w:styleId="xl132">
    <w:name w:val="xl132"/>
    <w:basedOn w:val="Normal"/>
    <w:rsid w:val="008C2B46"/>
    <w:pPr>
      <w:pBdr>
        <w:top w:val="single" w:sz="8" w:space="0" w:color="auto"/>
        <w:bottom w:val="single" w:sz="8"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b/>
      <w:bCs/>
      <w:sz w:val="24"/>
      <w:szCs w:val="24"/>
    </w:rPr>
  </w:style>
  <w:style w:type="paragraph" w:styleId="BlockText">
    <w:name w:val="Block Text"/>
    <w:basedOn w:val="Normal"/>
    <w:rsid w:val="008C2B46"/>
    <w:pPr>
      <w:autoSpaceDE w:val="0"/>
      <w:autoSpaceDN w:val="0"/>
      <w:spacing w:after="0" w:line="240" w:lineRule="auto"/>
      <w:ind w:left="360" w:right="276" w:hanging="360"/>
      <w:jc w:val="both"/>
    </w:pPr>
    <w:rPr>
      <w:rFonts w:ascii="Cirilica Times" w:eastAsia="Times New Roman" w:hAnsi="Cirilica Times" w:cs="Times New Roman"/>
    </w:rPr>
  </w:style>
  <w:style w:type="table" w:styleId="LightShading">
    <w:name w:val="Light Shading"/>
    <w:basedOn w:val="TableNormal"/>
    <w:uiPriority w:val="60"/>
    <w:rsid w:val="008C2B46"/>
    <w:pPr>
      <w:spacing w:after="0" w:line="240" w:lineRule="auto"/>
    </w:pPr>
    <w:rPr>
      <w:rFonts w:ascii="Times New Roman" w:eastAsia="Times New Roman" w:hAnsi="Times New Roman" w:cs="Times New Roman"/>
      <w:color w:val="000000" w:themeColor="text1" w:themeShade="BF"/>
      <w:sz w:val="20"/>
      <w:szCs w:val="20"/>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List1-Accent1">
    <w:name w:val="Medium List 1 Accent 1"/>
    <w:basedOn w:val="TableNormal"/>
    <w:uiPriority w:val="65"/>
    <w:rsid w:val="008C2B46"/>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LightList-Accent5">
    <w:name w:val="Light List Accent 5"/>
    <w:basedOn w:val="TableNormal"/>
    <w:uiPriority w:val="61"/>
    <w:rsid w:val="008C2B46"/>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customStyle="1" w:styleId="MediumList1-Accent1121">
    <w:name w:val="Medium List 1 - Accent 1121"/>
    <w:basedOn w:val="TableNormal"/>
    <w:uiPriority w:val="65"/>
    <w:rsid w:val="00F728BF"/>
    <w:pPr>
      <w:spacing w:after="0" w:line="240" w:lineRule="auto"/>
    </w:pPr>
    <w:rPr>
      <w:rFonts w:ascii="Times New Roman" w:eastAsia="Times New Roman" w:hAnsi="Times New Roman" w:cs="Times New Roman"/>
      <w:color w:val="000000" w:themeColor="text1"/>
      <w:sz w:val="20"/>
      <w:szCs w:val="20"/>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styleId="PlainText">
    <w:name w:val="Plain Text"/>
    <w:basedOn w:val="Normal"/>
    <w:link w:val="PlainTextChar"/>
    <w:uiPriority w:val="99"/>
    <w:semiHidden/>
    <w:unhideWhenUsed/>
    <w:rsid w:val="006C0D6C"/>
    <w:pPr>
      <w:spacing w:after="0" w:line="240" w:lineRule="auto"/>
    </w:pPr>
    <w:rPr>
      <w:rFonts w:ascii="Verdana" w:hAnsi="Verdana" w:cs="Times New Roman"/>
      <w:sz w:val="20"/>
      <w:szCs w:val="20"/>
    </w:rPr>
  </w:style>
  <w:style w:type="character" w:customStyle="1" w:styleId="PlainTextChar">
    <w:name w:val="Plain Text Char"/>
    <w:basedOn w:val="DefaultParagraphFont"/>
    <w:link w:val="PlainText"/>
    <w:uiPriority w:val="99"/>
    <w:semiHidden/>
    <w:rsid w:val="006C0D6C"/>
    <w:rPr>
      <w:rFonts w:ascii="Verdana" w:hAnsi="Verdana" w:cs="Times New Roman"/>
      <w:sz w:val="20"/>
      <w:szCs w:val="20"/>
    </w:rPr>
  </w:style>
  <w:style w:type="character" w:styleId="EndnoteReference">
    <w:name w:val="endnote reference"/>
    <w:basedOn w:val="DefaultParagraphFont"/>
    <w:uiPriority w:val="99"/>
    <w:semiHidden/>
    <w:unhideWhenUsed/>
    <w:rsid w:val="006C0D6C"/>
    <w:rPr>
      <w:vertAlign w:val="superscript"/>
    </w:rPr>
  </w:style>
  <w:style w:type="paragraph" w:styleId="Revision">
    <w:name w:val="Revision"/>
    <w:hidden/>
    <w:uiPriority w:val="99"/>
    <w:semiHidden/>
    <w:rsid w:val="00DB37FF"/>
    <w:pPr>
      <w:spacing w:after="0" w:line="240" w:lineRule="auto"/>
    </w:pPr>
  </w:style>
  <w:style w:type="table" w:styleId="LightList-Accent1">
    <w:name w:val="Light List Accent 1"/>
    <w:basedOn w:val="TableNormal"/>
    <w:uiPriority w:val="61"/>
    <w:rsid w:val="00410DD2"/>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rsid w:val="003A1E79"/>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5">
    <w:name w:val="Light Shading Accent 5"/>
    <w:basedOn w:val="TableNormal"/>
    <w:uiPriority w:val="60"/>
    <w:rsid w:val="003A1E79"/>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59225">
      <w:bodyDiv w:val="1"/>
      <w:marLeft w:val="0"/>
      <w:marRight w:val="0"/>
      <w:marTop w:val="0"/>
      <w:marBottom w:val="0"/>
      <w:divBdr>
        <w:top w:val="none" w:sz="0" w:space="0" w:color="auto"/>
        <w:left w:val="none" w:sz="0" w:space="0" w:color="auto"/>
        <w:bottom w:val="none" w:sz="0" w:space="0" w:color="auto"/>
        <w:right w:val="none" w:sz="0" w:space="0" w:color="auto"/>
      </w:divBdr>
    </w:div>
    <w:div w:id="16586767">
      <w:bodyDiv w:val="1"/>
      <w:marLeft w:val="0"/>
      <w:marRight w:val="0"/>
      <w:marTop w:val="0"/>
      <w:marBottom w:val="0"/>
      <w:divBdr>
        <w:top w:val="none" w:sz="0" w:space="0" w:color="auto"/>
        <w:left w:val="none" w:sz="0" w:space="0" w:color="auto"/>
        <w:bottom w:val="none" w:sz="0" w:space="0" w:color="auto"/>
        <w:right w:val="none" w:sz="0" w:space="0" w:color="auto"/>
      </w:divBdr>
    </w:div>
    <w:div w:id="21439748">
      <w:bodyDiv w:val="1"/>
      <w:marLeft w:val="0"/>
      <w:marRight w:val="0"/>
      <w:marTop w:val="0"/>
      <w:marBottom w:val="0"/>
      <w:divBdr>
        <w:top w:val="none" w:sz="0" w:space="0" w:color="auto"/>
        <w:left w:val="none" w:sz="0" w:space="0" w:color="auto"/>
        <w:bottom w:val="none" w:sz="0" w:space="0" w:color="auto"/>
        <w:right w:val="none" w:sz="0" w:space="0" w:color="auto"/>
      </w:divBdr>
    </w:div>
    <w:div w:id="28801093">
      <w:bodyDiv w:val="1"/>
      <w:marLeft w:val="0"/>
      <w:marRight w:val="0"/>
      <w:marTop w:val="0"/>
      <w:marBottom w:val="0"/>
      <w:divBdr>
        <w:top w:val="none" w:sz="0" w:space="0" w:color="auto"/>
        <w:left w:val="none" w:sz="0" w:space="0" w:color="auto"/>
        <w:bottom w:val="none" w:sz="0" w:space="0" w:color="auto"/>
        <w:right w:val="none" w:sz="0" w:space="0" w:color="auto"/>
      </w:divBdr>
    </w:div>
    <w:div w:id="39062176">
      <w:bodyDiv w:val="1"/>
      <w:marLeft w:val="0"/>
      <w:marRight w:val="0"/>
      <w:marTop w:val="0"/>
      <w:marBottom w:val="0"/>
      <w:divBdr>
        <w:top w:val="none" w:sz="0" w:space="0" w:color="auto"/>
        <w:left w:val="none" w:sz="0" w:space="0" w:color="auto"/>
        <w:bottom w:val="none" w:sz="0" w:space="0" w:color="auto"/>
        <w:right w:val="none" w:sz="0" w:space="0" w:color="auto"/>
      </w:divBdr>
    </w:div>
    <w:div w:id="46298859">
      <w:bodyDiv w:val="1"/>
      <w:marLeft w:val="0"/>
      <w:marRight w:val="0"/>
      <w:marTop w:val="0"/>
      <w:marBottom w:val="0"/>
      <w:divBdr>
        <w:top w:val="none" w:sz="0" w:space="0" w:color="auto"/>
        <w:left w:val="none" w:sz="0" w:space="0" w:color="auto"/>
        <w:bottom w:val="none" w:sz="0" w:space="0" w:color="auto"/>
        <w:right w:val="none" w:sz="0" w:space="0" w:color="auto"/>
      </w:divBdr>
    </w:div>
    <w:div w:id="46299388">
      <w:bodyDiv w:val="1"/>
      <w:marLeft w:val="0"/>
      <w:marRight w:val="0"/>
      <w:marTop w:val="0"/>
      <w:marBottom w:val="0"/>
      <w:divBdr>
        <w:top w:val="none" w:sz="0" w:space="0" w:color="auto"/>
        <w:left w:val="none" w:sz="0" w:space="0" w:color="auto"/>
        <w:bottom w:val="none" w:sz="0" w:space="0" w:color="auto"/>
        <w:right w:val="none" w:sz="0" w:space="0" w:color="auto"/>
      </w:divBdr>
    </w:div>
    <w:div w:id="49232032">
      <w:bodyDiv w:val="1"/>
      <w:marLeft w:val="0"/>
      <w:marRight w:val="0"/>
      <w:marTop w:val="0"/>
      <w:marBottom w:val="0"/>
      <w:divBdr>
        <w:top w:val="none" w:sz="0" w:space="0" w:color="auto"/>
        <w:left w:val="none" w:sz="0" w:space="0" w:color="auto"/>
        <w:bottom w:val="none" w:sz="0" w:space="0" w:color="auto"/>
        <w:right w:val="none" w:sz="0" w:space="0" w:color="auto"/>
      </w:divBdr>
    </w:div>
    <w:div w:id="73163036">
      <w:bodyDiv w:val="1"/>
      <w:marLeft w:val="0"/>
      <w:marRight w:val="0"/>
      <w:marTop w:val="0"/>
      <w:marBottom w:val="0"/>
      <w:divBdr>
        <w:top w:val="none" w:sz="0" w:space="0" w:color="auto"/>
        <w:left w:val="none" w:sz="0" w:space="0" w:color="auto"/>
        <w:bottom w:val="none" w:sz="0" w:space="0" w:color="auto"/>
        <w:right w:val="none" w:sz="0" w:space="0" w:color="auto"/>
      </w:divBdr>
    </w:div>
    <w:div w:id="76751852">
      <w:bodyDiv w:val="1"/>
      <w:marLeft w:val="0"/>
      <w:marRight w:val="0"/>
      <w:marTop w:val="0"/>
      <w:marBottom w:val="0"/>
      <w:divBdr>
        <w:top w:val="none" w:sz="0" w:space="0" w:color="auto"/>
        <w:left w:val="none" w:sz="0" w:space="0" w:color="auto"/>
        <w:bottom w:val="none" w:sz="0" w:space="0" w:color="auto"/>
        <w:right w:val="none" w:sz="0" w:space="0" w:color="auto"/>
      </w:divBdr>
    </w:div>
    <w:div w:id="85537543">
      <w:bodyDiv w:val="1"/>
      <w:marLeft w:val="0"/>
      <w:marRight w:val="0"/>
      <w:marTop w:val="0"/>
      <w:marBottom w:val="0"/>
      <w:divBdr>
        <w:top w:val="none" w:sz="0" w:space="0" w:color="auto"/>
        <w:left w:val="none" w:sz="0" w:space="0" w:color="auto"/>
        <w:bottom w:val="none" w:sz="0" w:space="0" w:color="auto"/>
        <w:right w:val="none" w:sz="0" w:space="0" w:color="auto"/>
      </w:divBdr>
    </w:div>
    <w:div w:id="85732720">
      <w:bodyDiv w:val="1"/>
      <w:marLeft w:val="0"/>
      <w:marRight w:val="0"/>
      <w:marTop w:val="0"/>
      <w:marBottom w:val="0"/>
      <w:divBdr>
        <w:top w:val="none" w:sz="0" w:space="0" w:color="auto"/>
        <w:left w:val="none" w:sz="0" w:space="0" w:color="auto"/>
        <w:bottom w:val="none" w:sz="0" w:space="0" w:color="auto"/>
        <w:right w:val="none" w:sz="0" w:space="0" w:color="auto"/>
      </w:divBdr>
    </w:div>
    <w:div w:id="92822069">
      <w:bodyDiv w:val="1"/>
      <w:marLeft w:val="0"/>
      <w:marRight w:val="0"/>
      <w:marTop w:val="0"/>
      <w:marBottom w:val="0"/>
      <w:divBdr>
        <w:top w:val="none" w:sz="0" w:space="0" w:color="auto"/>
        <w:left w:val="none" w:sz="0" w:space="0" w:color="auto"/>
        <w:bottom w:val="none" w:sz="0" w:space="0" w:color="auto"/>
        <w:right w:val="none" w:sz="0" w:space="0" w:color="auto"/>
      </w:divBdr>
    </w:div>
    <w:div w:id="104159053">
      <w:bodyDiv w:val="1"/>
      <w:marLeft w:val="0"/>
      <w:marRight w:val="0"/>
      <w:marTop w:val="0"/>
      <w:marBottom w:val="0"/>
      <w:divBdr>
        <w:top w:val="none" w:sz="0" w:space="0" w:color="auto"/>
        <w:left w:val="none" w:sz="0" w:space="0" w:color="auto"/>
        <w:bottom w:val="none" w:sz="0" w:space="0" w:color="auto"/>
        <w:right w:val="none" w:sz="0" w:space="0" w:color="auto"/>
      </w:divBdr>
    </w:div>
    <w:div w:id="110589118">
      <w:bodyDiv w:val="1"/>
      <w:marLeft w:val="0"/>
      <w:marRight w:val="0"/>
      <w:marTop w:val="0"/>
      <w:marBottom w:val="0"/>
      <w:divBdr>
        <w:top w:val="none" w:sz="0" w:space="0" w:color="auto"/>
        <w:left w:val="none" w:sz="0" w:space="0" w:color="auto"/>
        <w:bottom w:val="none" w:sz="0" w:space="0" w:color="auto"/>
        <w:right w:val="none" w:sz="0" w:space="0" w:color="auto"/>
      </w:divBdr>
    </w:div>
    <w:div w:id="143355641">
      <w:bodyDiv w:val="1"/>
      <w:marLeft w:val="0"/>
      <w:marRight w:val="0"/>
      <w:marTop w:val="0"/>
      <w:marBottom w:val="0"/>
      <w:divBdr>
        <w:top w:val="none" w:sz="0" w:space="0" w:color="auto"/>
        <w:left w:val="none" w:sz="0" w:space="0" w:color="auto"/>
        <w:bottom w:val="none" w:sz="0" w:space="0" w:color="auto"/>
        <w:right w:val="none" w:sz="0" w:space="0" w:color="auto"/>
      </w:divBdr>
    </w:div>
    <w:div w:id="152140050">
      <w:bodyDiv w:val="1"/>
      <w:marLeft w:val="0"/>
      <w:marRight w:val="0"/>
      <w:marTop w:val="0"/>
      <w:marBottom w:val="0"/>
      <w:divBdr>
        <w:top w:val="none" w:sz="0" w:space="0" w:color="auto"/>
        <w:left w:val="none" w:sz="0" w:space="0" w:color="auto"/>
        <w:bottom w:val="none" w:sz="0" w:space="0" w:color="auto"/>
        <w:right w:val="none" w:sz="0" w:space="0" w:color="auto"/>
      </w:divBdr>
    </w:div>
    <w:div w:id="154690685">
      <w:bodyDiv w:val="1"/>
      <w:marLeft w:val="0"/>
      <w:marRight w:val="0"/>
      <w:marTop w:val="0"/>
      <w:marBottom w:val="0"/>
      <w:divBdr>
        <w:top w:val="none" w:sz="0" w:space="0" w:color="auto"/>
        <w:left w:val="none" w:sz="0" w:space="0" w:color="auto"/>
        <w:bottom w:val="none" w:sz="0" w:space="0" w:color="auto"/>
        <w:right w:val="none" w:sz="0" w:space="0" w:color="auto"/>
      </w:divBdr>
    </w:div>
    <w:div w:id="169563540">
      <w:bodyDiv w:val="1"/>
      <w:marLeft w:val="0"/>
      <w:marRight w:val="0"/>
      <w:marTop w:val="0"/>
      <w:marBottom w:val="0"/>
      <w:divBdr>
        <w:top w:val="none" w:sz="0" w:space="0" w:color="auto"/>
        <w:left w:val="none" w:sz="0" w:space="0" w:color="auto"/>
        <w:bottom w:val="none" w:sz="0" w:space="0" w:color="auto"/>
        <w:right w:val="none" w:sz="0" w:space="0" w:color="auto"/>
      </w:divBdr>
    </w:div>
    <w:div w:id="179124271">
      <w:bodyDiv w:val="1"/>
      <w:marLeft w:val="0"/>
      <w:marRight w:val="0"/>
      <w:marTop w:val="0"/>
      <w:marBottom w:val="0"/>
      <w:divBdr>
        <w:top w:val="none" w:sz="0" w:space="0" w:color="auto"/>
        <w:left w:val="none" w:sz="0" w:space="0" w:color="auto"/>
        <w:bottom w:val="none" w:sz="0" w:space="0" w:color="auto"/>
        <w:right w:val="none" w:sz="0" w:space="0" w:color="auto"/>
      </w:divBdr>
    </w:div>
    <w:div w:id="188489609">
      <w:bodyDiv w:val="1"/>
      <w:marLeft w:val="0"/>
      <w:marRight w:val="0"/>
      <w:marTop w:val="0"/>
      <w:marBottom w:val="0"/>
      <w:divBdr>
        <w:top w:val="none" w:sz="0" w:space="0" w:color="auto"/>
        <w:left w:val="none" w:sz="0" w:space="0" w:color="auto"/>
        <w:bottom w:val="none" w:sz="0" w:space="0" w:color="auto"/>
        <w:right w:val="none" w:sz="0" w:space="0" w:color="auto"/>
      </w:divBdr>
    </w:div>
    <w:div w:id="196285099">
      <w:bodyDiv w:val="1"/>
      <w:marLeft w:val="0"/>
      <w:marRight w:val="0"/>
      <w:marTop w:val="0"/>
      <w:marBottom w:val="0"/>
      <w:divBdr>
        <w:top w:val="none" w:sz="0" w:space="0" w:color="auto"/>
        <w:left w:val="none" w:sz="0" w:space="0" w:color="auto"/>
        <w:bottom w:val="none" w:sz="0" w:space="0" w:color="auto"/>
        <w:right w:val="none" w:sz="0" w:space="0" w:color="auto"/>
      </w:divBdr>
    </w:div>
    <w:div w:id="196627797">
      <w:bodyDiv w:val="1"/>
      <w:marLeft w:val="0"/>
      <w:marRight w:val="0"/>
      <w:marTop w:val="0"/>
      <w:marBottom w:val="0"/>
      <w:divBdr>
        <w:top w:val="none" w:sz="0" w:space="0" w:color="auto"/>
        <w:left w:val="none" w:sz="0" w:space="0" w:color="auto"/>
        <w:bottom w:val="none" w:sz="0" w:space="0" w:color="auto"/>
        <w:right w:val="none" w:sz="0" w:space="0" w:color="auto"/>
      </w:divBdr>
    </w:div>
    <w:div w:id="211040454">
      <w:bodyDiv w:val="1"/>
      <w:marLeft w:val="0"/>
      <w:marRight w:val="0"/>
      <w:marTop w:val="0"/>
      <w:marBottom w:val="0"/>
      <w:divBdr>
        <w:top w:val="none" w:sz="0" w:space="0" w:color="auto"/>
        <w:left w:val="none" w:sz="0" w:space="0" w:color="auto"/>
        <w:bottom w:val="none" w:sz="0" w:space="0" w:color="auto"/>
        <w:right w:val="none" w:sz="0" w:space="0" w:color="auto"/>
      </w:divBdr>
    </w:div>
    <w:div w:id="219563073">
      <w:bodyDiv w:val="1"/>
      <w:marLeft w:val="0"/>
      <w:marRight w:val="0"/>
      <w:marTop w:val="0"/>
      <w:marBottom w:val="0"/>
      <w:divBdr>
        <w:top w:val="none" w:sz="0" w:space="0" w:color="auto"/>
        <w:left w:val="none" w:sz="0" w:space="0" w:color="auto"/>
        <w:bottom w:val="none" w:sz="0" w:space="0" w:color="auto"/>
        <w:right w:val="none" w:sz="0" w:space="0" w:color="auto"/>
      </w:divBdr>
    </w:div>
    <w:div w:id="240530531">
      <w:bodyDiv w:val="1"/>
      <w:marLeft w:val="0"/>
      <w:marRight w:val="0"/>
      <w:marTop w:val="0"/>
      <w:marBottom w:val="0"/>
      <w:divBdr>
        <w:top w:val="none" w:sz="0" w:space="0" w:color="auto"/>
        <w:left w:val="none" w:sz="0" w:space="0" w:color="auto"/>
        <w:bottom w:val="none" w:sz="0" w:space="0" w:color="auto"/>
        <w:right w:val="none" w:sz="0" w:space="0" w:color="auto"/>
      </w:divBdr>
    </w:div>
    <w:div w:id="252327484">
      <w:bodyDiv w:val="1"/>
      <w:marLeft w:val="0"/>
      <w:marRight w:val="0"/>
      <w:marTop w:val="0"/>
      <w:marBottom w:val="0"/>
      <w:divBdr>
        <w:top w:val="none" w:sz="0" w:space="0" w:color="auto"/>
        <w:left w:val="none" w:sz="0" w:space="0" w:color="auto"/>
        <w:bottom w:val="none" w:sz="0" w:space="0" w:color="auto"/>
        <w:right w:val="none" w:sz="0" w:space="0" w:color="auto"/>
      </w:divBdr>
    </w:div>
    <w:div w:id="261845587">
      <w:bodyDiv w:val="1"/>
      <w:marLeft w:val="0"/>
      <w:marRight w:val="0"/>
      <w:marTop w:val="0"/>
      <w:marBottom w:val="0"/>
      <w:divBdr>
        <w:top w:val="none" w:sz="0" w:space="0" w:color="auto"/>
        <w:left w:val="none" w:sz="0" w:space="0" w:color="auto"/>
        <w:bottom w:val="none" w:sz="0" w:space="0" w:color="auto"/>
        <w:right w:val="none" w:sz="0" w:space="0" w:color="auto"/>
      </w:divBdr>
    </w:div>
    <w:div w:id="281960192">
      <w:bodyDiv w:val="1"/>
      <w:marLeft w:val="0"/>
      <w:marRight w:val="0"/>
      <w:marTop w:val="0"/>
      <w:marBottom w:val="0"/>
      <w:divBdr>
        <w:top w:val="none" w:sz="0" w:space="0" w:color="auto"/>
        <w:left w:val="none" w:sz="0" w:space="0" w:color="auto"/>
        <w:bottom w:val="none" w:sz="0" w:space="0" w:color="auto"/>
        <w:right w:val="none" w:sz="0" w:space="0" w:color="auto"/>
      </w:divBdr>
    </w:div>
    <w:div w:id="283511677">
      <w:bodyDiv w:val="1"/>
      <w:marLeft w:val="0"/>
      <w:marRight w:val="0"/>
      <w:marTop w:val="0"/>
      <w:marBottom w:val="0"/>
      <w:divBdr>
        <w:top w:val="none" w:sz="0" w:space="0" w:color="auto"/>
        <w:left w:val="none" w:sz="0" w:space="0" w:color="auto"/>
        <w:bottom w:val="none" w:sz="0" w:space="0" w:color="auto"/>
        <w:right w:val="none" w:sz="0" w:space="0" w:color="auto"/>
      </w:divBdr>
    </w:div>
    <w:div w:id="285695682">
      <w:bodyDiv w:val="1"/>
      <w:marLeft w:val="0"/>
      <w:marRight w:val="0"/>
      <w:marTop w:val="0"/>
      <w:marBottom w:val="0"/>
      <w:divBdr>
        <w:top w:val="none" w:sz="0" w:space="0" w:color="auto"/>
        <w:left w:val="none" w:sz="0" w:space="0" w:color="auto"/>
        <w:bottom w:val="none" w:sz="0" w:space="0" w:color="auto"/>
        <w:right w:val="none" w:sz="0" w:space="0" w:color="auto"/>
      </w:divBdr>
    </w:div>
    <w:div w:id="287902061">
      <w:bodyDiv w:val="1"/>
      <w:marLeft w:val="0"/>
      <w:marRight w:val="0"/>
      <w:marTop w:val="0"/>
      <w:marBottom w:val="0"/>
      <w:divBdr>
        <w:top w:val="none" w:sz="0" w:space="0" w:color="auto"/>
        <w:left w:val="none" w:sz="0" w:space="0" w:color="auto"/>
        <w:bottom w:val="none" w:sz="0" w:space="0" w:color="auto"/>
        <w:right w:val="none" w:sz="0" w:space="0" w:color="auto"/>
      </w:divBdr>
    </w:div>
    <w:div w:id="302778280">
      <w:bodyDiv w:val="1"/>
      <w:marLeft w:val="0"/>
      <w:marRight w:val="0"/>
      <w:marTop w:val="0"/>
      <w:marBottom w:val="0"/>
      <w:divBdr>
        <w:top w:val="none" w:sz="0" w:space="0" w:color="auto"/>
        <w:left w:val="none" w:sz="0" w:space="0" w:color="auto"/>
        <w:bottom w:val="none" w:sz="0" w:space="0" w:color="auto"/>
        <w:right w:val="none" w:sz="0" w:space="0" w:color="auto"/>
      </w:divBdr>
    </w:div>
    <w:div w:id="309216179">
      <w:bodyDiv w:val="1"/>
      <w:marLeft w:val="0"/>
      <w:marRight w:val="0"/>
      <w:marTop w:val="0"/>
      <w:marBottom w:val="0"/>
      <w:divBdr>
        <w:top w:val="none" w:sz="0" w:space="0" w:color="auto"/>
        <w:left w:val="none" w:sz="0" w:space="0" w:color="auto"/>
        <w:bottom w:val="none" w:sz="0" w:space="0" w:color="auto"/>
        <w:right w:val="none" w:sz="0" w:space="0" w:color="auto"/>
      </w:divBdr>
    </w:div>
    <w:div w:id="324819008">
      <w:bodyDiv w:val="1"/>
      <w:marLeft w:val="0"/>
      <w:marRight w:val="0"/>
      <w:marTop w:val="0"/>
      <w:marBottom w:val="0"/>
      <w:divBdr>
        <w:top w:val="none" w:sz="0" w:space="0" w:color="auto"/>
        <w:left w:val="none" w:sz="0" w:space="0" w:color="auto"/>
        <w:bottom w:val="none" w:sz="0" w:space="0" w:color="auto"/>
        <w:right w:val="none" w:sz="0" w:space="0" w:color="auto"/>
      </w:divBdr>
    </w:div>
    <w:div w:id="330570447">
      <w:bodyDiv w:val="1"/>
      <w:marLeft w:val="0"/>
      <w:marRight w:val="0"/>
      <w:marTop w:val="0"/>
      <w:marBottom w:val="0"/>
      <w:divBdr>
        <w:top w:val="none" w:sz="0" w:space="0" w:color="auto"/>
        <w:left w:val="none" w:sz="0" w:space="0" w:color="auto"/>
        <w:bottom w:val="none" w:sz="0" w:space="0" w:color="auto"/>
        <w:right w:val="none" w:sz="0" w:space="0" w:color="auto"/>
      </w:divBdr>
    </w:div>
    <w:div w:id="374432079">
      <w:bodyDiv w:val="1"/>
      <w:marLeft w:val="0"/>
      <w:marRight w:val="0"/>
      <w:marTop w:val="0"/>
      <w:marBottom w:val="0"/>
      <w:divBdr>
        <w:top w:val="none" w:sz="0" w:space="0" w:color="auto"/>
        <w:left w:val="none" w:sz="0" w:space="0" w:color="auto"/>
        <w:bottom w:val="none" w:sz="0" w:space="0" w:color="auto"/>
        <w:right w:val="none" w:sz="0" w:space="0" w:color="auto"/>
      </w:divBdr>
    </w:div>
    <w:div w:id="388917969">
      <w:bodyDiv w:val="1"/>
      <w:marLeft w:val="0"/>
      <w:marRight w:val="0"/>
      <w:marTop w:val="0"/>
      <w:marBottom w:val="0"/>
      <w:divBdr>
        <w:top w:val="none" w:sz="0" w:space="0" w:color="auto"/>
        <w:left w:val="none" w:sz="0" w:space="0" w:color="auto"/>
        <w:bottom w:val="none" w:sz="0" w:space="0" w:color="auto"/>
        <w:right w:val="none" w:sz="0" w:space="0" w:color="auto"/>
      </w:divBdr>
    </w:div>
    <w:div w:id="389498186">
      <w:bodyDiv w:val="1"/>
      <w:marLeft w:val="0"/>
      <w:marRight w:val="0"/>
      <w:marTop w:val="0"/>
      <w:marBottom w:val="0"/>
      <w:divBdr>
        <w:top w:val="none" w:sz="0" w:space="0" w:color="auto"/>
        <w:left w:val="none" w:sz="0" w:space="0" w:color="auto"/>
        <w:bottom w:val="none" w:sz="0" w:space="0" w:color="auto"/>
        <w:right w:val="none" w:sz="0" w:space="0" w:color="auto"/>
      </w:divBdr>
    </w:div>
    <w:div w:id="400643416">
      <w:bodyDiv w:val="1"/>
      <w:marLeft w:val="0"/>
      <w:marRight w:val="0"/>
      <w:marTop w:val="0"/>
      <w:marBottom w:val="0"/>
      <w:divBdr>
        <w:top w:val="none" w:sz="0" w:space="0" w:color="auto"/>
        <w:left w:val="none" w:sz="0" w:space="0" w:color="auto"/>
        <w:bottom w:val="none" w:sz="0" w:space="0" w:color="auto"/>
        <w:right w:val="none" w:sz="0" w:space="0" w:color="auto"/>
      </w:divBdr>
    </w:div>
    <w:div w:id="404038184">
      <w:bodyDiv w:val="1"/>
      <w:marLeft w:val="0"/>
      <w:marRight w:val="0"/>
      <w:marTop w:val="0"/>
      <w:marBottom w:val="0"/>
      <w:divBdr>
        <w:top w:val="none" w:sz="0" w:space="0" w:color="auto"/>
        <w:left w:val="none" w:sz="0" w:space="0" w:color="auto"/>
        <w:bottom w:val="none" w:sz="0" w:space="0" w:color="auto"/>
        <w:right w:val="none" w:sz="0" w:space="0" w:color="auto"/>
      </w:divBdr>
    </w:div>
    <w:div w:id="406732050">
      <w:bodyDiv w:val="1"/>
      <w:marLeft w:val="0"/>
      <w:marRight w:val="0"/>
      <w:marTop w:val="0"/>
      <w:marBottom w:val="0"/>
      <w:divBdr>
        <w:top w:val="none" w:sz="0" w:space="0" w:color="auto"/>
        <w:left w:val="none" w:sz="0" w:space="0" w:color="auto"/>
        <w:bottom w:val="none" w:sz="0" w:space="0" w:color="auto"/>
        <w:right w:val="none" w:sz="0" w:space="0" w:color="auto"/>
      </w:divBdr>
    </w:div>
    <w:div w:id="418405496">
      <w:bodyDiv w:val="1"/>
      <w:marLeft w:val="0"/>
      <w:marRight w:val="0"/>
      <w:marTop w:val="0"/>
      <w:marBottom w:val="0"/>
      <w:divBdr>
        <w:top w:val="none" w:sz="0" w:space="0" w:color="auto"/>
        <w:left w:val="none" w:sz="0" w:space="0" w:color="auto"/>
        <w:bottom w:val="none" w:sz="0" w:space="0" w:color="auto"/>
        <w:right w:val="none" w:sz="0" w:space="0" w:color="auto"/>
      </w:divBdr>
    </w:div>
    <w:div w:id="418454376">
      <w:bodyDiv w:val="1"/>
      <w:marLeft w:val="0"/>
      <w:marRight w:val="0"/>
      <w:marTop w:val="0"/>
      <w:marBottom w:val="0"/>
      <w:divBdr>
        <w:top w:val="none" w:sz="0" w:space="0" w:color="auto"/>
        <w:left w:val="none" w:sz="0" w:space="0" w:color="auto"/>
        <w:bottom w:val="none" w:sz="0" w:space="0" w:color="auto"/>
        <w:right w:val="none" w:sz="0" w:space="0" w:color="auto"/>
      </w:divBdr>
    </w:div>
    <w:div w:id="419567953">
      <w:bodyDiv w:val="1"/>
      <w:marLeft w:val="0"/>
      <w:marRight w:val="0"/>
      <w:marTop w:val="0"/>
      <w:marBottom w:val="0"/>
      <w:divBdr>
        <w:top w:val="none" w:sz="0" w:space="0" w:color="auto"/>
        <w:left w:val="none" w:sz="0" w:space="0" w:color="auto"/>
        <w:bottom w:val="none" w:sz="0" w:space="0" w:color="auto"/>
        <w:right w:val="none" w:sz="0" w:space="0" w:color="auto"/>
      </w:divBdr>
    </w:div>
    <w:div w:id="429593952">
      <w:bodyDiv w:val="1"/>
      <w:marLeft w:val="0"/>
      <w:marRight w:val="0"/>
      <w:marTop w:val="0"/>
      <w:marBottom w:val="0"/>
      <w:divBdr>
        <w:top w:val="none" w:sz="0" w:space="0" w:color="auto"/>
        <w:left w:val="none" w:sz="0" w:space="0" w:color="auto"/>
        <w:bottom w:val="none" w:sz="0" w:space="0" w:color="auto"/>
        <w:right w:val="none" w:sz="0" w:space="0" w:color="auto"/>
      </w:divBdr>
    </w:div>
    <w:div w:id="436602974">
      <w:bodyDiv w:val="1"/>
      <w:marLeft w:val="0"/>
      <w:marRight w:val="0"/>
      <w:marTop w:val="0"/>
      <w:marBottom w:val="0"/>
      <w:divBdr>
        <w:top w:val="none" w:sz="0" w:space="0" w:color="auto"/>
        <w:left w:val="none" w:sz="0" w:space="0" w:color="auto"/>
        <w:bottom w:val="none" w:sz="0" w:space="0" w:color="auto"/>
        <w:right w:val="none" w:sz="0" w:space="0" w:color="auto"/>
      </w:divBdr>
    </w:div>
    <w:div w:id="449982068">
      <w:bodyDiv w:val="1"/>
      <w:marLeft w:val="0"/>
      <w:marRight w:val="0"/>
      <w:marTop w:val="0"/>
      <w:marBottom w:val="0"/>
      <w:divBdr>
        <w:top w:val="none" w:sz="0" w:space="0" w:color="auto"/>
        <w:left w:val="none" w:sz="0" w:space="0" w:color="auto"/>
        <w:bottom w:val="none" w:sz="0" w:space="0" w:color="auto"/>
        <w:right w:val="none" w:sz="0" w:space="0" w:color="auto"/>
      </w:divBdr>
    </w:div>
    <w:div w:id="468591494">
      <w:bodyDiv w:val="1"/>
      <w:marLeft w:val="0"/>
      <w:marRight w:val="0"/>
      <w:marTop w:val="0"/>
      <w:marBottom w:val="0"/>
      <w:divBdr>
        <w:top w:val="none" w:sz="0" w:space="0" w:color="auto"/>
        <w:left w:val="none" w:sz="0" w:space="0" w:color="auto"/>
        <w:bottom w:val="none" w:sz="0" w:space="0" w:color="auto"/>
        <w:right w:val="none" w:sz="0" w:space="0" w:color="auto"/>
      </w:divBdr>
    </w:div>
    <w:div w:id="471479853">
      <w:bodyDiv w:val="1"/>
      <w:marLeft w:val="0"/>
      <w:marRight w:val="0"/>
      <w:marTop w:val="0"/>
      <w:marBottom w:val="0"/>
      <w:divBdr>
        <w:top w:val="none" w:sz="0" w:space="0" w:color="auto"/>
        <w:left w:val="none" w:sz="0" w:space="0" w:color="auto"/>
        <w:bottom w:val="none" w:sz="0" w:space="0" w:color="auto"/>
        <w:right w:val="none" w:sz="0" w:space="0" w:color="auto"/>
      </w:divBdr>
    </w:div>
    <w:div w:id="472139491">
      <w:bodyDiv w:val="1"/>
      <w:marLeft w:val="0"/>
      <w:marRight w:val="0"/>
      <w:marTop w:val="0"/>
      <w:marBottom w:val="0"/>
      <w:divBdr>
        <w:top w:val="none" w:sz="0" w:space="0" w:color="auto"/>
        <w:left w:val="none" w:sz="0" w:space="0" w:color="auto"/>
        <w:bottom w:val="none" w:sz="0" w:space="0" w:color="auto"/>
        <w:right w:val="none" w:sz="0" w:space="0" w:color="auto"/>
      </w:divBdr>
    </w:div>
    <w:div w:id="473379322">
      <w:bodyDiv w:val="1"/>
      <w:marLeft w:val="0"/>
      <w:marRight w:val="0"/>
      <w:marTop w:val="0"/>
      <w:marBottom w:val="0"/>
      <w:divBdr>
        <w:top w:val="none" w:sz="0" w:space="0" w:color="auto"/>
        <w:left w:val="none" w:sz="0" w:space="0" w:color="auto"/>
        <w:bottom w:val="none" w:sz="0" w:space="0" w:color="auto"/>
        <w:right w:val="none" w:sz="0" w:space="0" w:color="auto"/>
      </w:divBdr>
    </w:div>
    <w:div w:id="481971550">
      <w:bodyDiv w:val="1"/>
      <w:marLeft w:val="0"/>
      <w:marRight w:val="0"/>
      <w:marTop w:val="0"/>
      <w:marBottom w:val="0"/>
      <w:divBdr>
        <w:top w:val="none" w:sz="0" w:space="0" w:color="auto"/>
        <w:left w:val="none" w:sz="0" w:space="0" w:color="auto"/>
        <w:bottom w:val="none" w:sz="0" w:space="0" w:color="auto"/>
        <w:right w:val="none" w:sz="0" w:space="0" w:color="auto"/>
      </w:divBdr>
    </w:div>
    <w:div w:id="492641876">
      <w:bodyDiv w:val="1"/>
      <w:marLeft w:val="0"/>
      <w:marRight w:val="0"/>
      <w:marTop w:val="0"/>
      <w:marBottom w:val="0"/>
      <w:divBdr>
        <w:top w:val="none" w:sz="0" w:space="0" w:color="auto"/>
        <w:left w:val="none" w:sz="0" w:space="0" w:color="auto"/>
        <w:bottom w:val="none" w:sz="0" w:space="0" w:color="auto"/>
        <w:right w:val="none" w:sz="0" w:space="0" w:color="auto"/>
      </w:divBdr>
    </w:div>
    <w:div w:id="503475819">
      <w:bodyDiv w:val="1"/>
      <w:marLeft w:val="0"/>
      <w:marRight w:val="0"/>
      <w:marTop w:val="0"/>
      <w:marBottom w:val="0"/>
      <w:divBdr>
        <w:top w:val="none" w:sz="0" w:space="0" w:color="auto"/>
        <w:left w:val="none" w:sz="0" w:space="0" w:color="auto"/>
        <w:bottom w:val="none" w:sz="0" w:space="0" w:color="auto"/>
        <w:right w:val="none" w:sz="0" w:space="0" w:color="auto"/>
      </w:divBdr>
    </w:div>
    <w:div w:id="508644556">
      <w:bodyDiv w:val="1"/>
      <w:marLeft w:val="0"/>
      <w:marRight w:val="0"/>
      <w:marTop w:val="0"/>
      <w:marBottom w:val="0"/>
      <w:divBdr>
        <w:top w:val="none" w:sz="0" w:space="0" w:color="auto"/>
        <w:left w:val="none" w:sz="0" w:space="0" w:color="auto"/>
        <w:bottom w:val="none" w:sz="0" w:space="0" w:color="auto"/>
        <w:right w:val="none" w:sz="0" w:space="0" w:color="auto"/>
      </w:divBdr>
    </w:div>
    <w:div w:id="517156632">
      <w:bodyDiv w:val="1"/>
      <w:marLeft w:val="0"/>
      <w:marRight w:val="0"/>
      <w:marTop w:val="0"/>
      <w:marBottom w:val="0"/>
      <w:divBdr>
        <w:top w:val="none" w:sz="0" w:space="0" w:color="auto"/>
        <w:left w:val="none" w:sz="0" w:space="0" w:color="auto"/>
        <w:bottom w:val="none" w:sz="0" w:space="0" w:color="auto"/>
        <w:right w:val="none" w:sz="0" w:space="0" w:color="auto"/>
      </w:divBdr>
    </w:div>
    <w:div w:id="538129959">
      <w:bodyDiv w:val="1"/>
      <w:marLeft w:val="0"/>
      <w:marRight w:val="0"/>
      <w:marTop w:val="0"/>
      <w:marBottom w:val="0"/>
      <w:divBdr>
        <w:top w:val="none" w:sz="0" w:space="0" w:color="auto"/>
        <w:left w:val="none" w:sz="0" w:space="0" w:color="auto"/>
        <w:bottom w:val="none" w:sz="0" w:space="0" w:color="auto"/>
        <w:right w:val="none" w:sz="0" w:space="0" w:color="auto"/>
      </w:divBdr>
    </w:div>
    <w:div w:id="539972291">
      <w:bodyDiv w:val="1"/>
      <w:marLeft w:val="0"/>
      <w:marRight w:val="0"/>
      <w:marTop w:val="0"/>
      <w:marBottom w:val="0"/>
      <w:divBdr>
        <w:top w:val="none" w:sz="0" w:space="0" w:color="auto"/>
        <w:left w:val="none" w:sz="0" w:space="0" w:color="auto"/>
        <w:bottom w:val="none" w:sz="0" w:space="0" w:color="auto"/>
        <w:right w:val="none" w:sz="0" w:space="0" w:color="auto"/>
      </w:divBdr>
    </w:div>
    <w:div w:id="558513628">
      <w:bodyDiv w:val="1"/>
      <w:marLeft w:val="0"/>
      <w:marRight w:val="0"/>
      <w:marTop w:val="0"/>
      <w:marBottom w:val="0"/>
      <w:divBdr>
        <w:top w:val="none" w:sz="0" w:space="0" w:color="auto"/>
        <w:left w:val="none" w:sz="0" w:space="0" w:color="auto"/>
        <w:bottom w:val="none" w:sz="0" w:space="0" w:color="auto"/>
        <w:right w:val="none" w:sz="0" w:space="0" w:color="auto"/>
      </w:divBdr>
    </w:div>
    <w:div w:id="580022804">
      <w:bodyDiv w:val="1"/>
      <w:marLeft w:val="0"/>
      <w:marRight w:val="0"/>
      <w:marTop w:val="0"/>
      <w:marBottom w:val="0"/>
      <w:divBdr>
        <w:top w:val="none" w:sz="0" w:space="0" w:color="auto"/>
        <w:left w:val="none" w:sz="0" w:space="0" w:color="auto"/>
        <w:bottom w:val="none" w:sz="0" w:space="0" w:color="auto"/>
        <w:right w:val="none" w:sz="0" w:space="0" w:color="auto"/>
      </w:divBdr>
    </w:div>
    <w:div w:id="582842041">
      <w:bodyDiv w:val="1"/>
      <w:marLeft w:val="0"/>
      <w:marRight w:val="0"/>
      <w:marTop w:val="0"/>
      <w:marBottom w:val="0"/>
      <w:divBdr>
        <w:top w:val="none" w:sz="0" w:space="0" w:color="auto"/>
        <w:left w:val="none" w:sz="0" w:space="0" w:color="auto"/>
        <w:bottom w:val="none" w:sz="0" w:space="0" w:color="auto"/>
        <w:right w:val="none" w:sz="0" w:space="0" w:color="auto"/>
      </w:divBdr>
    </w:div>
    <w:div w:id="626202176">
      <w:bodyDiv w:val="1"/>
      <w:marLeft w:val="0"/>
      <w:marRight w:val="0"/>
      <w:marTop w:val="0"/>
      <w:marBottom w:val="0"/>
      <w:divBdr>
        <w:top w:val="none" w:sz="0" w:space="0" w:color="auto"/>
        <w:left w:val="none" w:sz="0" w:space="0" w:color="auto"/>
        <w:bottom w:val="none" w:sz="0" w:space="0" w:color="auto"/>
        <w:right w:val="none" w:sz="0" w:space="0" w:color="auto"/>
      </w:divBdr>
    </w:div>
    <w:div w:id="626811878">
      <w:bodyDiv w:val="1"/>
      <w:marLeft w:val="0"/>
      <w:marRight w:val="0"/>
      <w:marTop w:val="0"/>
      <w:marBottom w:val="0"/>
      <w:divBdr>
        <w:top w:val="none" w:sz="0" w:space="0" w:color="auto"/>
        <w:left w:val="none" w:sz="0" w:space="0" w:color="auto"/>
        <w:bottom w:val="none" w:sz="0" w:space="0" w:color="auto"/>
        <w:right w:val="none" w:sz="0" w:space="0" w:color="auto"/>
      </w:divBdr>
    </w:div>
    <w:div w:id="635060924">
      <w:bodyDiv w:val="1"/>
      <w:marLeft w:val="0"/>
      <w:marRight w:val="0"/>
      <w:marTop w:val="0"/>
      <w:marBottom w:val="0"/>
      <w:divBdr>
        <w:top w:val="none" w:sz="0" w:space="0" w:color="auto"/>
        <w:left w:val="none" w:sz="0" w:space="0" w:color="auto"/>
        <w:bottom w:val="none" w:sz="0" w:space="0" w:color="auto"/>
        <w:right w:val="none" w:sz="0" w:space="0" w:color="auto"/>
      </w:divBdr>
    </w:div>
    <w:div w:id="637809011">
      <w:bodyDiv w:val="1"/>
      <w:marLeft w:val="0"/>
      <w:marRight w:val="0"/>
      <w:marTop w:val="0"/>
      <w:marBottom w:val="0"/>
      <w:divBdr>
        <w:top w:val="none" w:sz="0" w:space="0" w:color="auto"/>
        <w:left w:val="none" w:sz="0" w:space="0" w:color="auto"/>
        <w:bottom w:val="none" w:sz="0" w:space="0" w:color="auto"/>
        <w:right w:val="none" w:sz="0" w:space="0" w:color="auto"/>
      </w:divBdr>
    </w:div>
    <w:div w:id="639190198">
      <w:bodyDiv w:val="1"/>
      <w:marLeft w:val="0"/>
      <w:marRight w:val="0"/>
      <w:marTop w:val="0"/>
      <w:marBottom w:val="0"/>
      <w:divBdr>
        <w:top w:val="none" w:sz="0" w:space="0" w:color="auto"/>
        <w:left w:val="none" w:sz="0" w:space="0" w:color="auto"/>
        <w:bottom w:val="none" w:sz="0" w:space="0" w:color="auto"/>
        <w:right w:val="none" w:sz="0" w:space="0" w:color="auto"/>
      </w:divBdr>
    </w:div>
    <w:div w:id="639264799">
      <w:bodyDiv w:val="1"/>
      <w:marLeft w:val="0"/>
      <w:marRight w:val="0"/>
      <w:marTop w:val="0"/>
      <w:marBottom w:val="0"/>
      <w:divBdr>
        <w:top w:val="none" w:sz="0" w:space="0" w:color="auto"/>
        <w:left w:val="none" w:sz="0" w:space="0" w:color="auto"/>
        <w:bottom w:val="none" w:sz="0" w:space="0" w:color="auto"/>
        <w:right w:val="none" w:sz="0" w:space="0" w:color="auto"/>
      </w:divBdr>
    </w:div>
    <w:div w:id="642731348">
      <w:bodyDiv w:val="1"/>
      <w:marLeft w:val="0"/>
      <w:marRight w:val="0"/>
      <w:marTop w:val="0"/>
      <w:marBottom w:val="0"/>
      <w:divBdr>
        <w:top w:val="none" w:sz="0" w:space="0" w:color="auto"/>
        <w:left w:val="none" w:sz="0" w:space="0" w:color="auto"/>
        <w:bottom w:val="none" w:sz="0" w:space="0" w:color="auto"/>
        <w:right w:val="none" w:sz="0" w:space="0" w:color="auto"/>
      </w:divBdr>
    </w:div>
    <w:div w:id="668992045">
      <w:bodyDiv w:val="1"/>
      <w:marLeft w:val="0"/>
      <w:marRight w:val="0"/>
      <w:marTop w:val="0"/>
      <w:marBottom w:val="0"/>
      <w:divBdr>
        <w:top w:val="none" w:sz="0" w:space="0" w:color="auto"/>
        <w:left w:val="none" w:sz="0" w:space="0" w:color="auto"/>
        <w:bottom w:val="none" w:sz="0" w:space="0" w:color="auto"/>
        <w:right w:val="none" w:sz="0" w:space="0" w:color="auto"/>
      </w:divBdr>
    </w:div>
    <w:div w:id="680162974">
      <w:bodyDiv w:val="1"/>
      <w:marLeft w:val="0"/>
      <w:marRight w:val="0"/>
      <w:marTop w:val="0"/>
      <w:marBottom w:val="0"/>
      <w:divBdr>
        <w:top w:val="none" w:sz="0" w:space="0" w:color="auto"/>
        <w:left w:val="none" w:sz="0" w:space="0" w:color="auto"/>
        <w:bottom w:val="none" w:sz="0" w:space="0" w:color="auto"/>
        <w:right w:val="none" w:sz="0" w:space="0" w:color="auto"/>
      </w:divBdr>
    </w:div>
    <w:div w:id="685985431">
      <w:bodyDiv w:val="1"/>
      <w:marLeft w:val="0"/>
      <w:marRight w:val="0"/>
      <w:marTop w:val="0"/>
      <w:marBottom w:val="0"/>
      <w:divBdr>
        <w:top w:val="none" w:sz="0" w:space="0" w:color="auto"/>
        <w:left w:val="none" w:sz="0" w:space="0" w:color="auto"/>
        <w:bottom w:val="none" w:sz="0" w:space="0" w:color="auto"/>
        <w:right w:val="none" w:sz="0" w:space="0" w:color="auto"/>
      </w:divBdr>
    </w:div>
    <w:div w:id="699012486">
      <w:bodyDiv w:val="1"/>
      <w:marLeft w:val="0"/>
      <w:marRight w:val="0"/>
      <w:marTop w:val="0"/>
      <w:marBottom w:val="0"/>
      <w:divBdr>
        <w:top w:val="none" w:sz="0" w:space="0" w:color="auto"/>
        <w:left w:val="none" w:sz="0" w:space="0" w:color="auto"/>
        <w:bottom w:val="none" w:sz="0" w:space="0" w:color="auto"/>
        <w:right w:val="none" w:sz="0" w:space="0" w:color="auto"/>
      </w:divBdr>
    </w:div>
    <w:div w:id="720129798">
      <w:bodyDiv w:val="1"/>
      <w:marLeft w:val="0"/>
      <w:marRight w:val="0"/>
      <w:marTop w:val="0"/>
      <w:marBottom w:val="0"/>
      <w:divBdr>
        <w:top w:val="none" w:sz="0" w:space="0" w:color="auto"/>
        <w:left w:val="none" w:sz="0" w:space="0" w:color="auto"/>
        <w:bottom w:val="none" w:sz="0" w:space="0" w:color="auto"/>
        <w:right w:val="none" w:sz="0" w:space="0" w:color="auto"/>
      </w:divBdr>
    </w:div>
    <w:div w:id="728848065">
      <w:bodyDiv w:val="1"/>
      <w:marLeft w:val="0"/>
      <w:marRight w:val="0"/>
      <w:marTop w:val="0"/>
      <w:marBottom w:val="0"/>
      <w:divBdr>
        <w:top w:val="none" w:sz="0" w:space="0" w:color="auto"/>
        <w:left w:val="none" w:sz="0" w:space="0" w:color="auto"/>
        <w:bottom w:val="none" w:sz="0" w:space="0" w:color="auto"/>
        <w:right w:val="none" w:sz="0" w:space="0" w:color="auto"/>
      </w:divBdr>
    </w:div>
    <w:div w:id="731805611">
      <w:bodyDiv w:val="1"/>
      <w:marLeft w:val="0"/>
      <w:marRight w:val="0"/>
      <w:marTop w:val="0"/>
      <w:marBottom w:val="0"/>
      <w:divBdr>
        <w:top w:val="none" w:sz="0" w:space="0" w:color="auto"/>
        <w:left w:val="none" w:sz="0" w:space="0" w:color="auto"/>
        <w:bottom w:val="none" w:sz="0" w:space="0" w:color="auto"/>
        <w:right w:val="none" w:sz="0" w:space="0" w:color="auto"/>
      </w:divBdr>
    </w:div>
    <w:div w:id="758647397">
      <w:bodyDiv w:val="1"/>
      <w:marLeft w:val="0"/>
      <w:marRight w:val="0"/>
      <w:marTop w:val="0"/>
      <w:marBottom w:val="0"/>
      <w:divBdr>
        <w:top w:val="none" w:sz="0" w:space="0" w:color="auto"/>
        <w:left w:val="none" w:sz="0" w:space="0" w:color="auto"/>
        <w:bottom w:val="none" w:sz="0" w:space="0" w:color="auto"/>
        <w:right w:val="none" w:sz="0" w:space="0" w:color="auto"/>
      </w:divBdr>
    </w:div>
    <w:div w:id="776295397">
      <w:bodyDiv w:val="1"/>
      <w:marLeft w:val="0"/>
      <w:marRight w:val="0"/>
      <w:marTop w:val="0"/>
      <w:marBottom w:val="0"/>
      <w:divBdr>
        <w:top w:val="none" w:sz="0" w:space="0" w:color="auto"/>
        <w:left w:val="none" w:sz="0" w:space="0" w:color="auto"/>
        <w:bottom w:val="none" w:sz="0" w:space="0" w:color="auto"/>
        <w:right w:val="none" w:sz="0" w:space="0" w:color="auto"/>
      </w:divBdr>
    </w:div>
    <w:div w:id="777261701">
      <w:bodyDiv w:val="1"/>
      <w:marLeft w:val="0"/>
      <w:marRight w:val="0"/>
      <w:marTop w:val="0"/>
      <w:marBottom w:val="0"/>
      <w:divBdr>
        <w:top w:val="none" w:sz="0" w:space="0" w:color="auto"/>
        <w:left w:val="none" w:sz="0" w:space="0" w:color="auto"/>
        <w:bottom w:val="none" w:sz="0" w:space="0" w:color="auto"/>
        <w:right w:val="none" w:sz="0" w:space="0" w:color="auto"/>
      </w:divBdr>
    </w:div>
    <w:div w:id="781799293">
      <w:bodyDiv w:val="1"/>
      <w:marLeft w:val="0"/>
      <w:marRight w:val="0"/>
      <w:marTop w:val="0"/>
      <w:marBottom w:val="0"/>
      <w:divBdr>
        <w:top w:val="none" w:sz="0" w:space="0" w:color="auto"/>
        <w:left w:val="none" w:sz="0" w:space="0" w:color="auto"/>
        <w:bottom w:val="none" w:sz="0" w:space="0" w:color="auto"/>
        <w:right w:val="none" w:sz="0" w:space="0" w:color="auto"/>
      </w:divBdr>
    </w:div>
    <w:div w:id="784926996">
      <w:bodyDiv w:val="1"/>
      <w:marLeft w:val="0"/>
      <w:marRight w:val="0"/>
      <w:marTop w:val="0"/>
      <w:marBottom w:val="0"/>
      <w:divBdr>
        <w:top w:val="none" w:sz="0" w:space="0" w:color="auto"/>
        <w:left w:val="none" w:sz="0" w:space="0" w:color="auto"/>
        <w:bottom w:val="none" w:sz="0" w:space="0" w:color="auto"/>
        <w:right w:val="none" w:sz="0" w:space="0" w:color="auto"/>
      </w:divBdr>
    </w:div>
    <w:div w:id="815533701">
      <w:bodyDiv w:val="1"/>
      <w:marLeft w:val="0"/>
      <w:marRight w:val="0"/>
      <w:marTop w:val="0"/>
      <w:marBottom w:val="0"/>
      <w:divBdr>
        <w:top w:val="none" w:sz="0" w:space="0" w:color="auto"/>
        <w:left w:val="none" w:sz="0" w:space="0" w:color="auto"/>
        <w:bottom w:val="none" w:sz="0" w:space="0" w:color="auto"/>
        <w:right w:val="none" w:sz="0" w:space="0" w:color="auto"/>
      </w:divBdr>
    </w:div>
    <w:div w:id="823132537">
      <w:bodyDiv w:val="1"/>
      <w:marLeft w:val="0"/>
      <w:marRight w:val="0"/>
      <w:marTop w:val="0"/>
      <w:marBottom w:val="0"/>
      <w:divBdr>
        <w:top w:val="none" w:sz="0" w:space="0" w:color="auto"/>
        <w:left w:val="none" w:sz="0" w:space="0" w:color="auto"/>
        <w:bottom w:val="none" w:sz="0" w:space="0" w:color="auto"/>
        <w:right w:val="none" w:sz="0" w:space="0" w:color="auto"/>
      </w:divBdr>
    </w:div>
    <w:div w:id="826556235">
      <w:bodyDiv w:val="1"/>
      <w:marLeft w:val="0"/>
      <w:marRight w:val="0"/>
      <w:marTop w:val="0"/>
      <w:marBottom w:val="0"/>
      <w:divBdr>
        <w:top w:val="none" w:sz="0" w:space="0" w:color="auto"/>
        <w:left w:val="none" w:sz="0" w:space="0" w:color="auto"/>
        <w:bottom w:val="none" w:sz="0" w:space="0" w:color="auto"/>
        <w:right w:val="none" w:sz="0" w:space="0" w:color="auto"/>
      </w:divBdr>
    </w:div>
    <w:div w:id="842745366">
      <w:bodyDiv w:val="1"/>
      <w:marLeft w:val="0"/>
      <w:marRight w:val="0"/>
      <w:marTop w:val="0"/>
      <w:marBottom w:val="0"/>
      <w:divBdr>
        <w:top w:val="none" w:sz="0" w:space="0" w:color="auto"/>
        <w:left w:val="none" w:sz="0" w:space="0" w:color="auto"/>
        <w:bottom w:val="none" w:sz="0" w:space="0" w:color="auto"/>
        <w:right w:val="none" w:sz="0" w:space="0" w:color="auto"/>
      </w:divBdr>
    </w:div>
    <w:div w:id="843932345">
      <w:bodyDiv w:val="1"/>
      <w:marLeft w:val="0"/>
      <w:marRight w:val="0"/>
      <w:marTop w:val="0"/>
      <w:marBottom w:val="0"/>
      <w:divBdr>
        <w:top w:val="none" w:sz="0" w:space="0" w:color="auto"/>
        <w:left w:val="none" w:sz="0" w:space="0" w:color="auto"/>
        <w:bottom w:val="none" w:sz="0" w:space="0" w:color="auto"/>
        <w:right w:val="none" w:sz="0" w:space="0" w:color="auto"/>
      </w:divBdr>
    </w:div>
    <w:div w:id="859777499">
      <w:bodyDiv w:val="1"/>
      <w:marLeft w:val="0"/>
      <w:marRight w:val="0"/>
      <w:marTop w:val="0"/>
      <w:marBottom w:val="0"/>
      <w:divBdr>
        <w:top w:val="none" w:sz="0" w:space="0" w:color="auto"/>
        <w:left w:val="none" w:sz="0" w:space="0" w:color="auto"/>
        <w:bottom w:val="none" w:sz="0" w:space="0" w:color="auto"/>
        <w:right w:val="none" w:sz="0" w:space="0" w:color="auto"/>
      </w:divBdr>
    </w:div>
    <w:div w:id="862786765">
      <w:bodyDiv w:val="1"/>
      <w:marLeft w:val="0"/>
      <w:marRight w:val="0"/>
      <w:marTop w:val="0"/>
      <w:marBottom w:val="0"/>
      <w:divBdr>
        <w:top w:val="none" w:sz="0" w:space="0" w:color="auto"/>
        <w:left w:val="none" w:sz="0" w:space="0" w:color="auto"/>
        <w:bottom w:val="none" w:sz="0" w:space="0" w:color="auto"/>
        <w:right w:val="none" w:sz="0" w:space="0" w:color="auto"/>
      </w:divBdr>
    </w:div>
    <w:div w:id="871845392">
      <w:bodyDiv w:val="1"/>
      <w:marLeft w:val="0"/>
      <w:marRight w:val="0"/>
      <w:marTop w:val="0"/>
      <w:marBottom w:val="0"/>
      <w:divBdr>
        <w:top w:val="none" w:sz="0" w:space="0" w:color="auto"/>
        <w:left w:val="none" w:sz="0" w:space="0" w:color="auto"/>
        <w:bottom w:val="none" w:sz="0" w:space="0" w:color="auto"/>
        <w:right w:val="none" w:sz="0" w:space="0" w:color="auto"/>
      </w:divBdr>
    </w:div>
    <w:div w:id="892086640">
      <w:bodyDiv w:val="1"/>
      <w:marLeft w:val="0"/>
      <w:marRight w:val="0"/>
      <w:marTop w:val="0"/>
      <w:marBottom w:val="0"/>
      <w:divBdr>
        <w:top w:val="none" w:sz="0" w:space="0" w:color="auto"/>
        <w:left w:val="none" w:sz="0" w:space="0" w:color="auto"/>
        <w:bottom w:val="none" w:sz="0" w:space="0" w:color="auto"/>
        <w:right w:val="none" w:sz="0" w:space="0" w:color="auto"/>
      </w:divBdr>
    </w:div>
    <w:div w:id="905803458">
      <w:bodyDiv w:val="1"/>
      <w:marLeft w:val="0"/>
      <w:marRight w:val="0"/>
      <w:marTop w:val="0"/>
      <w:marBottom w:val="0"/>
      <w:divBdr>
        <w:top w:val="none" w:sz="0" w:space="0" w:color="auto"/>
        <w:left w:val="none" w:sz="0" w:space="0" w:color="auto"/>
        <w:bottom w:val="none" w:sz="0" w:space="0" w:color="auto"/>
        <w:right w:val="none" w:sz="0" w:space="0" w:color="auto"/>
      </w:divBdr>
    </w:div>
    <w:div w:id="908610710">
      <w:bodyDiv w:val="1"/>
      <w:marLeft w:val="0"/>
      <w:marRight w:val="0"/>
      <w:marTop w:val="0"/>
      <w:marBottom w:val="0"/>
      <w:divBdr>
        <w:top w:val="none" w:sz="0" w:space="0" w:color="auto"/>
        <w:left w:val="none" w:sz="0" w:space="0" w:color="auto"/>
        <w:bottom w:val="none" w:sz="0" w:space="0" w:color="auto"/>
        <w:right w:val="none" w:sz="0" w:space="0" w:color="auto"/>
      </w:divBdr>
    </w:div>
    <w:div w:id="931091702">
      <w:bodyDiv w:val="1"/>
      <w:marLeft w:val="0"/>
      <w:marRight w:val="0"/>
      <w:marTop w:val="0"/>
      <w:marBottom w:val="0"/>
      <w:divBdr>
        <w:top w:val="none" w:sz="0" w:space="0" w:color="auto"/>
        <w:left w:val="none" w:sz="0" w:space="0" w:color="auto"/>
        <w:bottom w:val="none" w:sz="0" w:space="0" w:color="auto"/>
        <w:right w:val="none" w:sz="0" w:space="0" w:color="auto"/>
      </w:divBdr>
    </w:div>
    <w:div w:id="932322275">
      <w:bodyDiv w:val="1"/>
      <w:marLeft w:val="0"/>
      <w:marRight w:val="0"/>
      <w:marTop w:val="0"/>
      <w:marBottom w:val="0"/>
      <w:divBdr>
        <w:top w:val="none" w:sz="0" w:space="0" w:color="auto"/>
        <w:left w:val="none" w:sz="0" w:space="0" w:color="auto"/>
        <w:bottom w:val="none" w:sz="0" w:space="0" w:color="auto"/>
        <w:right w:val="none" w:sz="0" w:space="0" w:color="auto"/>
      </w:divBdr>
    </w:div>
    <w:div w:id="934510347">
      <w:bodyDiv w:val="1"/>
      <w:marLeft w:val="0"/>
      <w:marRight w:val="0"/>
      <w:marTop w:val="0"/>
      <w:marBottom w:val="0"/>
      <w:divBdr>
        <w:top w:val="none" w:sz="0" w:space="0" w:color="auto"/>
        <w:left w:val="none" w:sz="0" w:space="0" w:color="auto"/>
        <w:bottom w:val="none" w:sz="0" w:space="0" w:color="auto"/>
        <w:right w:val="none" w:sz="0" w:space="0" w:color="auto"/>
      </w:divBdr>
    </w:div>
    <w:div w:id="940450933">
      <w:bodyDiv w:val="1"/>
      <w:marLeft w:val="0"/>
      <w:marRight w:val="0"/>
      <w:marTop w:val="0"/>
      <w:marBottom w:val="0"/>
      <w:divBdr>
        <w:top w:val="none" w:sz="0" w:space="0" w:color="auto"/>
        <w:left w:val="none" w:sz="0" w:space="0" w:color="auto"/>
        <w:bottom w:val="none" w:sz="0" w:space="0" w:color="auto"/>
        <w:right w:val="none" w:sz="0" w:space="0" w:color="auto"/>
      </w:divBdr>
    </w:div>
    <w:div w:id="952054935">
      <w:bodyDiv w:val="1"/>
      <w:marLeft w:val="0"/>
      <w:marRight w:val="0"/>
      <w:marTop w:val="0"/>
      <w:marBottom w:val="0"/>
      <w:divBdr>
        <w:top w:val="none" w:sz="0" w:space="0" w:color="auto"/>
        <w:left w:val="none" w:sz="0" w:space="0" w:color="auto"/>
        <w:bottom w:val="none" w:sz="0" w:space="0" w:color="auto"/>
        <w:right w:val="none" w:sz="0" w:space="0" w:color="auto"/>
      </w:divBdr>
    </w:div>
    <w:div w:id="956522170">
      <w:bodyDiv w:val="1"/>
      <w:marLeft w:val="0"/>
      <w:marRight w:val="0"/>
      <w:marTop w:val="0"/>
      <w:marBottom w:val="0"/>
      <w:divBdr>
        <w:top w:val="none" w:sz="0" w:space="0" w:color="auto"/>
        <w:left w:val="none" w:sz="0" w:space="0" w:color="auto"/>
        <w:bottom w:val="none" w:sz="0" w:space="0" w:color="auto"/>
        <w:right w:val="none" w:sz="0" w:space="0" w:color="auto"/>
      </w:divBdr>
    </w:div>
    <w:div w:id="958950678">
      <w:bodyDiv w:val="1"/>
      <w:marLeft w:val="0"/>
      <w:marRight w:val="0"/>
      <w:marTop w:val="0"/>
      <w:marBottom w:val="0"/>
      <w:divBdr>
        <w:top w:val="none" w:sz="0" w:space="0" w:color="auto"/>
        <w:left w:val="none" w:sz="0" w:space="0" w:color="auto"/>
        <w:bottom w:val="none" w:sz="0" w:space="0" w:color="auto"/>
        <w:right w:val="none" w:sz="0" w:space="0" w:color="auto"/>
      </w:divBdr>
    </w:div>
    <w:div w:id="965162457">
      <w:bodyDiv w:val="1"/>
      <w:marLeft w:val="0"/>
      <w:marRight w:val="0"/>
      <w:marTop w:val="0"/>
      <w:marBottom w:val="0"/>
      <w:divBdr>
        <w:top w:val="none" w:sz="0" w:space="0" w:color="auto"/>
        <w:left w:val="none" w:sz="0" w:space="0" w:color="auto"/>
        <w:bottom w:val="none" w:sz="0" w:space="0" w:color="auto"/>
        <w:right w:val="none" w:sz="0" w:space="0" w:color="auto"/>
      </w:divBdr>
    </w:div>
    <w:div w:id="970089259">
      <w:bodyDiv w:val="1"/>
      <w:marLeft w:val="0"/>
      <w:marRight w:val="0"/>
      <w:marTop w:val="0"/>
      <w:marBottom w:val="0"/>
      <w:divBdr>
        <w:top w:val="none" w:sz="0" w:space="0" w:color="auto"/>
        <w:left w:val="none" w:sz="0" w:space="0" w:color="auto"/>
        <w:bottom w:val="none" w:sz="0" w:space="0" w:color="auto"/>
        <w:right w:val="none" w:sz="0" w:space="0" w:color="auto"/>
      </w:divBdr>
    </w:div>
    <w:div w:id="992484210">
      <w:bodyDiv w:val="1"/>
      <w:marLeft w:val="0"/>
      <w:marRight w:val="0"/>
      <w:marTop w:val="0"/>
      <w:marBottom w:val="0"/>
      <w:divBdr>
        <w:top w:val="none" w:sz="0" w:space="0" w:color="auto"/>
        <w:left w:val="none" w:sz="0" w:space="0" w:color="auto"/>
        <w:bottom w:val="none" w:sz="0" w:space="0" w:color="auto"/>
        <w:right w:val="none" w:sz="0" w:space="0" w:color="auto"/>
      </w:divBdr>
    </w:div>
    <w:div w:id="996767680">
      <w:bodyDiv w:val="1"/>
      <w:marLeft w:val="0"/>
      <w:marRight w:val="0"/>
      <w:marTop w:val="0"/>
      <w:marBottom w:val="0"/>
      <w:divBdr>
        <w:top w:val="none" w:sz="0" w:space="0" w:color="auto"/>
        <w:left w:val="none" w:sz="0" w:space="0" w:color="auto"/>
        <w:bottom w:val="none" w:sz="0" w:space="0" w:color="auto"/>
        <w:right w:val="none" w:sz="0" w:space="0" w:color="auto"/>
      </w:divBdr>
    </w:div>
    <w:div w:id="1006203437">
      <w:bodyDiv w:val="1"/>
      <w:marLeft w:val="0"/>
      <w:marRight w:val="0"/>
      <w:marTop w:val="0"/>
      <w:marBottom w:val="0"/>
      <w:divBdr>
        <w:top w:val="none" w:sz="0" w:space="0" w:color="auto"/>
        <w:left w:val="none" w:sz="0" w:space="0" w:color="auto"/>
        <w:bottom w:val="none" w:sz="0" w:space="0" w:color="auto"/>
        <w:right w:val="none" w:sz="0" w:space="0" w:color="auto"/>
      </w:divBdr>
    </w:div>
    <w:div w:id="1006327682">
      <w:bodyDiv w:val="1"/>
      <w:marLeft w:val="0"/>
      <w:marRight w:val="0"/>
      <w:marTop w:val="0"/>
      <w:marBottom w:val="0"/>
      <w:divBdr>
        <w:top w:val="none" w:sz="0" w:space="0" w:color="auto"/>
        <w:left w:val="none" w:sz="0" w:space="0" w:color="auto"/>
        <w:bottom w:val="none" w:sz="0" w:space="0" w:color="auto"/>
        <w:right w:val="none" w:sz="0" w:space="0" w:color="auto"/>
      </w:divBdr>
    </w:div>
    <w:div w:id="1012798613">
      <w:bodyDiv w:val="1"/>
      <w:marLeft w:val="0"/>
      <w:marRight w:val="0"/>
      <w:marTop w:val="0"/>
      <w:marBottom w:val="0"/>
      <w:divBdr>
        <w:top w:val="none" w:sz="0" w:space="0" w:color="auto"/>
        <w:left w:val="none" w:sz="0" w:space="0" w:color="auto"/>
        <w:bottom w:val="none" w:sz="0" w:space="0" w:color="auto"/>
        <w:right w:val="none" w:sz="0" w:space="0" w:color="auto"/>
      </w:divBdr>
    </w:div>
    <w:div w:id="1018234786">
      <w:bodyDiv w:val="1"/>
      <w:marLeft w:val="0"/>
      <w:marRight w:val="0"/>
      <w:marTop w:val="0"/>
      <w:marBottom w:val="0"/>
      <w:divBdr>
        <w:top w:val="none" w:sz="0" w:space="0" w:color="auto"/>
        <w:left w:val="none" w:sz="0" w:space="0" w:color="auto"/>
        <w:bottom w:val="none" w:sz="0" w:space="0" w:color="auto"/>
        <w:right w:val="none" w:sz="0" w:space="0" w:color="auto"/>
      </w:divBdr>
    </w:div>
    <w:div w:id="1037202679">
      <w:bodyDiv w:val="1"/>
      <w:marLeft w:val="0"/>
      <w:marRight w:val="0"/>
      <w:marTop w:val="0"/>
      <w:marBottom w:val="0"/>
      <w:divBdr>
        <w:top w:val="none" w:sz="0" w:space="0" w:color="auto"/>
        <w:left w:val="none" w:sz="0" w:space="0" w:color="auto"/>
        <w:bottom w:val="none" w:sz="0" w:space="0" w:color="auto"/>
        <w:right w:val="none" w:sz="0" w:space="0" w:color="auto"/>
      </w:divBdr>
    </w:div>
    <w:div w:id="1045325171">
      <w:bodyDiv w:val="1"/>
      <w:marLeft w:val="0"/>
      <w:marRight w:val="0"/>
      <w:marTop w:val="0"/>
      <w:marBottom w:val="0"/>
      <w:divBdr>
        <w:top w:val="none" w:sz="0" w:space="0" w:color="auto"/>
        <w:left w:val="none" w:sz="0" w:space="0" w:color="auto"/>
        <w:bottom w:val="none" w:sz="0" w:space="0" w:color="auto"/>
        <w:right w:val="none" w:sz="0" w:space="0" w:color="auto"/>
      </w:divBdr>
    </w:div>
    <w:div w:id="1051198581">
      <w:bodyDiv w:val="1"/>
      <w:marLeft w:val="0"/>
      <w:marRight w:val="0"/>
      <w:marTop w:val="0"/>
      <w:marBottom w:val="0"/>
      <w:divBdr>
        <w:top w:val="none" w:sz="0" w:space="0" w:color="auto"/>
        <w:left w:val="none" w:sz="0" w:space="0" w:color="auto"/>
        <w:bottom w:val="none" w:sz="0" w:space="0" w:color="auto"/>
        <w:right w:val="none" w:sz="0" w:space="0" w:color="auto"/>
      </w:divBdr>
    </w:div>
    <w:div w:id="1056317697">
      <w:bodyDiv w:val="1"/>
      <w:marLeft w:val="0"/>
      <w:marRight w:val="0"/>
      <w:marTop w:val="0"/>
      <w:marBottom w:val="0"/>
      <w:divBdr>
        <w:top w:val="none" w:sz="0" w:space="0" w:color="auto"/>
        <w:left w:val="none" w:sz="0" w:space="0" w:color="auto"/>
        <w:bottom w:val="none" w:sz="0" w:space="0" w:color="auto"/>
        <w:right w:val="none" w:sz="0" w:space="0" w:color="auto"/>
      </w:divBdr>
    </w:div>
    <w:div w:id="1061947560">
      <w:bodyDiv w:val="1"/>
      <w:marLeft w:val="0"/>
      <w:marRight w:val="0"/>
      <w:marTop w:val="0"/>
      <w:marBottom w:val="0"/>
      <w:divBdr>
        <w:top w:val="none" w:sz="0" w:space="0" w:color="auto"/>
        <w:left w:val="none" w:sz="0" w:space="0" w:color="auto"/>
        <w:bottom w:val="none" w:sz="0" w:space="0" w:color="auto"/>
        <w:right w:val="none" w:sz="0" w:space="0" w:color="auto"/>
      </w:divBdr>
    </w:div>
    <w:div w:id="1106345122">
      <w:bodyDiv w:val="1"/>
      <w:marLeft w:val="0"/>
      <w:marRight w:val="0"/>
      <w:marTop w:val="0"/>
      <w:marBottom w:val="0"/>
      <w:divBdr>
        <w:top w:val="none" w:sz="0" w:space="0" w:color="auto"/>
        <w:left w:val="none" w:sz="0" w:space="0" w:color="auto"/>
        <w:bottom w:val="none" w:sz="0" w:space="0" w:color="auto"/>
        <w:right w:val="none" w:sz="0" w:space="0" w:color="auto"/>
      </w:divBdr>
    </w:div>
    <w:div w:id="1113280487">
      <w:bodyDiv w:val="1"/>
      <w:marLeft w:val="0"/>
      <w:marRight w:val="0"/>
      <w:marTop w:val="0"/>
      <w:marBottom w:val="0"/>
      <w:divBdr>
        <w:top w:val="none" w:sz="0" w:space="0" w:color="auto"/>
        <w:left w:val="none" w:sz="0" w:space="0" w:color="auto"/>
        <w:bottom w:val="none" w:sz="0" w:space="0" w:color="auto"/>
        <w:right w:val="none" w:sz="0" w:space="0" w:color="auto"/>
      </w:divBdr>
    </w:div>
    <w:div w:id="1115639219">
      <w:bodyDiv w:val="1"/>
      <w:marLeft w:val="0"/>
      <w:marRight w:val="0"/>
      <w:marTop w:val="0"/>
      <w:marBottom w:val="0"/>
      <w:divBdr>
        <w:top w:val="none" w:sz="0" w:space="0" w:color="auto"/>
        <w:left w:val="none" w:sz="0" w:space="0" w:color="auto"/>
        <w:bottom w:val="none" w:sz="0" w:space="0" w:color="auto"/>
        <w:right w:val="none" w:sz="0" w:space="0" w:color="auto"/>
      </w:divBdr>
    </w:div>
    <w:div w:id="1116632388">
      <w:bodyDiv w:val="1"/>
      <w:marLeft w:val="0"/>
      <w:marRight w:val="0"/>
      <w:marTop w:val="0"/>
      <w:marBottom w:val="0"/>
      <w:divBdr>
        <w:top w:val="none" w:sz="0" w:space="0" w:color="auto"/>
        <w:left w:val="none" w:sz="0" w:space="0" w:color="auto"/>
        <w:bottom w:val="none" w:sz="0" w:space="0" w:color="auto"/>
        <w:right w:val="none" w:sz="0" w:space="0" w:color="auto"/>
      </w:divBdr>
    </w:div>
    <w:div w:id="1119296604">
      <w:bodyDiv w:val="1"/>
      <w:marLeft w:val="0"/>
      <w:marRight w:val="0"/>
      <w:marTop w:val="0"/>
      <w:marBottom w:val="0"/>
      <w:divBdr>
        <w:top w:val="none" w:sz="0" w:space="0" w:color="auto"/>
        <w:left w:val="none" w:sz="0" w:space="0" w:color="auto"/>
        <w:bottom w:val="none" w:sz="0" w:space="0" w:color="auto"/>
        <w:right w:val="none" w:sz="0" w:space="0" w:color="auto"/>
      </w:divBdr>
    </w:div>
    <w:div w:id="1138573480">
      <w:bodyDiv w:val="1"/>
      <w:marLeft w:val="0"/>
      <w:marRight w:val="0"/>
      <w:marTop w:val="0"/>
      <w:marBottom w:val="0"/>
      <w:divBdr>
        <w:top w:val="none" w:sz="0" w:space="0" w:color="auto"/>
        <w:left w:val="none" w:sz="0" w:space="0" w:color="auto"/>
        <w:bottom w:val="none" w:sz="0" w:space="0" w:color="auto"/>
        <w:right w:val="none" w:sz="0" w:space="0" w:color="auto"/>
      </w:divBdr>
    </w:div>
    <w:div w:id="1141001676">
      <w:bodyDiv w:val="1"/>
      <w:marLeft w:val="0"/>
      <w:marRight w:val="0"/>
      <w:marTop w:val="0"/>
      <w:marBottom w:val="0"/>
      <w:divBdr>
        <w:top w:val="none" w:sz="0" w:space="0" w:color="auto"/>
        <w:left w:val="none" w:sz="0" w:space="0" w:color="auto"/>
        <w:bottom w:val="none" w:sz="0" w:space="0" w:color="auto"/>
        <w:right w:val="none" w:sz="0" w:space="0" w:color="auto"/>
      </w:divBdr>
    </w:div>
    <w:div w:id="1150169766">
      <w:bodyDiv w:val="1"/>
      <w:marLeft w:val="0"/>
      <w:marRight w:val="0"/>
      <w:marTop w:val="0"/>
      <w:marBottom w:val="0"/>
      <w:divBdr>
        <w:top w:val="none" w:sz="0" w:space="0" w:color="auto"/>
        <w:left w:val="none" w:sz="0" w:space="0" w:color="auto"/>
        <w:bottom w:val="none" w:sz="0" w:space="0" w:color="auto"/>
        <w:right w:val="none" w:sz="0" w:space="0" w:color="auto"/>
      </w:divBdr>
    </w:div>
    <w:div w:id="1151218468">
      <w:bodyDiv w:val="1"/>
      <w:marLeft w:val="0"/>
      <w:marRight w:val="0"/>
      <w:marTop w:val="0"/>
      <w:marBottom w:val="0"/>
      <w:divBdr>
        <w:top w:val="none" w:sz="0" w:space="0" w:color="auto"/>
        <w:left w:val="none" w:sz="0" w:space="0" w:color="auto"/>
        <w:bottom w:val="none" w:sz="0" w:space="0" w:color="auto"/>
        <w:right w:val="none" w:sz="0" w:space="0" w:color="auto"/>
      </w:divBdr>
    </w:div>
    <w:div w:id="1158419758">
      <w:bodyDiv w:val="1"/>
      <w:marLeft w:val="0"/>
      <w:marRight w:val="0"/>
      <w:marTop w:val="0"/>
      <w:marBottom w:val="0"/>
      <w:divBdr>
        <w:top w:val="none" w:sz="0" w:space="0" w:color="auto"/>
        <w:left w:val="none" w:sz="0" w:space="0" w:color="auto"/>
        <w:bottom w:val="none" w:sz="0" w:space="0" w:color="auto"/>
        <w:right w:val="none" w:sz="0" w:space="0" w:color="auto"/>
      </w:divBdr>
    </w:div>
    <w:div w:id="1171604862">
      <w:bodyDiv w:val="1"/>
      <w:marLeft w:val="0"/>
      <w:marRight w:val="0"/>
      <w:marTop w:val="0"/>
      <w:marBottom w:val="0"/>
      <w:divBdr>
        <w:top w:val="none" w:sz="0" w:space="0" w:color="auto"/>
        <w:left w:val="none" w:sz="0" w:space="0" w:color="auto"/>
        <w:bottom w:val="none" w:sz="0" w:space="0" w:color="auto"/>
        <w:right w:val="none" w:sz="0" w:space="0" w:color="auto"/>
      </w:divBdr>
    </w:div>
    <w:div w:id="1176191438">
      <w:bodyDiv w:val="1"/>
      <w:marLeft w:val="0"/>
      <w:marRight w:val="0"/>
      <w:marTop w:val="0"/>
      <w:marBottom w:val="0"/>
      <w:divBdr>
        <w:top w:val="none" w:sz="0" w:space="0" w:color="auto"/>
        <w:left w:val="none" w:sz="0" w:space="0" w:color="auto"/>
        <w:bottom w:val="none" w:sz="0" w:space="0" w:color="auto"/>
        <w:right w:val="none" w:sz="0" w:space="0" w:color="auto"/>
      </w:divBdr>
    </w:div>
    <w:div w:id="1179546778">
      <w:bodyDiv w:val="1"/>
      <w:marLeft w:val="0"/>
      <w:marRight w:val="0"/>
      <w:marTop w:val="0"/>
      <w:marBottom w:val="0"/>
      <w:divBdr>
        <w:top w:val="none" w:sz="0" w:space="0" w:color="auto"/>
        <w:left w:val="none" w:sz="0" w:space="0" w:color="auto"/>
        <w:bottom w:val="none" w:sz="0" w:space="0" w:color="auto"/>
        <w:right w:val="none" w:sz="0" w:space="0" w:color="auto"/>
      </w:divBdr>
    </w:div>
    <w:div w:id="1186476848">
      <w:bodyDiv w:val="1"/>
      <w:marLeft w:val="0"/>
      <w:marRight w:val="0"/>
      <w:marTop w:val="0"/>
      <w:marBottom w:val="0"/>
      <w:divBdr>
        <w:top w:val="none" w:sz="0" w:space="0" w:color="auto"/>
        <w:left w:val="none" w:sz="0" w:space="0" w:color="auto"/>
        <w:bottom w:val="none" w:sz="0" w:space="0" w:color="auto"/>
        <w:right w:val="none" w:sz="0" w:space="0" w:color="auto"/>
      </w:divBdr>
    </w:div>
    <w:div w:id="1190682899">
      <w:bodyDiv w:val="1"/>
      <w:marLeft w:val="0"/>
      <w:marRight w:val="0"/>
      <w:marTop w:val="0"/>
      <w:marBottom w:val="0"/>
      <w:divBdr>
        <w:top w:val="none" w:sz="0" w:space="0" w:color="auto"/>
        <w:left w:val="none" w:sz="0" w:space="0" w:color="auto"/>
        <w:bottom w:val="none" w:sz="0" w:space="0" w:color="auto"/>
        <w:right w:val="none" w:sz="0" w:space="0" w:color="auto"/>
      </w:divBdr>
    </w:div>
    <w:div w:id="1191340332">
      <w:bodyDiv w:val="1"/>
      <w:marLeft w:val="0"/>
      <w:marRight w:val="0"/>
      <w:marTop w:val="0"/>
      <w:marBottom w:val="0"/>
      <w:divBdr>
        <w:top w:val="none" w:sz="0" w:space="0" w:color="auto"/>
        <w:left w:val="none" w:sz="0" w:space="0" w:color="auto"/>
        <w:bottom w:val="none" w:sz="0" w:space="0" w:color="auto"/>
        <w:right w:val="none" w:sz="0" w:space="0" w:color="auto"/>
      </w:divBdr>
    </w:div>
    <w:div w:id="1207714704">
      <w:bodyDiv w:val="1"/>
      <w:marLeft w:val="0"/>
      <w:marRight w:val="0"/>
      <w:marTop w:val="0"/>
      <w:marBottom w:val="0"/>
      <w:divBdr>
        <w:top w:val="none" w:sz="0" w:space="0" w:color="auto"/>
        <w:left w:val="none" w:sz="0" w:space="0" w:color="auto"/>
        <w:bottom w:val="none" w:sz="0" w:space="0" w:color="auto"/>
        <w:right w:val="none" w:sz="0" w:space="0" w:color="auto"/>
      </w:divBdr>
    </w:div>
    <w:div w:id="1216549829">
      <w:bodyDiv w:val="1"/>
      <w:marLeft w:val="0"/>
      <w:marRight w:val="0"/>
      <w:marTop w:val="0"/>
      <w:marBottom w:val="0"/>
      <w:divBdr>
        <w:top w:val="none" w:sz="0" w:space="0" w:color="auto"/>
        <w:left w:val="none" w:sz="0" w:space="0" w:color="auto"/>
        <w:bottom w:val="none" w:sz="0" w:space="0" w:color="auto"/>
        <w:right w:val="none" w:sz="0" w:space="0" w:color="auto"/>
      </w:divBdr>
    </w:div>
    <w:div w:id="1220479772">
      <w:bodyDiv w:val="1"/>
      <w:marLeft w:val="0"/>
      <w:marRight w:val="0"/>
      <w:marTop w:val="0"/>
      <w:marBottom w:val="0"/>
      <w:divBdr>
        <w:top w:val="none" w:sz="0" w:space="0" w:color="auto"/>
        <w:left w:val="none" w:sz="0" w:space="0" w:color="auto"/>
        <w:bottom w:val="none" w:sz="0" w:space="0" w:color="auto"/>
        <w:right w:val="none" w:sz="0" w:space="0" w:color="auto"/>
      </w:divBdr>
    </w:div>
    <w:div w:id="1225528374">
      <w:bodyDiv w:val="1"/>
      <w:marLeft w:val="0"/>
      <w:marRight w:val="0"/>
      <w:marTop w:val="0"/>
      <w:marBottom w:val="0"/>
      <w:divBdr>
        <w:top w:val="none" w:sz="0" w:space="0" w:color="auto"/>
        <w:left w:val="none" w:sz="0" w:space="0" w:color="auto"/>
        <w:bottom w:val="none" w:sz="0" w:space="0" w:color="auto"/>
        <w:right w:val="none" w:sz="0" w:space="0" w:color="auto"/>
      </w:divBdr>
    </w:div>
    <w:div w:id="1237398202">
      <w:bodyDiv w:val="1"/>
      <w:marLeft w:val="0"/>
      <w:marRight w:val="0"/>
      <w:marTop w:val="0"/>
      <w:marBottom w:val="0"/>
      <w:divBdr>
        <w:top w:val="none" w:sz="0" w:space="0" w:color="auto"/>
        <w:left w:val="none" w:sz="0" w:space="0" w:color="auto"/>
        <w:bottom w:val="none" w:sz="0" w:space="0" w:color="auto"/>
        <w:right w:val="none" w:sz="0" w:space="0" w:color="auto"/>
      </w:divBdr>
    </w:div>
    <w:div w:id="1240098214">
      <w:bodyDiv w:val="1"/>
      <w:marLeft w:val="0"/>
      <w:marRight w:val="0"/>
      <w:marTop w:val="0"/>
      <w:marBottom w:val="0"/>
      <w:divBdr>
        <w:top w:val="none" w:sz="0" w:space="0" w:color="auto"/>
        <w:left w:val="none" w:sz="0" w:space="0" w:color="auto"/>
        <w:bottom w:val="none" w:sz="0" w:space="0" w:color="auto"/>
        <w:right w:val="none" w:sz="0" w:space="0" w:color="auto"/>
      </w:divBdr>
    </w:div>
    <w:div w:id="1244223471">
      <w:bodyDiv w:val="1"/>
      <w:marLeft w:val="0"/>
      <w:marRight w:val="0"/>
      <w:marTop w:val="0"/>
      <w:marBottom w:val="0"/>
      <w:divBdr>
        <w:top w:val="none" w:sz="0" w:space="0" w:color="auto"/>
        <w:left w:val="none" w:sz="0" w:space="0" w:color="auto"/>
        <w:bottom w:val="none" w:sz="0" w:space="0" w:color="auto"/>
        <w:right w:val="none" w:sz="0" w:space="0" w:color="auto"/>
      </w:divBdr>
    </w:div>
    <w:div w:id="1256667338">
      <w:bodyDiv w:val="1"/>
      <w:marLeft w:val="0"/>
      <w:marRight w:val="0"/>
      <w:marTop w:val="0"/>
      <w:marBottom w:val="0"/>
      <w:divBdr>
        <w:top w:val="none" w:sz="0" w:space="0" w:color="auto"/>
        <w:left w:val="none" w:sz="0" w:space="0" w:color="auto"/>
        <w:bottom w:val="none" w:sz="0" w:space="0" w:color="auto"/>
        <w:right w:val="none" w:sz="0" w:space="0" w:color="auto"/>
      </w:divBdr>
    </w:div>
    <w:div w:id="1258563671">
      <w:bodyDiv w:val="1"/>
      <w:marLeft w:val="0"/>
      <w:marRight w:val="0"/>
      <w:marTop w:val="0"/>
      <w:marBottom w:val="0"/>
      <w:divBdr>
        <w:top w:val="none" w:sz="0" w:space="0" w:color="auto"/>
        <w:left w:val="none" w:sz="0" w:space="0" w:color="auto"/>
        <w:bottom w:val="none" w:sz="0" w:space="0" w:color="auto"/>
        <w:right w:val="none" w:sz="0" w:space="0" w:color="auto"/>
      </w:divBdr>
    </w:div>
    <w:div w:id="1260067197">
      <w:bodyDiv w:val="1"/>
      <w:marLeft w:val="0"/>
      <w:marRight w:val="0"/>
      <w:marTop w:val="0"/>
      <w:marBottom w:val="0"/>
      <w:divBdr>
        <w:top w:val="none" w:sz="0" w:space="0" w:color="auto"/>
        <w:left w:val="none" w:sz="0" w:space="0" w:color="auto"/>
        <w:bottom w:val="none" w:sz="0" w:space="0" w:color="auto"/>
        <w:right w:val="none" w:sz="0" w:space="0" w:color="auto"/>
      </w:divBdr>
    </w:div>
    <w:div w:id="1264921285">
      <w:bodyDiv w:val="1"/>
      <w:marLeft w:val="0"/>
      <w:marRight w:val="0"/>
      <w:marTop w:val="0"/>
      <w:marBottom w:val="0"/>
      <w:divBdr>
        <w:top w:val="none" w:sz="0" w:space="0" w:color="auto"/>
        <w:left w:val="none" w:sz="0" w:space="0" w:color="auto"/>
        <w:bottom w:val="none" w:sz="0" w:space="0" w:color="auto"/>
        <w:right w:val="none" w:sz="0" w:space="0" w:color="auto"/>
      </w:divBdr>
    </w:div>
    <w:div w:id="1265304522">
      <w:bodyDiv w:val="1"/>
      <w:marLeft w:val="0"/>
      <w:marRight w:val="0"/>
      <w:marTop w:val="0"/>
      <w:marBottom w:val="0"/>
      <w:divBdr>
        <w:top w:val="none" w:sz="0" w:space="0" w:color="auto"/>
        <w:left w:val="none" w:sz="0" w:space="0" w:color="auto"/>
        <w:bottom w:val="none" w:sz="0" w:space="0" w:color="auto"/>
        <w:right w:val="none" w:sz="0" w:space="0" w:color="auto"/>
      </w:divBdr>
    </w:div>
    <w:div w:id="1272398204">
      <w:bodyDiv w:val="1"/>
      <w:marLeft w:val="0"/>
      <w:marRight w:val="0"/>
      <w:marTop w:val="0"/>
      <w:marBottom w:val="0"/>
      <w:divBdr>
        <w:top w:val="none" w:sz="0" w:space="0" w:color="auto"/>
        <w:left w:val="none" w:sz="0" w:space="0" w:color="auto"/>
        <w:bottom w:val="none" w:sz="0" w:space="0" w:color="auto"/>
        <w:right w:val="none" w:sz="0" w:space="0" w:color="auto"/>
      </w:divBdr>
    </w:div>
    <w:div w:id="1276912926">
      <w:bodyDiv w:val="1"/>
      <w:marLeft w:val="0"/>
      <w:marRight w:val="0"/>
      <w:marTop w:val="0"/>
      <w:marBottom w:val="0"/>
      <w:divBdr>
        <w:top w:val="none" w:sz="0" w:space="0" w:color="auto"/>
        <w:left w:val="none" w:sz="0" w:space="0" w:color="auto"/>
        <w:bottom w:val="none" w:sz="0" w:space="0" w:color="auto"/>
        <w:right w:val="none" w:sz="0" w:space="0" w:color="auto"/>
      </w:divBdr>
    </w:div>
    <w:div w:id="1281260787">
      <w:bodyDiv w:val="1"/>
      <w:marLeft w:val="0"/>
      <w:marRight w:val="0"/>
      <w:marTop w:val="0"/>
      <w:marBottom w:val="0"/>
      <w:divBdr>
        <w:top w:val="none" w:sz="0" w:space="0" w:color="auto"/>
        <w:left w:val="none" w:sz="0" w:space="0" w:color="auto"/>
        <w:bottom w:val="none" w:sz="0" w:space="0" w:color="auto"/>
        <w:right w:val="none" w:sz="0" w:space="0" w:color="auto"/>
      </w:divBdr>
    </w:div>
    <w:div w:id="1292788659">
      <w:bodyDiv w:val="1"/>
      <w:marLeft w:val="0"/>
      <w:marRight w:val="0"/>
      <w:marTop w:val="0"/>
      <w:marBottom w:val="0"/>
      <w:divBdr>
        <w:top w:val="none" w:sz="0" w:space="0" w:color="auto"/>
        <w:left w:val="none" w:sz="0" w:space="0" w:color="auto"/>
        <w:bottom w:val="none" w:sz="0" w:space="0" w:color="auto"/>
        <w:right w:val="none" w:sz="0" w:space="0" w:color="auto"/>
      </w:divBdr>
    </w:div>
    <w:div w:id="1319916276">
      <w:bodyDiv w:val="1"/>
      <w:marLeft w:val="0"/>
      <w:marRight w:val="0"/>
      <w:marTop w:val="0"/>
      <w:marBottom w:val="0"/>
      <w:divBdr>
        <w:top w:val="none" w:sz="0" w:space="0" w:color="auto"/>
        <w:left w:val="none" w:sz="0" w:space="0" w:color="auto"/>
        <w:bottom w:val="none" w:sz="0" w:space="0" w:color="auto"/>
        <w:right w:val="none" w:sz="0" w:space="0" w:color="auto"/>
      </w:divBdr>
    </w:div>
    <w:div w:id="1326009918">
      <w:bodyDiv w:val="1"/>
      <w:marLeft w:val="0"/>
      <w:marRight w:val="0"/>
      <w:marTop w:val="0"/>
      <w:marBottom w:val="0"/>
      <w:divBdr>
        <w:top w:val="none" w:sz="0" w:space="0" w:color="auto"/>
        <w:left w:val="none" w:sz="0" w:space="0" w:color="auto"/>
        <w:bottom w:val="none" w:sz="0" w:space="0" w:color="auto"/>
        <w:right w:val="none" w:sz="0" w:space="0" w:color="auto"/>
      </w:divBdr>
    </w:div>
    <w:div w:id="1348286050">
      <w:bodyDiv w:val="1"/>
      <w:marLeft w:val="0"/>
      <w:marRight w:val="0"/>
      <w:marTop w:val="0"/>
      <w:marBottom w:val="0"/>
      <w:divBdr>
        <w:top w:val="none" w:sz="0" w:space="0" w:color="auto"/>
        <w:left w:val="none" w:sz="0" w:space="0" w:color="auto"/>
        <w:bottom w:val="none" w:sz="0" w:space="0" w:color="auto"/>
        <w:right w:val="none" w:sz="0" w:space="0" w:color="auto"/>
      </w:divBdr>
    </w:div>
    <w:div w:id="1363439922">
      <w:bodyDiv w:val="1"/>
      <w:marLeft w:val="0"/>
      <w:marRight w:val="0"/>
      <w:marTop w:val="0"/>
      <w:marBottom w:val="0"/>
      <w:divBdr>
        <w:top w:val="none" w:sz="0" w:space="0" w:color="auto"/>
        <w:left w:val="none" w:sz="0" w:space="0" w:color="auto"/>
        <w:bottom w:val="none" w:sz="0" w:space="0" w:color="auto"/>
        <w:right w:val="none" w:sz="0" w:space="0" w:color="auto"/>
      </w:divBdr>
    </w:div>
    <w:div w:id="1365983135">
      <w:bodyDiv w:val="1"/>
      <w:marLeft w:val="0"/>
      <w:marRight w:val="0"/>
      <w:marTop w:val="0"/>
      <w:marBottom w:val="0"/>
      <w:divBdr>
        <w:top w:val="none" w:sz="0" w:space="0" w:color="auto"/>
        <w:left w:val="none" w:sz="0" w:space="0" w:color="auto"/>
        <w:bottom w:val="none" w:sz="0" w:space="0" w:color="auto"/>
        <w:right w:val="none" w:sz="0" w:space="0" w:color="auto"/>
      </w:divBdr>
    </w:div>
    <w:div w:id="1367871716">
      <w:bodyDiv w:val="1"/>
      <w:marLeft w:val="0"/>
      <w:marRight w:val="0"/>
      <w:marTop w:val="0"/>
      <w:marBottom w:val="0"/>
      <w:divBdr>
        <w:top w:val="none" w:sz="0" w:space="0" w:color="auto"/>
        <w:left w:val="none" w:sz="0" w:space="0" w:color="auto"/>
        <w:bottom w:val="none" w:sz="0" w:space="0" w:color="auto"/>
        <w:right w:val="none" w:sz="0" w:space="0" w:color="auto"/>
      </w:divBdr>
    </w:div>
    <w:div w:id="1398090977">
      <w:bodyDiv w:val="1"/>
      <w:marLeft w:val="0"/>
      <w:marRight w:val="0"/>
      <w:marTop w:val="0"/>
      <w:marBottom w:val="0"/>
      <w:divBdr>
        <w:top w:val="none" w:sz="0" w:space="0" w:color="auto"/>
        <w:left w:val="none" w:sz="0" w:space="0" w:color="auto"/>
        <w:bottom w:val="none" w:sz="0" w:space="0" w:color="auto"/>
        <w:right w:val="none" w:sz="0" w:space="0" w:color="auto"/>
      </w:divBdr>
    </w:div>
    <w:div w:id="1413115099">
      <w:bodyDiv w:val="1"/>
      <w:marLeft w:val="0"/>
      <w:marRight w:val="0"/>
      <w:marTop w:val="0"/>
      <w:marBottom w:val="0"/>
      <w:divBdr>
        <w:top w:val="none" w:sz="0" w:space="0" w:color="auto"/>
        <w:left w:val="none" w:sz="0" w:space="0" w:color="auto"/>
        <w:bottom w:val="none" w:sz="0" w:space="0" w:color="auto"/>
        <w:right w:val="none" w:sz="0" w:space="0" w:color="auto"/>
      </w:divBdr>
    </w:div>
    <w:div w:id="1420831949">
      <w:bodyDiv w:val="1"/>
      <w:marLeft w:val="0"/>
      <w:marRight w:val="0"/>
      <w:marTop w:val="0"/>
      <w:marBottom w:val="0"/>
      <w:divBdr>
        <w:top w:val="none" w:sz="0" w:space="0" w:color="auto"/>
        <w:left w:val="none" w:sz="0" w:space="0" w:color="auto"/>
        <w:bottom w:val="none" w:sz="0" w:space="0" w:color="auto"/>
        <w:right w:val="none" w:sz="0" w:space="0" w:color="auto"/>
      </w:divBdr>
    </w:div>
    <w:div w:id="1431273460">
      <w:bodyDiv w:val="1"/>
      <w:marLeft w:val="0"/>
      <w:marRight w:val="0"/>
      <w:marTop w:val="0"/>
      <w:marBottom w:val="0"/>
      <w:divBdr>
        <w:top w:val="none" w:sz="0" w:space="0" w:color="auto"/>
        <w:left w:val="none" w:sz="0" w:space="0" w:color="auto"/>
        <w:bottom w:val="none" w:sz="0" w:space="0" w:color="auto"/>
        <w:right w:val="none" w:sz="0" w:space="0" w:color="auto"/>
      </w:divBdr>
    </w:div>
    <w:div w:id="1436637071">
      <w:bodyDiv w:val="1"/>
      <w:marLeft w:val="0"/>
      <w:marRight w:val="0"/>
      <w:marTop w:val="0"/>
      <w:marBottom w:val="0"/>
      <w:divBdr>
        <w:top w:val="none" w:sz="0" w:space="0" w:color="auto"/>
        <w:left w:val="none" w:sz="0" w:space="0" w:color="auto"/>
        <w:bottom w:val="none" w:sz="0" w:space="0" w:color="auto"/>
        <w:right w:val="none" w:sz="0" w:space="0" w:color="auto"/>
      </w:divBdr>
    </w:div>
    <w:div w:id="1442870576">
      <w:bodyDiv w:val="1"/>
      <w:marLeft w:val="0"/>
      <w:marRight w:val="0"/>
      <w:marTop w:val="0"/>
      <w:marBottom w:val="0"/>
      <w:divBdr>
        <w:top w:val="none" w:sz="0" w:space="0" w:color="auto"/>
        <w:left w:val="none" w:sz="0" w:space="0" w:color="auto"/>
        <w:bottom w:val="none" w:sz="0" w:space="0" w:color="auto"/>
        <w:right w:val="none" w:sz="0" w:space="0" w:color="auto"/>
      </w:divBdr>
    </w:div>
    <w:div w:id="1450004724">
      <w:bodyDiv w:val="1"/>
      <w:marLeft w:val="0"/>
      <w:marRight w:val="0"/>
      <w:marTop w:val="0"/>
      <w:marBottom w:val="0"/>
      <w:divBdr>
        <w:top w:val="none" w:sz="0" w:space="0" w:color="auto"/>
        <w:left w:val="none" w:sz="0" w:space="0" w:color="auto"/>
        <w:bottom w:val="none" w:sz="0" w:space="0" w:color="auto"/>
        <w:right w:val="none" w:sz="0" w:space="0" w:color="auto"/>
      </w:divBdr>
    </w:div>
    <w:div w:id="1471365718">
      <w:bodyDiv w:val="1"/>
      <w:marLeft w:val="0"/>
      <w:marRight w:val="0"/>
      <w:marTop w:val="0"/>
      <w:marBottom w:val="0"/>
      <w:divBdr>
        <w:top w:val="none" w:sz="0" w:space="0" w:color="auto"/>
        <w:left w:val="none" w:sz="0" w:space="0" w:color="auto"/>
        <w:bottom w:val="none" w:sz="0" w:space="0" w:color="auto"/>
        <w:right w:val="none" w:sz="0" w:space="0" w:color="auto"/>
      </w:divBdr>
    </w:div>
    <w:div w:id="1478955435">
      <w:bodyDiv w:val="1"/>
      <w:marLeft w:val="0"/>
      <w:marRight w:val="0"/>
      <w:marTop w:val="0"/>
      <w:marBottom w:val="0"/>
      <w:divBdr>
        <w:top w:val="none" w:sz="0" w:space="0" w:color="auto"/>
        <w:left w:val="none" w:sz="0" w:space="0" w:color="auto"/>
        <w:bottom w:val="none" w:sz="0" w:space="0" w:color="auto"/>
        <w:right w:val="none" w:sz="0" w:space="0" w:color="auto"/>
      </w:divBdr>
    </w:div>
    <w:div w:id="1480074246">
      <w:bodyDiv w:val="1"/>
      <w:marLeft w:val="0"/>
      <w:marRight w:val="0"/>
      <w:marTop w:val="0"/>
      <w:marBottom w:val="0"/>
      <w:divBdr>
        <w:top w:val="none" w:sz="0" w:space="0" w:color="auto"/>
        <w:left w:val="none" w:sz="0" w:space="0" w:color="auto"/>
        <w:bottom w:val="none" w:sz="0" w:space="0" w:color="auto"/>
        <w:right w:val="none" w:sz="0" w:space="0" w:color="auto"/>
      </w:divBdr>
    </w:div>
    <w:div w:id="1495300391">
      <w:bodyDiv w:val="1"/>
      <w:marLeft w:val="0"/>
      <w:marRight w:val="0"/>
      <w:marTop w:val="0"/>
      <w:marBottom w:val="0"/>
      <w:divBdr>
        <w:top w:val="none" w:sz="0" w:space="0" w:color="auto"/>
        <w:left w:val="none" w:sz="0" w:space="0" w:color="auto"/>
        <w:bottom w:val="none" w:sz="0" w:space="0" w:color="auto"/>
        <w:right w:val="none" w:sz="0" w:space="0" w:color="auto"/>
      </w:divBdr>
    </w:div>
    <w:div w:id="1497527139">
      <w:bodyDiv w:val="1"/>
      <w:marLeft w:val="0"/>
      <w:marRight w:val="0"/>
      <w:marTop w:val="0"/>
      <w:marBottom w:val="0"/>
      <w:divBdr>
        <w:top w:val="none" w:sz="0" w:space="0" w:color="auto"/>
        <w:left w:val="none" w:sz="0" w:space="0" w:color="auto"/>
        <w:bottom w:val="none" w:sz="0" w:space="0" w:color="auto"/>
        <w:right w:val="none" w:sz="0" w:space="0" w:color="auto"/>
      </w:divBdr>
    </w:div>
    <w:div w:id="1499543197">
      <w:bodyDiv w:val="1"/>
      <w:marLeft w:val="0"/>
      <w:marRight w:val="0"/>
      <w:marTop w:val="0"/>
      <w:marBottom w:val="0"/>
      <w:divBdr>
        <w:top w:val="none" w:sz="0" w:space="0" w:color="auto"/>
        <w:left w:val="none" w:sz="0" w:space="0" w:color="auto"/>
        <w:bottom w:val="none" w:sz="0" w:space="0" w:color="auto"/>
        <w:right w:val="none" w:sz="0" w:space="0" w:color="auto"/>
      </w:divBdr>
    </w:div>
    <w:div w:id="1528564101">
      <w:bodyDiv w:val="1"/>
      <w:marLeft w:val="0"/>
      <w:marRight w:val="0"/>
      <w:marTop w:val="0"/>
      <w:marBottom w:val="0"/>
      <w:divBdr>
        <w:top w:val="none" w:sz="0" w:space="0" w:color="auto"/>
        <w:left w:val="none" w:sz="0" w:space="0" w:color="auto"/>
        <w:bottom w:val="none" w:sz="0" w:space="0" w:color="auto"/>
        <w:right w:val="none" w:sz="0" w:space="0" w:color="auto"/>
      </w:divBdr>
    </w:div>
    <w:div w:id="1543252898">
      <w:bodyDiv w:val="1"/>
      <w:marLeft w:val="0"/>
      <w:marRight w:val="0"/>
      <w:marTop w:val="0"/>
      <w:marBottom w:val="0"/>
      <w:divBdr>
        <w:top w:val="none" w:sz="0" w:space="0" w:color="auto"/>
        <w:left w:val="none" w:sz="0" w:space="0" w:color="auto"/>
        <w:bottom w:val="none" w:sz="0" w:space="0" w:color="auto"/>
        <w:right w:val="none" w:sz="0" w:space="0" w:color="auto"/>
      </w:divBdr>
    </w:div>
    <w:div w:id="1545602333">
      <w:bodyDiv w:val="1"/>
      <w:marLeft w:val="0"/>
      <w:marRight w:val="0"/>
      <w:marTop w:val="0"/>
      <w:marBottom w:val="0"/>
      <w:divBdr>
        <w:top w:val="none" w:sz="0" w:space="0" w:color="auto"/>
        <w:left w:val="none" w:sz="0" w:space="0" w:color="auto"/>
        <w:bottom w:val="none" w:sz="0" w:space="0" w:color="auto"/>
        <w:right w:val="none" w:sz="0" w:space="0" w:color="auto"/>
      </w:divBdr>
    </w:div>
    <w:div w:id="1549222446">
      <w:bodyDiv w:val="1"/>
      <w:marLeft w:val="0"/>
      <w:marRight w:val="0"/>
      <w:marTop w:val="0"/>
      <w:marBottom w:val="0"/>
      <w:divBdr>
        <w:top w:val="none" w:sz="0" w:space="0" w:color="auto"/>
        <w:left w:val="none" w:sz="0" w:space="0" w:color="auto"/>
        <w:bottom w:val="none" w:sz="0" w:space="0" w:color="auto"/>
        <w:right w:val="none" w:sz="0" w:space="0" w:color="auto"/>
      </w:divBdr>
    </w:div>
    <w:div w:id="1550609941">
      <w:bodyDiv w:val="1"/>
      <w:marLeft w:val="0"/>
      <w:marRight w:val="0"/>
      <w:marTop w:val="0"/>
      <w:marBottom w:val="0"/>
      <w:divBdr>
        <w:top w:val="none" w:sz="0" w:space="0" w:color="auto"/>
        <w:left w:val="none" w:sz="0" w:space="0" w:color="auto"/>
        <w:bottom w:val="none" w:sz="0" w:space="0" w:color="auto"/>
        <w:right w:val="none" w:sz="0" w:space="0" w:color="auto"/>
      </w:divBdr>
    </w:div>
    <w:div w:id="1556355753">
      <w:bodyDiv w:val="1"/>
      <w:marLeft w:val="0"/>
      <w:marRight w:val="0"/>
      <w:marTop w:val="0"/>
      <w:marBottom w:val="0"/>
      <w:divBdr>
        <w:top w:val="none" w:sz="0" w:space="0" w:color="auto"/>
        <w:left w:val="none" w:sz="0" w:space="0" w:color="auto"/>
        <w:bottom w:val="none" w:sz="0" w:space="0" w:color="auto"/>
        <w:right w:val="none" w:sz="0" w:space="0" w:color="auto"/>
      </w:divBdr>
    </w:div>
    <w:div w:id="1565673952">
      <w:bodyDiv w:val="1"/>
      <w:marLeft w:val="0"/>
      <w:marRight w:val="0"/>
      <w:marTop w:val="0"/>
      <w:marBottom w:val="0"/>
      <w:divBdr>
        <w:top w:val="none" w:sz="0" w:space="0" w:color="auto"/>
        <w:left w:val="none" w:sz="0" w:space="0" w:color="auto"/>
        <w:bottom w:val="none" w:sz="0" w:space="0" w:color="auto"/>
        <w:right w:val="none" w:sz="0" w:space="0" w:color="auto"/>
      </w:divBdr>
    </w:div>
    <w:div w:id="1569732112">
      <w:bodyDiv w:val="1"/>
      <w:marLeft w:val="0"/>
      <w:marRight w:val="0"/>
      <w:marTop w:val="0"/>
      <w:marBottom w:val="0"/>
      <w:divBdr>
        <w:top w:val="none" w:sz="0" w:space="0" w:color="auto"/>
        <w:left w:val="none" w:sz="0" w:space="0" w:color="auto"/>
        <w:bottom w:val="none" w:sz="0" w:space="0" w:color="auto"/>
        <w:right w:val="none" w:sz="0" w:space="0" w:color="auto"/>
      </w:divBdr>
    </w:div>
    <w:div w:id="1572040326">
      <w:bodyDiv w:val="1"/>
      <w:marLeft w:val="0"/>
      <w:marRight w:val="0"/>
      <w:marTop w:val="0"/>
      <w:marBottom w:val="0"/>
      <w:divBdr>
        <w:top w:val="none" w:sz="0" w:space="0" w:color="auto"/>
        <w:left w:val="none" w:sz="0" w:space="0" w:color="auto"/>
        <w:bottom w:val="none" w:sz="0" w:space="0" w:color="auto"/>
        <w:right w:val="none" w:sz="0" w:space="0" w:color="auto"/>
      </w:divBdr>
    </w:div>
    <w:div w:id="1638610094">
      <w:bodyDiv w:val="1"/>
      <w:marLeft w:val="0"/>
      <w:marRight w:val="0"/>
      <w:marTop w:val="0"/>
      <w:marBottom w:val="0"/>
      <w:divBdr>
        <w:top w:val="none" w:sz="0" w:space="0" w:color="auto"/>
        <w:left w:val="none" w:sz="0" w:space="0" w:color="auto"/>
        <w:bottom w:val="none" w:sz="0" w:space="0" w:color="auto"/>
        <w:right w:val="none" w:sz="0" w:space="0" w:color="auto"/>
      </w:divBdr>
    </w:div>
    <w:div w:id="1639606081">
      <w:bodyDiv w:val="1"/>
      <w:marLeft w:val="0"/>
      <w:marRight w:val="0"/>
      <w:marTop w:val="0"/>
      <w:marBottom w:val="0"/>
      <w:divBdr>
        <w:top w:val="none" w:sz="0" w:space="0" w:color="auto"/>
        <w:left w:val="none" w:sz="0" w:space="0" w:color="auto"/>
        <w:bottom w:val="none" w:sz="0" w:space="0" w:color="auto"/>
        <w:right w:val="none" w:sz="0" w:space="0" w:color="auto"/>
      </w:divBdr>
    </w:div>
    <w:div w:id="1647660555">
      <w:bodyDiv w:val="1"/>
      <w:marLeft w:val="0"/>
      <w:marRight w:val="0"/>
      <w:marTop w:val="0"/>
      <w:marBottom w:val="0"/>
      <w:divBdr>
        <w:top w:val="none" w:sz="0" w:space="0" w:color="auto"/>
        <w:left w:val="none" w:sz="0" w:space="0" w:color="auto"/>
        <w:bottom w:val="none" w:sz="0" w:space="0" w:color="auto"/>
        <w:right w:val="none" w:sz="0" w:space="0" w:color="auto"/>
      </w:divBdr>
    </w:div>
    <w:div w:id="1665666020">
      <w:bodyDiv w:val="1"/>
      <w:marLeft w:val="0"/>
      <w:marRight w:val="0"/>
      <w:marTop w:val="0"/>
      <w:marBottom w:val="0"/>
      <w:divBdr>
        <w:top w:val="none" w:sz="0" w:space="0" w:color="auto"/>
        <w:left w:val="none" w:sz="0" w:space="0" w:color="auto"/>
        <w:bottom w:val="none" w:sz="0" w:space="0" w:color="auto"/>
        <w:right w:val="none" w:sz="0" w:space="0" w:color="auto"/>
      </w:divBdr>
    </w:div>
    <w:div w:id="1666321454">
      <w:bodyDiv w:val="1"/>
      <w:marLeft w:val="0"/>
      <w:marRight w:val="0"/>
      <w:marTop w:val="0"/>
      <w:marBottom w:val="0"/>
      <w:divBdr>
        <w:top w:val="none" w:sz="0" w:space="0" w:color="auto"/>
        <w:left w:val="none" w:sz="0" w:space="0" w:color="auto"/>
        <w:bottom w:val="none" w:sz="0" w:space="0" w:color="auto"/>
        <w:right w:val="none" w:sz="0" w:space="0" w:color="auto"/>
      </w:divBdr>
    </w:div>
    <w:div w:id="1667828933">
      <w:bodyDiv w:val="1"/>
      <w:marLeft w:val="0"/>
      <w:marRight w:val="0"/>
      <w:marTop w:val="0"/>
      <w:marBottom w:val="0"/>
      <w:divBdr>
        <w:top w:val="none" w:sz="0" w:space="0" w:color="auto"/>
        <w:left w:val="none" w:sz="0" w:space="0" w:color="auto"/>
        <w:bottom w:val="none" w:sz="0" w:space="0" w:color="auto"/>
        <w:right w:val="none" w:sz="0" w:space="0" w:color="auto"/>
      </w:divBdr>
    </w:div>
    <w:div w:id="1713534038">
      <w:bodyDiv w:val="1"/>
      <w:marLeft w:val="0"/>
      <w:marRight w:val="0"/>
      <w:marTop w:val="0"/>
      <w:marBottom w:val="0"/>
      <w:divBdr>
        <w:top w:val="none" w:sz="0" w:space="0" w:color="auto"/>
        <w:left w:val="none" w:sz="0" w:space="0" w:color="auto"/>
        <w:bottom w:val="none" w:sz="0" w:space="0" w:color="auto"/>
        <w:right w:val="none" w:sz="0" w:space="0" w:color="auto"/>
      </w:divBdr>
    </w:div>
    <w:div w:id="1713923064">
      <w:bodyDiv w:val="1"/>
      <w:marLeft w:val="0"/>
      <w:marRight w:val="0"/>
      <w:marTop w:val="0"/>
      <w:marBottom w:val="0"/>
      <w:divBdr>
        <w:top w:val="none" w:sz="0" w:space="0" w:color="auto"/>
        <w:left w:val="none" w:sz="0" w:space="0" w:color="auto"/>
        <w:bottom w:val="none" w:sz="0" w:space="0" w:color="auto"/>
        <w:right w:val="none" w:sz="0" w:space="0" w:color="auto"/>
      </w:divBdr>
    </w:div>
    <w:div w:id="1731609850">
      <w:bodyDiv w:val="1"/>
      <w:marLeft w:val="0"/>
      <w:marRight w:val="0"/>
      <w:marTop w:val="0"/>
      <w:marBottom w:val="0"/>
      <w:divBdr>
        <w:top w:val="none" w:sz="0" w:space="0" w:color="auto"/>
        <w:left w:val="none" w:sz="0" w:space="0" w:color="auto"/>
        <w:bottom w:val="none" w:sz="0" w:space="0" w:color="auto"/>
        <w:right w:val="none" w:sz="0" w:space="0" w:color="auto"/>
      </w:divBdr>
    </w:div>
    <w:div w:id="1731810768">
      <w:bodyDiv w:val="1"/>
      <w:marLeft w:val="0"/>
      <w:marRight w:val="0"/>
      <w:marTop w:val="0"/>
      <w:marBottom w:val="0"/>
      <w:divBdr>
        <w:top w:val="none" w:sz="0" w:space="0" w:color="auto"/>
        <w:left w:val="none" w:sz="0" w:space="0" w:color="auto"/>
        <w:bottom w:val="none" w:sz="0" w:space="0" w:color="auto"/>
        <w:right w:val="none" w:sz="0" w:space="0" w:color="auto"/>
      </w:divBdr>
    </w:div>
    <w:div w:id="1751074375">
      <w:bodyDiv w:val="1"/>
      <w:marLeft w:val="0"/>
      <w:marRight w:val="0"/>
      <w:marTop w:val="0"/>
      <w:marBottom w:val="0"/>
      <w:divBdr>
        <w:top w:val="none" w:sz="0" w:space="0" w:color="auto"/>
        <w:left w:val="none" w:sz="0" w:space="0" w:color="auto"/>
        <w:bottom w:val="none" w:sz="0" w:space="0" w:color="auto"/>
        <w:right w:val="none" w:sz="0" w:space="0" w:color="auto"/>
      </w:divBdr>
    </w:div>
    <w:div w:id="1752773563">
      <w:bodyDiv w:val="1"/>
      <w:marLeft w:val="0"/>
      <w:marRight w:val="0"/>
      <w:marTop w:val="0"/>
      <w:marBottom w:val="0"/>
      <w:divBdr>
        <w:top w:val="none" w:sz="0" w:space="0" w:color="auto"/>
        <w:left w:val="none" w:sz="0" w:space="0" w:color="auto"/>
        <w:bottom w:val="none" w:sz="0" w:space="0" w:color="auto"/>
        <w:right w:val="none" w:sz="0" w:space="0" w:color="auto"/>
      </w:divBdr>
    </w:div>
    <w:div w:id="1761366622">
      <w:bodyDiv w:val="1"/>
      <w:marLeft w:val="0"/>
      <w:marRight w:val="0"/>
      <w:marTop w:val="0"/>
      <w:marBottom w:val="0"/>
      <w:divBdr>
        <w:top w:val="none" w:sz="0" w:space="0" w:color="auto"/>
        <w:left w:val="none" w:sz="0" w:space="0" w:color="auto"/>
        <w:bottom w:val="none" w:sz="0" w:space="0" w:color="auto"/>
        <w:right w:val="none" w:sz="0" w:space="0" w:color="auto"/>
      </w:divBdr>
    </w:div>
    <w:div w:id="1766997916">
      <w:bodyDiv w:val="1"/>
      <w:marLeft w:val="0"/>
      <w:marRight w:val="0"/>
      <w:marTop w:val="0"/>
      <w:marBottom w:val="0"/>
      <w:divBdr>
        <w:top w:val="none" w:sz="0" w:space="0" w:color="auto"/>
        <w:left w:val="none" w:sz="0" w:space="0" w:color="auto"/>
        <w:bottom w:val="none" w:sz="0" w:space="0" w:color="auto"/>
        <w:right w:val="none" w:sz="0" w:space="0" w:color="auto"/>
      </w:divBdr>
    </w:div>
    <w:div w:id="1774550809">
      <w:bodyDiv w:val="1"/>
      <w:marLeft w:val="0"/>
      <w:marRight w:val="0"/>
      <w:marTop w:val="0"/>
      <w:marBottom w:val="0"/>
      <w:divBdr>
        <w:top w:val="none" w:sz="0" w:space="0" w:color="auto"/>
        <w:left w:val="none" w:sz="0" w:space="0" w:color="auto"/>
        <w:bottom w:val="none" w:sz="0" w:space="0" w:color="auto"/>
        <w:right w:val="none" w:sz="0" w:space="0" w:color="auto"/>
      </w:divBdr>
    </w:div>
    <w:div w:id="1783524955">
      <w:bodyDiv w:val="1"/>
      <w:marLeft w:val="0"/>
      <w:marRight w:val="0"/>
      <w:marTop w:val="0"/>
      <w:marBottom w:val="0"/>
      <w:divBdr>
        <w:top w:val="none" w:sz="0" w:space="0" w:color="auto"/>
        <w:left w:val="none" w:sz="0" w:space="0" w:color="auto"/>
        <w:bottom w:val="none" w:sz="0" w:space="0" w:color="auto"/>
        <w:right w:val="none" w:sz="0" w:space="0" w:color="auto"/>
      </w:divBdr>
    </w:div>
    <w:div w:id="1785495353">
      <w:bodyDiv w:val="1"/>
      <w:marLeft w:val="0"/>
      <w:marRight w:val="0"/>
      <w:marTop w:val="0"/>
      <w:marBottom w:val="0"/>
      <w:divBdr>
        <w:top w:val="none" w:sz="0" w:space="0" w:color="auto"/>
        <w:left w:val="none" w:sz="0" w:space="0" w:color="auto"/>
        <w:bottom w:val="none" w:sz="0" w:space="0" w:color="auto"/>
        <w:right w:val="none" w:sz="0" w:space="0" w:color="auto"/>
      </w:divBdr>
    </w:div>
    <w:div w:id="1790660866">
      <w:bodyDiv w:val="1"/>
      <w:marLeft w:val="0"/>
      <w:marRight w:val="0"/>
      <w:marTop w:val="0"/>
      <w:marBottom w:val="0"/>
      <w:divBdr>
        <w:top w:val="none" w:sz="0" w:space="0" w:color="auto"/>
        <w:left w:val="none" w:sz="0" w:space="0" w:color="auto"/>
        <w:bottom w:val="none" w:sz="0" w:space="0" w:color="auto"/>
        <w:right w:val="none" w:sz="0" w:space="0" w:color="auto"/>
      </w:divBdr>
    </w:div>
    <w:div w:id="1790854887">
      <w:bodyDiv w:val="1"/>
      <w:marLeft w:val="0"/>
      <w:marRight w:val="0"/>
      <w:marTop w:val="0"/>
      <w:marBottom w:val="0"/>
      <w:divBdr>
        <w:top w:val="none" w:sz="0" w:space="0" w:color="auto"/>
        <w:left w:val="none" w:sz="0" w:space="0" w:color="auto"/>
        <w:bottom w:val="none" w:sz="0" w:space="0" w:color="auto"/>
        <w:right w:val="none" w:sz="0" w:space="0" w:color="auto"/>
      </w:divBdr>
    </w:div>
    <w:div w:id="1800688264">
      <w:bodyDiv w:val="1"/>
      <w:marLeft w:val="0"/>
      <w:marRight w:val="0"/>
      <w:marTop w:val="0"/>
      <w:marBottom w:val="0"/>
      <w:divBdr>
        <w:top w:val="none" w:sz="0" w:space="0" w:color="auto"/>
        <w:left w:val="none" w:sz="0" w:space="0" w:color="auto"/>
        <w:bottom w:val="none" w:sz="0" w:space="0" w:color="auto"/>
        <w:right w:val="none" w:sz="0" w:space="0" w:color="auto"/>
      </w:divBdr>
    </w:div>
    <w:div w:id="1835416082">
      <w:bodyDiv w:val="1"/>
      <w:marLeft w:val="0"/>
      <w:marRight w:val="0"/>
      <w:marTop w:val="0"/>
      <w:marBottom w:val="0"/>
      <w:divBdr>
        <w:top w:val="none" w:sz="0" w:space="0" w:color="auto"/>
        <w:left w:val="none" w:sz="0" w:space="0" w:color="auto"/>
        <w:bottom w:val="none" w:sz="0" w:space="0" w:color="auto"/>
        <w:right w:val="none" w:sz="0" w:space="0" w:color="auto"/>
      </w:divBdr>
    </w:div>
    <w:div w:id="1837989490">
      <w:bodyDiv w:val="1"/>
      <w:marLeft w:val="0"/>
      <w:marRight w:val="0"/>
      <w:marTop w:val="0"/>
      <w:marBottom w:val="0"/>
      <w:divBdr>
        <w:top w:val="none" w:sz="0" w:space="0" w:color="auto"/>
        <w:left w:val="none" w:sz="0" w:space="0" w:color="auto"/>
        <w:bottom w:val="none" w:sz="0" w:space="0" w:color="auto"/>
        <w:right w:val="none" w:sz="0" w:space="0" w:color="auto"/>
      </w:divBdr>
    </w:div>
    <w:div w:id="1848397923">
      <w:bodyDiv w:val="1"/>
      <w:marLeft w:val="0"/>
      <w:marRight w:val="0"/>
      <w:marTop w:val="0"/>
      <w:marBottom w:val="0"/>
      <w:divBdr>
        <w:top w:val="none" w:sz="0" w:space="0" w:color="auto"/>
        <w:left w:val="none" w:sz="0" w:space="0" w:color="auto"/>
        <w:bottom w:val="none" w:sz="0" w:space="0" w:color="auto"/>
        <w:right w:val="none" w:sz="0" w:space="0" w:color="auto"/>
      </w:divBdr>
    </w:div>
    <w:div w:id="1849169730">
      <w:bodyDiv w:val="1"/>
      <w:marLeft w:val="0"/>
      <w:marRight w:val="0"/>
      <w:marTop w:val="0"/>
      <w:marBottom w:val="0"/>
      <w:divBdr>
        <w:top w:val="none" w:sz="0" w:space="0" w:color="auto"/>
        <w:left w:val="none" w:sz="0" w:space="0" w:color="auto"/>
        <w:bottom w:val="none" w:sz="0" w:space="0" w:color="auto"/>
        <w:right w:val="none" w:sz="0" w:space="0" w:color="auto"/>
      </w:divBdr>
    </w:div>
    <w:div w:id="1853454283">
      <w:bodyDiv w:val="1"/>
      <w:marLeft w:val="0"/>
      <w:marRight w:val="0"/>
      <w:marTop w:val="0"/>
      <w:marBottom w:val="0"/>
      <w:divBdr>
        <w:top w:val="none" w:sz="0" w:space="0" w:color="auto"/>
        <w:left w:val="none" w:sz="0" w:space="0" w:color="auto"/>
        <w:bottom w:val="none" w:sz="0" w:space="0" w:color="auto"/>
        <w:right w:val="none" w:sz="0" w:space="0" w:color="auto"/>
      </w:divBdr>
    </w:div>
    <w:div w:id="1860002020">
      <w:bodyDiv w:val="1"/>
      <w:marLeft w:val="0"/>
      <w:marRight w:val="0"/>
      <w:marTop w:val="0"/>
      <w:marBottom w:val="0"/>
      <w:divBdr>
        <w:top w:val="none" w:sz="0" w:space="0" w:color="auto"/>
        <w:left w:val="none" w:sz="0" w:space="0" w:color="auto"/>
        <w:bottom w:val="none" w:sz="0" w:space="0" w:color="auto"/>
        <w:right w:val="none" w:sz="0" w:space="0" w:color="auto"/>
      </w:divBdr>
    </w:div>
    <w:div w:id="1866168962">
      <w:bodyDiv w:val="1"/>
      <w:marLeft w:val="0"/>
      <w:marRight w:val="0"/>
      <w:marTop w:val="0"/>
      <w:marBottom w:val="0"/>
      <w:divBdr>
        <w:top w:val="none" w:sz="0" w:space="0" w:color="auto"/>
        <w:left w:val="none" w:sz="0" w:space="0" w:color="auto"/>
        <w:bottom w:val="none" w:sz="0" w:space="0" w:color="auto"/>
        <w:right w:val="none" w:sz="0" w:space="0" w:color="auto"/>
      </w:divBdr>
    </w:div>
    <w:div w:id="1907640855">
      <w:bodyDiv w:val="1"/>
      <w:marLeft w:val="0"/>
      <w:marRight w:val="0"/>
      <w:marTop w:val="0"/>
      <w:marBottom w:val="0"/>
      <w:divBdr>
        <w:top w:val="none" w:sz="0" w:space="0" w:color="auto"/>
        <w:left w:val="none" w:sz="0" w:space="0" w:color="auto"/>
        <w:bottom w:val="none" w:sz="0" w:space="0" w:color="auto"/>
        <w:right w:val="none" w:sz="0" w:space="0" w:color="auto"/>
      </w:divBdr>
    </w:div>
    <w:div w:id="1908224555">
      <w:bodyDiv w:val="1"/>
      <w:marLeft w:val="0"/>
      <w:marRight w:val="0"/>
      <w:marTop w:val="0"/>
      <w:marBottom w:val="0"/>
      <w:divBdr>
        <w:top w:val="none" w:sz="0" w:space="0" w:color="auto"/>
        <w:left w:val="none" w:sz="0" w:space="0" w:color="auto"/>
        <w:bottom w:val="none" w:sz="0" w:space="0" w:color="auto"/>
        <w:right w:val="none" w:sz="0" w:space="0" w:color="auto"/>
      </w:divBdr>
    </w:div>
    <w:div w:id="1915972034">
      <w:bodyDiv w:val="1"/>
      <w:marLeft w:val="0"/>
      <w:marRight w:val="0"/>
      <w:marTop w:val="0"/>
      <w:marBottom w:val="0"/>
      <w:divBdr>
        <w:top w:val="none" w:sz="0" w:space="0" w:color="auto"/>
        <w:left w:val="none" w:sz="0" w:space="0" w:color="auto"/>
        <w:bottom w:val="none" w:sz="0" w:space="0" w:color="auto"/>
        <w:right w:val="none" w:sz="0" w:space="0" w:color="auto"/>
      </w:divBdr>
    </w:div>
    <w:div w:id="1925531594">
      <w:bodyDiv w:val="1"/>
      <w:marLeft w:val="0"/>
      <w:marRight w:val="0"/>
      <w:marTop w:val="0"/>
      <w:marBottom w:val="0"/>
      <w:divBdr>
        <w:top w:val="none" w:sz="0" w:space="0" w:color="auto"/>
        <w:left w:val="none" w:sz="0" w:space="0" w:color="auto"/>
        <w:bottom w:val="none" w:sz="0" w:space="0" w:color="auto"/>
        <w:right w:val="none" w:sz="0" w:space="0" w:color="auto"/>
      </w:divBdr>
    </w:div>
    <w:div w:id="1931886980">
      <w:bodyDiv w:val="1"/>
      <w:marLeft w:val="0"/>
      <w:marRight w:val="0"/>
      <w:marTop w:val="0"/>
      <w:marBottom w:val="0"/>
      <w:divBdr>
        <w:top w:val="none" w:sz="0" w:space="0" w:color="auto"/>
        <w:left w:val="none" w:sz="0" w:space="0" w:color="auto"/>
        <w:bottom w:val="none" w:sz="0" w:space="0" w:color="auto"/>
        <w:right w:val="none" w:sz="0" w:space="0" w:color="auto"/>
      </w:divBdr>
    </w:div>
    <w:div w:id="1932272317">
      <w:bodyDiv w:val="1"/>
      <w:marLeft w:val="0"/>
      <w:marRight w:val="0"/>
      <w:marTop w:val="0"/>
      <w:marBottom w:val="0"/>
      <w:divBdr>
        <w:top w:val="none" w:sz="0" w:space="0" w:color="auto"/>
        <w:left w:val="none" w:sz="0" w:space="0" w:color="auto"/>
        <w:bottom w:val="none" w:sz="0" w:space="0" w:color="auto"/>
        <w:right w:val="none" w:sz="0" w:space="0" w:color="auto"/>
      </w:divBdr>
    </w:div>
    <w:div w:id="1934361513">
      <w:bodyDiv w:val="1"/>
      <w:marLeft w:val="0"/>
      <w:marRight w:val="0"/>
      <w:marTop w:val="0"/>
      <w:marBottom w:val="0"/>
      <w:divBdr>
        <w:top w:val="none" w:sz="0" w:space="0" w:color="auto"/>
        <w:left w:val="none" w:sz="0" w:space="0" w:color="auto"/>
        <w:bottom w:val="none" w:sz="0" w:space="0" w:color="auto"/>
        <w:right w:val="none" w:sz="0" w:space="0" w:color="auto"/>
      </w:divBdr>
    </w:div>
    <w:div w:id="1946226683">
      <w:bodyDiv w:val="1"/>
      <w:marLeft w:val="0"/>
      <w:marRight w:val="0"/>
      <w:marTop w:val="0"/>
      <w:marBottom w:val="0"/>
      <w:divBdr>
        <w:top w:val="none" w:sz="0" w:space="0" w:color="auto"/>
        <w:left w:val="none" w:sz="0" w:space="0" w:color="auto"/>
        <w:bottom w:val="none" w:sz="0" w:space="0" w:color="auto"/>
        <w:right w:val="none" w:sz="0" w:space="0" w:color="auto"/>
      </w:divBdr>
    </w:div>
    <w:div w:id="1950504273">
      <w:bodyDiv w:val="1"/>
      <w:marLeft w:val="0"/>
      <w:marRight w:val="0"/>
      <w:marTop w:val="0"/>
      <w:marBottom w:val="0"/>
      <w:divBdr>
        <w:top w:val="none" w:sz="0" w:space="0" w:color="auto"/>
        <w:left w:val="none" w:sz="0" w:space="0" w:color="auto"/>
        <w:bottom w:val="none" w:sz="0" w:space="0" w:color="auto"/>
        <w:right w:val="none" w:sz="0" w:space="0" w:color="auto"/>
      </w:divBdr>
    </w:div>
    <w:div w:id="1952055722">
      <w:bodyDiv w:val="1"/>
      <w:marLeft w:val="0"/>
      <w:marRight w:val="0"/>
      <w:marTop w:val="0"/>
      <w:marBottom w:val="0"/>
      <w:divBdr>
        <w:top w:val="none" w:sz="0" w:space="0" w:color="auto"/>
        <w:left w:val="none" w:sz="0" w:space="0" w:color="auto"/>
        <w:bottom w:val="none" w:sz="0" w:space="0" w:color="auto"/>
        <w:right w:val="none" w:sz="0" w:space="0" w:color="auto"/>
      </w:divBdr>
    </w:div>
    <w:div w:id="1955165151">
      <w:bodyDiv w:val="1"/>
      <w:marLeft w:val="0"/>
      <w:marRight w:val="0"/>
      <w:marTop w:val="0"/>
      <w:marBottom w:val="0"/>
      <w:divBdr>
        <w:top w:val="none" w:sz="0" w:space="0" w:color="auto"/>
        <w:left w:val="none" w:sz="0" w:space="0" w:color="auto"/>
        <w:bottom w:val="none" w:sz="0" w:space="0" w:color="auto"/>
        <w:right w:val="none" w:sz="0" w:space="0" w:color="auto"/>
      </w:divBdr>
    </w:div>
    <w:div w:id="1959943832">
      <w:bodyDiv w:val="1"/>
      <w:marLeft w:val="0"/>
      <w:marRight w:val="0"/>
      <w:marTop w:val="0"/>
      <w:marBottom w:val="0"/>
      <w:divBdr>
        <w:top w:val="none" w:sz="0" w:space="0" w:color="auto"/>
        <w:left w:val="none" w:sz="0" w:space="0" w:color="auto"/>
        <w:bottom w:val="none" w:sz="0" w:space="0" w:color="auto"/>
        <w:right w:val="none" w:sz="0" w:space="0" w:color="auto"/>
      </w:divBdr>
    </w:div>
    <w:div w:id="1964847273">
      <w:bodyDiv w:val="1"/>
      <w:marLeft w:val="0"/>
      <w:marRight w:val="0"/>
      <w:marTop w:val="0"/>
      <w:marBottom w:val="0"/>
      <w:divBdr>
        <w:top w:val="none" w:sz="0" w:space="0" w:color="auto"/>
        <w:left w:val="none" w:sz="0" w:space="0" w:color="auto"/>
        <w:bottom w:val="none" w:sz="0" w:space="0" w:color="auto"/>
        <w:right w:val="none" w:sz="0" w:space="0" w:color="auto"/>
      </w:divBdr>
    </w:div>
    <w:div w:id="1965497960">
      <w:bodyDiv w:val="1"/>
      <w:marLeft w:val="0"/>
      <w:marRight w:val="0"/>
      <w:marTop w:val="0"/>
      <w:marBottom w:val="0"/>
      <w:divBdr>
        <w:top w:val="none" w:sz="0" w:space="0" w:color="auto"/>
        <w:left w:val="none" w:sz="0" w:space="0" w:color="auto"/>
        <w:bottom w:val="none" w:sz="0" w:space="0" w:color="auto"/>
        <w:right w:val="none" w:sz="0" w:space="0" w:color="auto"/>
      </w:divBdr>
    </w:div>
    <w:div w:id="1971324171">
      <w:bodyDiv w:val="1"/>
      <w:marLeft w:val="0"/>
      <w:marRight w:val="0"/>
      <w:marTop w:val="0"/>
      <w:marBottom w:val="0"/>
      <w:divBdr>
        <w:top w:val="none" w:sz="0" w:space="0" w:color="auto"/>
        <w:left w:val="none" w:sz="0" w:space="0" w:color="auto"/>
        <w:bottom w:val="none" w:sz="0" w:space="0" w:color="auto"/>
        <w:right w:val="none" w:sz="0" w:space="0" w:color="auto"/>
      </w:divBdr>
    </w:div>
    <w:div w:id="1978876481">
      <w:bodyDiv w:val="1"/>
      <w:marLeft w:val="0"/>
      <w:marRight w:val="0"/>
      <w:marTop w:val="0"/>
      <w:marBottom w:val="0"/>
      <w:divBdr>
        <w:top w:val="none" w:sz="0" w:space="0" w:color="auto"/>
        <w:left w:val="none" w:sz="0" w:space="0" w:color="auto"/>
        <w:bottom w:val="none" w:sz="0" w:space="0" w:color="auto"/>
        <w:right w:val="none" w:sz="0" w:space="0" w:color="auto"/>
      </w:divBdr>
    </w:div>
    <w:div w:id="1979265526">
      <w:bodyDiv w:val="1"/>
      <w:marLeft w:val="0"/>
      <w:marRight w:val="0"/>
      <w:marTop w:val="0"/>
      <w:marBottom w:val="0"/>
      <w:divBdr>
        <w:top w:val="none" w:sz="0" w:space="0" w:color="auto"/>
        <w:left w:val="none" w:sz="0" w:space="0" w:color="auto"/>
        <w:bottom w:val="none" w:sz="0" w:space="0" w:color="auto"/>
        <w:right w:val="none" w:sz="0" w:space="0" w:color="auto"/>
      </w:divBdr>
    </w:div>
    <w:div w:id="1982881202">
      <w:bodyDiv w:val="1"/>
      <w:marLeft w:val="0"/>
      <w:marRight w:val="0"/>
      <w:marTop w:val="0"/>
      <w:marBottom w:val="0"/>
      <w:divBdr>
        <w:top w:val="none" w:sz="0" w:space="0" w:color="auto"/>
        <w:left w:val="none" w:sz="0" w:space="0" w:color="auto"/>
        <w:bottom w:val="none" w:sz="0" w:space="0" w:color="auto"/>
        <w:right w:val="none" w:sz="0" w:space="0" w:color="auto"/>
      </w:divBdr>
    </w:div>
    <w:div w:id="1984119958">
      <w:bodyDiv w:val="1"/>
      <w:marLeft w:val="0"/>
      <w:marRight w:val="0"/>
      <w:marTop w:val="0"/>
      <w:marBottom w:val="0"/>
      <w:divBdr>
        <w:top w:val="none" w:sz="0" w:space="0" w:color="auto"/>
        <w:left w:val="none" w:sz="0" w:space="0" w:color="auto"/>
        <w:bottom w:val="none" w:sz="0" w:space="0" w:color="auto"/>
        <w:right w:val="none" w:sz="0" w:space="0" w:color="auto"/>
      </w:divBdr>
    </w:div>
    <w:div w:id="1990018056">
      <w:bodyDiv w:val="1"/>
      <w:marLeft w:val="0"/>
      <w:marRight w:val="0"/>
      <w:marTop w:val="0"/>
      <w:marBottom w:val="0"/>
      <w:divBdr>
        <w:top w:val="none" w:sz="0" w:space="0" w:color="auto"/>
        <w:left w:val="none" w:sz="0" w:space="0" w:color="auto"/>
        <w:bottom w:val="none" w:sz="0" w:space="0" w:color="auto"/>
        <w:right w:val="none" w:sz="0" w:space="0" w:color="auto"/>
      </w:divBdr>
    </w:div>
    <w:div w:id="1996911045">
      <w:bodyDiv w:val="1"/>
      <w:marLeft w:val="0"/>
      <w:marRight w:val="0"/>
      <w:marTop w:val="0"/>
      <w:marBottom w:val="0"/>
      <w:divBdr>
        <w:top w:val="none" w:sz="0" w:space="0" w:color="auto"/>
        <w:left w:val="none" w:sz="0" w:space="0" w:color="auto"/>
        <w:bottom w:val="none" w:sz="0" w:space="0" w:color="auto"/>
        <w:right w:val="none" w:sz="0" w:space="0" w:color="auto"/>
      </w:divBdr>
    </w:div>
    <w:div w:id="1997295398">
      <w:bodyDiv w:val="1"/>
      <w:marLeft w:val="0"/>
      <w:marRight w:val="0"/>
      <w:marTop w:val="0"/>
      <w:marBottom w:val="0"/>
      <w:divBdr>
        <w:top w:val="none" w:sz="0" w:space="0" w:color="auto"/>
        <w:left w:val="none" w:sz="0" w:space="0" w:color="auto"/>
        <w:bottom w:val="none" w:sz="0" w:space="0" w:color="auto"/>
        <w:right w:val="none" w:sz="0" w:space="0" w:color="auto"/>
      </w:divBdr>
    </w:div>
    <w:div w:id="2013295074">
      <w:bodyDiv w:val="1"/>
      <w:marLeft w:val="0"/>
      <w:marRight w:val="0"/>
      <w:marTop w:val="0"/>
      <w:marBottom w:val="0"/>
      <w:divBdr>
        <w:top w:val="none" w:sz="0" w:space="0" w:color="auto"/>
        <w:left w:val="none" w:sz="0" w:space="0" w:color="auto"/>
        <w:bottom w:val="none" w:sz="0" w:space="0" w:color="auto"/>
        <w:right w:val="none" w:sz="0" w:space="0" w:color="auto"/>
      </w:divBdr>
    </w:div>
    <w:div w:id="2014525680">
      <w:bodyDiv w:val="1"/>
      <w:marLeft w:val="0"/>
      <w:marRight w:val="0"/>
      <w:marTop w:val="0"/>
      <w:marBottom w:val="0"/>
      <w:divBdr>
        <w:top w:val="none" w:sz="0" w:space="0" w:color="auto"/>
        <w:left w:val="none" w:sz="0" w:space="0" w:color="auto"/>
        <w:bottom w:val="none" w:sz="0" w:space="0" w:color="auto"/>
        <w:right w:val="none" w:sz="0" w:space="0" w:color="auto"/>
      </w:divBdr>
    </w:div>
    <w:div w:id="2025590402">
      <w:bodyDiv w:val="1"/>
      <w:marLeft w:val="0"/>
      <w:marRight w:val="0"/>
      <w:marTop w:val="0"/>
      <w:marBottom w:val="0"/>
      <w:divBdr>
        <w:top w:val="none" w:sz="0" w:space="0" w:color="auto"/>
        <w:left w:val="none" w:sz="0" w:space="0" w:color="auto"/>
        <w:bottom w:val="none" w:sz="0" w:space="0" w:color="auto"/>
        <w:right w:val="none" w:sz="0" w:space="0" w:color="auto"/>
      </w:divBdr>
    </w:div>
    <w:div w:id="2054847203">
      <w:bodyDiv w:val="1"/>
      <w:marLeft w:val="0"/>
      <w:marRight w:val="0"/>
      <w:marTop w:val="0"/>
      <w:marBottom w:val="0"/>
      <w:divBdr>
        <w:top w:val="none" w:sz="0" w:space="0" w:color="auto"/>
        <w:left w:val="none" w:sz="0" w:space="0" w:color="auto"/>
        <w:bottom w:val="none" w:sz="0" w:space="0" w:color="auto"/>
        <w:right w:val="none" w:sz="0" w:space="0" w:color="auto"/>
      </w:divBdr>
    </w:div>
    <w:div w:id="2057506027">
      <w:bodyDiv w:val="1"/>
      <w:marLeft w:val="0"/>
      <w:marRight w:val="0"/>
      <w:marTop w:val="0"/>
      <w:marBottom w:val="0"/>
      <w:divBdr>
        <w:top w:val="none" w:sz="0" w:space="0" w:color="auto"/>
        <w:left w:val="none" w:sz="0" w:space="0" w:color="auto"/>
        <w:bottom w:val="none" w:sz="0" w:space="0" w:color="auto"/>
        <w:right w:val="none" w:sz="0" w:space="0" w:color="auto"/>
      </w:divBdr>
    </w:div>
    <w:div w:id="2058359351">
      <w:bodyDiv w:val="1"/>
      <w:marLeft w:val="0"/>
      <w:marRight w:val="0"/>
      <w:marTop w:val="0"/>
      <w:marBottom w:val="0"/>
      <w:divBdr>
        <w:top w:val="none" w:sz="0" w:space="0" w:color="auto"/>
        <w:left w:val="none" w:sz="0" w:space="0" w:color="auto"/>
        <w:bottom w:val="none" w:sz="0" w:space="0" w:color="auto"/>
        <w:right w:val="none" w:sz="0" w:space="0" w:color="auto"/>
      </w:divBdr>
    </w:div>
    <w:div w:id="2065331742">
      <w:bodyDiv w:val="1"/>
      <w:marLeft w:val="0"/>
      <w:marRight w:val="0"/>
      <w:marTop w:val="0"/>
      <w:marBottom w:val="0"/>
      <w:divBdr>
        <w:top w:val="none" w:sz="0" w:space="0" w:color="auto"/>
        <w:left w:val="none" w:sz="0" w:space="0" w:color="auto"/>
        <w:bottom w:val="none" w:sz="0" w:space="0" w:color="auto"/>
        <w:right w:val="none" w:sz="0" w:space="0" w:color="auto"/>
      </w:divBdr>
    </w:div>
    <w:div w:id="2077169337">
      <w:bodyDiv w:val="1"/>
      <w:marLeft w:val="0"/>
      <w:marRight w:val="0"/>
      <w:marTop w:val="0"/>
      <w:marBottom w:val="0"/>
      <w:divBdr>
        <w:top w:val="none" w:sz="0" w:space="0" w:color="auto"/>
        <w:left w:val="none" w:sz="0" w:space="0" w:color="auto"/>
        <w:bottom w:val="none" w:sz="0" w:space="0" w:color="auto"/>
        <w:right w:val="none" w:sz="0" w:space="0" w:color="auto"/>
      </w:divBdr>
    </w:div>
    <w:div w:id="2084208374">
      <w:bodyDiv w:val="1"/>
      <w:marLeft w:val="0"/>
      <w:marRight w:val="0"/>
      <w:marTop w:val="0"/>
      <w:marBottom w:val="0"/>
      <w:divBdr>
        <w:top w:val="none" w:sz="0" w:space="0" w:color="auto"/>
        <w:left w:val="none" w:sz="0" w:space="0" w:color="auto"/>
        <w:bottom w:val="none" w:sz="0" w:space="0" w:color="auto"/>
        <w:right w:val="none" w:sz="0" w:space="0" w:color="auto"/>
      </w:divBdr>
    </w:div>
    <w:div w:id="2085636498">
      <w:bodyDiv w:val="1"/>
      <w:marLeft w:val="0"/>
      <w:marRight w:val="0"/>
      <w:marTop w:val="0"/>
      <w:marBottom w:val="0"/>
      <w:divBdr>
        <w:top w:val="none" w:sz="0" w:space="0" w:color="auto"/>
        <w:left w:val="none" w:sz="0" w:space="0" w:color="auto"/>
        <w:bottom w:val="none" w:sz="0" w:space="0" w:color="auto"/>
        <w:right w:val="none" w:sz="0" w:space="0" w:color="auto"/>
      </w:divBdr>
    </w:div>
    <w:div w:id="2121143741">
      <w:bodyDiv w:val="1"/>
      <w:marLeft w:val="0"/>
      <w:marRight w:val="0"/>
      <w:marTop w:val="0"/>
      <w:marBottom w:val="0"/>
      <w:divBdr>
        <w:top w:val="none" w:sz="0" w:space="0" w:color="auto"/>
        <w:left w:val="none" w:sz="0" w:space="0" w:color="auto"/>
        <w:bottom w:val="none" w:sz="0" w:space="0" w:color="auto"/>
        <w:right w:val="none" w:sz="0" w:space="0" w:color="auto"/>
      </w:divBdr>
    </w:div>
    <w:div w:id="2142334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chart" Target="charts/chart7.xml"/><Relationship Id="rId42"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chart" Target="charts/chart6.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chart" Target="charts/chart2.xml"/><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image" Target="media/image15.emf"/><Relationship Id="rId32" Type="http://schemas.openxmlformats.org/officeDocument/2006/relationships/chart" Target="charts/chart5.xml"/><Relationship Id="rId37"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0.emf"/><Relationship Id="rId31" Type="http://schemas.openxmlformats.org/officeDocument/2006/relationships/chart" Target="charts/chart4.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chart" Target="charts/chart3.xml"/><Relationship Id="rId35" Type="http://schemas.openxmlformats.org/officeDocument/2006/relationships/header" Target="header1.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i.rakocevic\Desktop\IZVESTAJI\IZVESTAJI%20IV%20kv%202015\IV%20kvartal%202015\OSTVARENJE%20IV%20KVARTAL%202015_GRAFIKONI.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r-Latn-RS"/>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title>
      <c:tx>
        <c:rich>
          <a:bodyPr/>
          <a:lstStyle/>
          <a:p>
            <a:pPr>
              <a:defRPr sz="1000"/>
            </a:pPr>
            <a:r>
              <a:rPr lang="x-none" sz="1000"/>
              <a:t>Премија реосигурања</a:t>
            </a:r>
            <a:endParaRPr lang="en-US" sz="1000"/>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'grafikoni (2)'!$A$3</c:f>
              <c:strCache>
                <c:ptCount val="1"/>
                <c:pt idx="0">
                  <c:v>2014</c:v>
                </c:pt>
              </c:strCache>
            </c:strRef>
          </c:tx>
          <c:invertIfNegative val="0"/>
          <c:cat>
            <c:strRef>
              <c:f>'grafikoni (2)'!$B$2:$D$2</c:f>
              <c:strCache>
                <c:ptCount val="3"/>
                <c:pt idx="0">
                  <c:v>активна</c:v>
                </c:pt>
                <c:pt idx="1">
                  <c:v>пасивна</c:v>
                </c:pt>
                <c:pt idx="2">
                  <c:v>самопридржај</c:v>
                </c:pt>
              </c:strCache>
            </c:strRef>
          </c:cat>
          <c:val>
            <c:numRef>
              <c:f>'grafikoni (2)'!$B$3:$D$3</c:f>
              <c:numCache>
                <c:formatCode>#,##0</c:formatCode>
                <c:ptCount val="3"/>
                <c:pt idx="0">
                  <c:v>2324890</c:v>
                </c:pt>
                <c:pt idx="1">
                  <c:v>1957637</c:v>
                </c:pt>
                <c:pt idx="2">
                  <c:v>367253</c:v>
                </c:pt>
              </c:numCache>
            </c:numRef>
          </c:val>
        </c:ser>
        <c:ser>
          <c:idx val="1"/>
          <c:order val="1"/>
          <c:tx>
            <c:strRef>
              <c:f>'grafikoni (2)'!$A$4</c:f>
              <c:strCache>
                <c:ptCount val="1"/>
                <c:pt idx="0">
                  <c:v>2015</c:v>
                </c:pt>
              </c:strCache>
            </c:strRef>
          </c:tx>
          <c:invertIfNegative val="0"/>
          <c:cat>
            <c:strRef>
              <c:f>'grafikoni (2)'!$B$2:$D$2</c:f>
              <c:strCache>
                <c:ptCount val="3"/>
                <c:pt idx="0">
                  <c:v>активна</c:v>
                </c:pt>
                <c:pt idx="1">
                  <c:v>пасивна</c:v>
                </c:pt>
                <c:pt idx="2">
                  <c:v>самопридржај</c:v>
                </c:pt>
              </c:strCache>
            </c:strRef>
          </c:cat>
          <c:val>
            <c:numRef>
              <c:f>'grafikoni (2)'!$B$4:$D$4</c:f>
              <c:numCache>
                <c:formatCode>#,##0</c:formatCode>
                <c:ptCount val="3"/>
                <c:pt idx="0">
                  <c:v>2661526</c:v>
                </c:pt>
                <c:pt idx="1">
                  <c:v>2239909</c:v>
                </c:pt>
                <c:pt idx="2">
                  <c:v>421617</c:v>
                </c:pt>
              </c:numCache>
            </c:numRef>
          </c:val>
        </c:ser>
        <c:dLbls>
          <c:showLegendKey val="0"/>
          <c:showVal val="0"/>
          <c:showCatName val="0"/>
          <c:showSerName val="0"/>
          <c:showPercent val="0"/>
          <c:showBubbleSize val="0"/>
        </c:dLbls>
        <c:gapWidth val="150"/>
        <c:shape val="box"/>
        <c:axId val="128787584"/>
        <c:axId val="128789120"/>
        <c:axId val="0"/>
      </c:bar3DChart>
      <c:catAx>
        <c:axId val="128787584"/>
        <c:scaling>
          <c:orientation val="minMax"/>
        </c:scaling>
        <c:delete val="0"/>
        <c:axPos val="b"/>
        <c:numFmt formatCode="General" sourceLinked="0"/>
        <c:majorTickMark val="none"/>
        <c:minorTickMark val="none"/>
        <c:tickLblPos val="nextTo"/>
        <c:crossAx val="128789120"/>
        <c:crosses val="autoZero"/>
        <c:auto val="1"/>
        <c:lblAlgn val="ctr"/>
        <c:lblOffset val="100"/>
        <c:noMultiLvlLbl val="0"/>
      </c:catAx>
      <c:valAx>
        <c:axId val="128789120"/>
        <c:scaling>
          <c:orientation val="minMax"/>
        </c:scaling>
        <c:delete val="0"/>
        <c:axPos val="l"/>
        <c:majorGridlines/>
        <c:title>
          <c:tx>
            <c:rich>
              <a:bodyPr/>
              <a:lstStyle/>
              <a:p>
                <a:pPr>
                  <a:defRPr/>
                </a:pPr>
                <a:r>
                  <a:rPr lang="x-none"/>
                  <a:t>у хиљадама динара</a:t>
                </a:r>
                <a:endParaRPr lang="en-US"/>
              </a:p>
            </c:rich>
          </c:tx>
          <c:overlay val="0"/>
        </c:title>
        <c:numFmt formatCode="#,##0" sourceLinked="1"/>
        <c:majorTickMark val="none"/>
        <c:minorTickMark val="none"/>
        <c:tickLblPos val="nextTo"/>
        <c:crossAx val="128787584"/>
        <c:crosses val="autoZero"/>
        <c:crossBetween val="between"/>
      </c:valAx>
      <c:dTable>
        <c:showHorzBorder val="1"/>
        <c:showVertBorder val="1"/>
        <c:showOutline val="1"/>
        <c:showKeys val="1"/>
      </c:dTable>
    </c:plotArea>
    <c:plotVisOnly val="1"/>
    <c:dispBlanksAs val="gap"/>
    <c:showDLblsOverMax val="0"/>
  </c:chart>
  <c:txPr>
    <a:bodyPr/>
    <a:lstStyle/>
    <a:p>
      <a:pPr>
        <a:defRPr>
          <a:latin typeface="Verdana" panose="020B0604030504040204" pitchFamily="34" charset="0"/>
          <a:ea typeface="Verdana" panose="020B0604030504040204" pitchFamily="34" charset="0"/>
          <a:cs typeface="Verdana" panose="020B0604030504040204" pitchFamily="34" charset="0"/>
        </a:defRPr>
      </a:pPr>
      <a:endParaRPr lang="sr-Latn-R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sr-Latn-RS"/>
  <c:roundedCorners val="0"/>
  <mc:AlternateContent xmlns:mc="http://schemas.openxmlformats.org/markup-compatibility/2006">
    <mc:Choice xmlns:c14="http://schemas.microsoft.com/office/drawing/2007/8/2/chart" Requires="c14">
      <c14:style val="127"/>
    </mc:Choice>
    <mc:Fallback>
      <c:style val="27"/>
    </mc:Fallback>
  </mc:AlternateContent>
  <c:chart>
    <c:autoTitleDeleted val="1"/>
    <c:plotArea>
      <c:layout/>
      <c:barChart>
        <c:barDir val="bar"/>
        <c:grouping val="clustered"/>
        <c:varyColors val="0"/>
        <c:ser>
          <c:idx val="0"/>
          <c:order val="0"/>
          <c:tx>
            <c:strRef>
              <c:f>'актива 2'!$C$3</c:f>
              <c:strCache>
                <c:ptCount val="1"/>
                <c:pt idx="0">
                  <c:v>2014</c:v>
                </c:pt>
              </c:strCache>
            </c:strRef>
          </c:tx>
          <c:invertIfNegative val="0"/>
          <c:dLbls>
            <c:spPr>
              <a:noFill/>
              <a:ln>
                <a:noFill/>
              </a:ln>
              <a:effectLst/>
            </c:spPr>
            <c:txPr>
              <a:bodyPr/>
              <a:lstStyle/>
              <a:p>
                <a:pPr>
                  <a:defRPr sz="800"/>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'актива 2'!$B$4:$B$15</c:f>
              <c:strCache>
                <c:ptCount val="12"/>
                <c:pt idx="0">
                  <c:v>Нематеријална улагања</c:v>
                </c:pt>
                <c:pt idx="1">
                  <c:v>Софтвер и остала права</c:v>
                </c:pt>
                <c:pt idx="2">
                  <c:v>Некретнине, постројења и опрема</c:v>
                </c:pt>
                <c:pt idx="3">
                  <c:v>Дугорочни финансијски пласмани</c:v>
                </c:pt>
                <c:pt idx="4">
                  <c:v>Залихе</c:v>
                </c:pt>
                <c:pt idx="5">
                  <c:v>Потраживања</c:v>
                </c:pt>
                <c:pt idx="6">
                  <c:v>Потраживања за више плаћен порез на добитак</c:v>
                </c:pt>
                <c:pt idx="7">
                  <c:v>Финансијски пласмани</c:v>
                </c:pt>
                <c:pt idx="8">
                  <c:v>Готовина и гот. еквиваленти</c:v>
                </c:pt>
                <c:pt idx="9">
                  <c:v>АВР</c:v>
                </c:pt>
                <c:pt idx="10">
                  <c:v>Пасивна преносна премија</c:v>
                </c:pt>
                <c:pt idx="11">
                  <c:v>Пасивне резервисане штете</c:v>
                </c:pt>
              </c:strCache>
            </c:strRef>
          </c:cat>
          <c:val>
            <c:numRef>
              <c:f>'актива 2'!$C$4:$C$15</c:f>
              <c:numCache>
                <c:formatCode>#,##0</c:formatCode>
                <c:ptCount val="12"/>
                <c:pt idx="0">
                  <c:v>6160</c:v>
                </c:pt>
                <c:pt idx="1">
                  <c:v>16369</c:v>
                </c:pt>
                <c:pt idx="2">
                  <c:v>9135</c:v>
                </c:pt>
                <c:pt idx="3">
                  <c:v>276448</c:v>
                </c:pt>
                <c:pt idx="4" formatCode="General">
                  <c:v>260</c:v>
                </c:pt>
                <c:pt idx="5">
                  <c:v>618372</c:v>
                </c:pt>
                <c:pt idx="6">
                  <c:v>54549</c:v>
                </c:pt>
                <c:pt idx="7">
                  <c:v>1008490</c:v>
                </c:pt>
                <c:pt idx="8">
                  <c:v>842881</c:v>
                </c:pt>
                <c:pt idx="9">
                  <c:v>9260</c:v>
                </c:pt>
                <c:pt idx="10">
                  <c:v>328031</c:v>
                </c:pt>
                <c:pt idx="11">
                  <c:v>1009578</c:v>
                </c:pt>
              </c:numCache>
            </c:numRef>
          </c:val>
        </c:ser>
        <c:ser>
          <c:idx val="1"/>
          <c:order val="1"/>
          <c:tx>
            <c:strRef>
              <c:f>'актива 2'!$D$3</c:f>
              <c:strCache>
                <c:ptCount val="1"/>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'актива 2'!$B$4:$B$15</c:f>
              <c:strCache>
                <c:ptCount val="12"/>
                <c:pt idx="0">
                  <c:v>Нематеријална улагања</c:v>
                </c:pt>
                <c:pt idx="1">
                  <c:v>Софтвер и остала права</c:v>
                </c:pt>
                <c:pt idx="2">
                  <c:v>Некретнине, постројења и опрема</c:v>
                </c:pt>
                <c:pt idx="3">
                  <c:v>Дугорочни финансијски пласмани</c:v>
                </c:pt>
                <c:pt idx="4">
                  <c:v>Залихе</c:v>
                </c:pt>
                <c:pt idx="5">
                  <c:v>Потраживања</c:v>
                </c:pt>
                <c:pt idx="6">
                  <c:v>Потраживања за више плаћен порез на добитак</c:v>
                </c:pt>
                <c:pt idx="7">
                  <c:v>Финансијски пласмани</c:v>
                </c:pt>
                <c:pt idx="8">
                  <c:v>Готовина и гот. еквиваленти</c:v>
                </c:pt>
                <c:pt idx="9">
                  <c:v>АВР</c:v>
                </c:pt>
                <c:pt idx="10">
                  <c:v>Пасивна преносна премија</c:v>
                </c:pt>
                <c:pt idx="11">
                  <c:v>Пасивне резервисане штете</c:v>
                </c:pt>
              </c:strCache>
            </c:strRef>
          </c:cat>
          <c:val>
            <c:numRef>
              <c:f>'актива 2'!$D$4:$D$15</c:f>
              <c:numCache>
                <c:formatCode>General</c:formatCode>
                <c:ptCount val="12"/>
              </c:numCache>
            </c:numRef>
          </c:val>
        </c:ser>
        <c:ser>
          <c:idx val="2"/>
          <c:order val="2"/>
          <c:tx>
            <c:strRef>
              <c:f>'актива 2'!$E$3</c:f>
              <c:strCache>
                <c:ptCount val="1"/>
                <c:pt idx="0">
                  <c:v>2015</c:v>
                </c:pt>
              </c:strCache>
            </c:strRef>
          </c:tx>
          <c:invertIfNegative val="0"/>
          <c:dLbls>
            <c:spPr>
              <a:noFill/>
              <a:ln>
                <a:noFill/>
              </a:ln>
              <a:effectLst/>
            </c:spPr>
            <c:txPr>
              <a:bodyPr/>
              <a:lstStyle/>
              <a:p>
                <a:pPr>
                  <a:defRPr sz="800"/>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'актива 2'!$B$4:$B$15</c:f>
              <c:strCache>
                <c:ptCount val="12"/>
                <c:pt idx="0">
                  <c:v>Нематеријална улагања</c:v>
                </c:pt>
                <c:pt idx="1">
                  <c:v>Софтвер и остала права</c:v>
                </c:pt>
                <c:pt idx="2">
                  <c:v>Некретнине, постројења и опрема</c:v>
                </c:pt>
                <c:pt idx="3">
                  <c:v>Дугорочни финансијски пласмани</c:v>
                </c:pt>
                <c:pt idx="4">
                  <c:v>Залихе</c:v>
                </c:pt>
                <c:pt idx="5">
                  <c:v>Потраживања</c:v>
                </c:pt>
                <c:pt idx="6">
                  <c:v>Потраживања за више плаћен порез на добитак</c:v>
                </c:pt>
                <c:pt idx="7">
                  <c:v>Финансијски пласмани</c:v>
                </c:pt>
                <c:pt idx="8">
                  <c:v>Готовина и гот. еквиваленти</c:v>
                </c:pt>
                <c:pt idx="9">
                  <c:v>АВР</c:v>
                </c:pt>
                <c:pt idx="10">
                  <c:v>Пасивна преносна премија</c:v>
                </c:pt>
                <c:pt idx="11">
                  <c:v>Пасивне резервисане штете</c:v>
                </c:pt>
              </c:strCache>
            </c:strRef>
          </c:cat>
          <c:val>
            <c:numRef>
              <c:f>'актива 2'!$E$4:$E$15</c:f>
              <c:numCache>
                <c:formatCode>#,##0</c:formatCode>
                <c:ptCount val="12"/>
                <c:pt idx="0">
                  <c:v>4478</c:v>
                </c:pt>
                <c:pt idx="1">
                  <c:v>18952</c:v>
                </c:pt>
                <c:pt idx="2">
                  <c:v>9816</c:v>
                </c:pt>
                <c:pt idx="3" formatCode="General">
                  <c:v>276569</c:v>
                </c:pt>
                <c:pt idx="4">
                  <c:v>1091</c:v>
                </c:pt>
                <c:pt idx="5">
                  <c:v>858827</c:v>
                </c:pt>
                <c:pt idx="6" formatCode="General">
                  <c:v>0</c:v>
                </c:pt>
                <c:pt idx="7">
                  <c:v>1402764</c:v>
                </c:pt>
                <c:pt idx="8">
                  <c:v>382642</c:v>
                </c:pt>
                <c:pt idx="9">
                  <c:v>17716</c:v>
                </c:pt>
                <c:pt idx="10">
                  <c:v>372473</c:v>
                </c:pt>
                <c:pt idx="11">
                  <c:v>1415065</c:v>
                </c:pt>
              </c:numCache>
            </c:numRef>
          </c:val>
        </c:ser>
        <c:ser>
          <c:idx val="3"/>
          <c:order val="3"/>
          <c:tx>
            <c:strRef>
              <c:f>'актива 2'!$F$3</c:f>
              <c:strCache>
                <c:ptCount val="1"/>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'актива 2'!$B$4:$B$15</c:f>
              <c:strCache>
                <c:ptCount val="12"/>
                <c:pt idx="0">
                  <c:v>Нематеријална улагања</c:v>
                </c:pt>
                <c:pt idx="1">
                  <c:v>Софтвер и остала права</c:v>
                </c:pt>
                <c:pt idx="2">
                  <c:v>Некретнине, постројења и опрема</c:v>
                </c:pt>
                <c:pt idx="3">
                  <c:v>Дугорочни финансијски пласмани</c:v>
                </c:pt>
                <c:pt idx="4">
                  <c:v>Залихе</c:v>
                </c:pt>
                <c:pt idx="5">
                  <c:v>Потраживања</c:v>
                </c:pt>
                <c:pt idx="6">
                  <c:v>Потраживања за више плаћен порез на добитак</c:v>
                </c:pt>
                <c:pt idx="7">
                  <c:v>Финансијски пласмани</c:v>
                </c:pt>
                <c:pt idx="8">
                  <c:v>Готовина и гот. еквиваленти</c:v>
                </c:pt>
                <c:pt idx="9">
                  <c:v>АВР</c:v>
                </c:pt>
                <c:pt idx="10">
                  <c:v>Пасивна преносна премија</c:v>
                </c:pt>
                <c:pt idx="11">
                  <c:v>Пасивне резервисане штете</c:v>
                </c:pt>
              </c:strCache>
            </c:strRef>
          </c:cat>
          <c:val>
            <c:numRef>
              <c:f>'актива 2'!$F$4:$F$15</c:f>
              <c:numCache>
                <c:formatCode>General</c:formatCode>
                <c:ptCount val="12"/>
              </c:numCache>
            </c:numRef>
          </c:val>
        </c:ser>
        <c:dLbls>
          <c:showLegendKey val="0"/>
          <c:showVal val="1"/>
          <c:showCatName val="0"/>
          <c:showSerName val="0"/>
          <c:showPercent val="0"/>
          <c:showBubbleSize val="0"/>
        </c:dLbls>
        <c:gapWidth val="75"/>
        <c:overlap val="4"/>
        <c:axId val="128661376"/>
        <c:axId val="128659840"/>
      </c:barChart>
      <c:valAx>
        <c:axId val="128659840"/>
        <c:scaling>
          <c:orientation val="minMax"/>
        </c:scaling>
        <c:delete val="0"/>
        <c:axPos val="b"/>
        <c:numFmt formatCode="#,##0" sourceLinked="1"/>
        <c:majorTickMark val="none"/>
        <c:minorTickMark val="none"/>
        <c:tickLblPos val="nextTo"/>
        <c:txPr>
          <a:bodyPr/>
          <a:lstStyle/>
          <a:p>
            <a:pPr>
              <a:defRPr sz="800"/>
            </a:pPr>
            <a:endParaRPr lang="sr-Latn-RS"/>
          </a:p>
        </c:txPr>
        <c:crossAx val="128661376"/>
        <c:crosses val="autoZero"/>
        <c:crossBetween val="between"/>
      </c:valAx>
      <c:catAx>
        <c:axId val="128661376"/>
        <c:scaling>
          <c:orientation val="minMax"/>
        </c:scaling>
        <c:delete val="0"/>
        <c:axPos val="l"/>
        <c:numFmt formatCode="General" sourceLinked="0"/>
        <c:majorTickMark val="none"/>
        <c:minorTickMark val="none"/>
        <c:tickLblPos val="nextTo"/>
        <c:crossAx val="128659840"/>
        <c:crosses val="autoZero"/>
        <c:auto val="1"/>
        <c:lblAlgn val="ctr"/>
        <c:lblOffset val="100"/>
        <c:noMultiLvlLbl val="0"/>
      </c:catAx>
    </c:plotArea>
    <c:legend>
      <c:legendPos val="r"/>
      <c:legendEntry>
        <c:idx val="0"/>
        <c:delete val="1"/>
      </c:legendEntry>
      <c:legendEntry>
        <c:idx val="2"/>
        <c:delete val="1"/>
      </c:legendEntry>
      <c:overlay val="0"/>
      <c:txPr>
        <a:bodyPr/>
        <a:lstStyle/>
        <a:p>
          <a:pPr>
            <a:defRPr sz="800"/>
          </a:pPr>
          <a:endParaRPr lang="sr-Latn-RS"/>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sr-Latn-RS"/>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0"/>
    <c:plotArea>
      <c:layout/>
      <c:barChart>
        <c:barDir val="bar"/>
        <c:grouping val="clustered"/>
        <c:varyColors val="0"/>
        <c:ser>
          <c:idx val="0"/>
          <c:order val="0"/>
          <c:tx>
            <c:strRef>
              <c:f>пасива!$K$16</c:f>
              <c:strCache>
                <c:ptCount val="1"/>
                <c:pt idx="0">
                  <c:v>2015</c:v>
                </c:pt>
              </c:strCache>
            </c:strRef>
          </c:tx>
          <c:invertIfNegative val="0"/>
          <c:cat>
            <c:strRef>
              <c:f>пасива!$J$17:$J$23</c:f>
              <c:strCache>
                <c:ptCount val="7"/>
                <c:pt idx="0">
                  <c:v>Капитал и резерве</c:v>
                </c:pt>
                <c:pt idx="1">
                  <c:v>Дугорочна резервисања</c:v>
                </c:pt>
                <c:pt idx="2">
                  <c:v>Дугорочне обавезе</c:v>
                </c:pt>
                <c:pt idx="3">
                  <c:v>Одложене пореске обавезе</c:v>
                </c:pt>
                <c:pt idx="4">
                  <c:v>Краткорочне обавезе</c:v>
                </c:pt>
                <c:pt idx="5">
                  <c:v>Преносна премија</c:v>
                </c:pt>
                <c:pt idx="6">
                  <c:v>Резервисане штете</c:v>
                </c:pt>
              </c:strCache>
            </c:strRef>
          </c:cat>
          <c:val>
            <c:numRef>
              <c:f>пасива!$K$17:$K$23</c:f>
              <c:numCache>
                <c:formatCode>_-* #,##0\ _D_i_n_._-;\-* #,##0\ _D_i_n_._-;_-* "-"??\ _D_i_n_._-;_-@_-</c:formatCode>
                <c:ptCount val="7"/>
                <c:pt idx="0">
                  <c:v>1527511</c:v>
                </c:pt>
                <c:pt idx="1">
                  <c:v>34161</c:v>
                </c:pt>
                <c:pt idx="2">
                  <c:v>0</c:v>
                </c:pt>
                <c:pt idx="3">
                  <c:v>4537</c:v>
                </c:pt>
                <c:pt idx="4">
                  <c:v>862737</c:v>
                </c:pt>
                <c:pt idx="5">
                  <c:v>482428</c:v>
                </c:pt>
                <c:pt idx="6">
                  <c:v>1866528</c:v>
                </c:pt>
              </c:numCache>
            </c:numRef>
          </c:val>
        </c:ser>
        <c:ser>
          <c:idx val="1"/>
          <c:order val="1"/>
          <c:tx>
            <c:strRef>
              <c:f>пасива!$L$16</c:f>
              <c:strCache>
                <c:ptCount val="1"/>
                <c:pt idx="0">
                  <c:v>2014</c:v>
                </c:pt>
              </c:strCache>
            </c:strRef>
          </c:tx>
          <c:invertIfNegative val="0"/>
          <c:cat>
            <c:strRef>
              <c:f>пасива!$J$17:$J$23</c:f>
              <c:strCache>
                <c:ptCount val="7"/>
                <c:pt idx="0">
                  <c:v>Капитал и резерве</c:v>
                </c:pt>
                <c:pt idx="1">
                  <c:v>Дугорочна резервисања</c:v>
                </c:pt>
                <c:pt idx="2">
                  <c:v>Дугорочне обавезе</c:v>
                </c:pt>
                <c:pt idx="3">
                  <c:v>Одложене пореске обавезе</c:v>
                </c:pt>
                <c:pt idx="4">
                  <c:v>Краткорочне обавезе</c:v>
                </c:pt>
                <c:pt idx="5">
                  <c:v>Преносна премија</c:v>
                </c:pt>
                <c:pt idx="6">
                  <c:v>Резервисане штете</c:v>
                </c:pt>
              </c:strCache>
            </c:strRef>
          </c:cat>
          <c:val>
            <c:numRef>
              <c:f>пасива!$L$17:$L$23</c:f>
              <c:numCache>
                <c:formatCode>_-* #,##0\ _D_i_n_._-;\-* #,##0\ _D_i_n_._-;_-* "-"??\ _D_i_n_._-;_-@_-</c:formatCode>
                <c:ptCount val="7"/>
                <c:pt idx="0">
                  <c:v>1183632</c:v>
                </c:pt>
                <c:pt idx="1">
                  <c:v>249543</c:v>
                </c:pt>
                <c:pt idx="2">
                  <c:v>1457</c:v>
                </c:pt>
                <c:pt idx="3">
                  <c:v>4484</c:v>
                </c:pt>
                <c:pt idx="4">
                  <c:v>804930</c:v>
                </c:pt>
                <c:pt idx="5">
                  <c:v>374847</c:v>
                </c:pt>
                <c:pt idx="6">
                  <c:v>1577705</c:v>
                </c:pt>
              </c:numCache>
            </c:numRef>
          </c:val>
        </c:ser>
        <c:dLbls>
          <c:showLegendKey val="0"/>
          <c:showVal val="0"/>
          <c:showCatName val="0"/>
          <c:showSerName val="0"/>
          <c:showPercent val="0"/>
          <c:showBubbleSize val="0"/>
        </c:dLbls>
        <c:gapWidth val="150"/>
        <c:axId val="154708992"/>
        <c:axId val="154714880"/>
      </c:barChart>
      <c:catAx>
        <c:axId val="154708992"/>
        <c:scaling>
          <c:orientation val="minMax"/>
        </c:scaling>
        <c:delete val="0"/>
        <c:axPos val="l"/>
        <c:numFmt formatCode="General" sourceLinked="0"/>
        <c:majorTickMark val="out"/>
        <c:minorTickMark val="none"/>
        <c:tickLblPos val="nextTo"/>
        <c:txPr>
          <a:bodyPr/>
          <a:lstStyle/>
          <a:p>
            <a:pPr>
              <a:defRPr sz="700"/>
            </a:pPr>
            <a:endParaRPr lang="sr-Latn-RS"/>
          </a:p>
        </c:txPr>
        <c:crossAx val="154714880"/>
        <c:crosses val="autoZero"/>
        <c:auto val="1"/>
        <c:lblAlgn val="ctr"/>
        <c:lblOffset val="100"/>
        <c:noMultiLvlLbl val="0"/>
      </c:catAx>
      <c:valAx>
        <c:axId val="154714880"/>
        <c:scaling>
          <c:orientation val="minMax"/>
        </c:scaling>
        <c:delete val="0"/>
        <c:axPos val="b"/>
        <c:majorGridlines/>
        <c:numFmt formatCode="_-* #,##0\ _D_i_n_._-;\-* #,##0\ _D_i_n_._-;_-* &quot;-&quot;??\ _D_i_n_._-;_-@_-" sourceLinked="1"/>
        <c:majorTickMark val="out"/>
        <c:minorTickMark val="none"/>
        <c:tickLblPos val="nextTo"/>
        <c:crossAx val="154708992"/>
        <c:crosses val="autoZero"/>
        <c:crossBetween val="between"/>
      </c:valAx>
    </c:plotArea>
    <c:legend>
      <c:legendPos val="r"/>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sr-Latn-RS"/>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barChart>
        <c:barDir val="bar"/>
        <c:grouping val="clustered"/>
        <c:varyColors val="0"/>
        <c:ser>
          <c:idx val="0"/>
          <c:order val="0"/>
          <c:tx>
            <c:strRef>
              <c:f>обавезе!$H$22</c:f>
              <c:strCache>
                <c:ptCount val="1"/>
                <c:pt idx="0">
                  <c:v>2015</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обавезе!$G$23:$G$26</c:f>
              <c:strCache>
                <c:ptCount val="4"/>
                <c:pt idx="0">
                  <c:v>Краткорочне финансијске обавезе</c:v>
                </c:pt>
                <c:pt idx="1">
                  <c:v>Обавезе по основу штета и уговорених износа</c:v>
                </c:pt>
                <c:pt idx="2">
                  <c:v>Обавезе за премију, зараде и друге обавезе</c:v>
                </c:pt>
                <c:pt idx="3">
                  <c:v>Оабезе за порез из резулатата</c:v>
                </c:pt>
              </c:strCache>
            </c:strRef>
          </c:cat>
          <c:val>
            <c:numRef>
              <c:f>обавезе!$H$23:$H$26</c:f>
              <c:numCache>
                <c:formatCode>#,##0</c:formatCode>
                <c:ptCount val="4"/>
                <c:pt idx="0">
                  <c:v>1630</c:v>
                </c:pt>
                <c:pt idx="1">
                  <c:v>313546</c:v>
                </c:pt>
                <c:pt idx="2">
                  <c:v>545611</c:v>
                </c:pt>
                <c:pt idx="3">
                  <c:v>1950</c:v>
                </c:pt>
              </c:numCache>
            </c:numRef>
          </c:val>
        </c:ser>
        <c:ser>
          <c:idx val="1"/>
          <c:order val="1"/>
          <c:tx>
            <c:strRef>
              <c:f>обавезе!$I$22</c:f>
              <c:strCache>
                <c:ptCount val="1"/>
                <c:pt idx="0">
                  <c:v>2014</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обавезе!$G$23:$G$26</c:f>
              <c:strCache>
                <c:ptCount val="4"/>
                <c:pt idx="0">
                  <c:v>Краткорочне финансијске обавезе</c:v>
                </c:pt>
                <c:pt idx="1">
                  <c:v>Обавезе по основу штета и уговорених износа</c:v>
                </c:pt>
                <c:pt idx="2">
                  <c:v>Обавезе за премију, зараде и друге обавезе</c:v>
                </c:pt>
                <c:pt idx="3">
                  <c:v>Оабезе за порез из резулатата</c:v>
                </c:pt>
              </c:strCache>
            </c:strRef>
          </c:cat>
          <c:val>
            <c:numRef>
              <c:f>обавезе!$I$23:$I$26</c:f>
              <c:numCache>
                <c:formatCode>#,##0</c:formatCode>
                <c:ptCount val="4"/>
                <c:pt idx="0">
                  <c:v>1457</c:v>
                </c:pt>
                <c:pt idx="1">
                  <c:v>407230</c:v>
                </c:pt>
                <c:pt idx="2">
                  <c:v>396243</c:v>
                </c:pt>
                <c:pt idx="3">
                  <c:v>0</c:v>
                </c:pt>
              </c:numCache>
            </c:numRef>
          </c:val>
        </c:ser>
        <c:dLbls>
          <c:showLegendKey val="0"/>
          <c:showVal val="1"/>
          <c:showCatName val="0"/>
          <c:showSerName val="0"/>
          <c:showPercent val="0"/>
          <c:showBubbleSize val="0"/>
        </c:dLbls>
        <c:gapWidth val="75"/>
        <c:axId val="154924928"/>
        <c:axId val="154926464"/>
      </c:barChart>
      <c:catAx>
        <c:axId val="154924928"/>
        <c:scaling>
          <c:orientation val="minMax"/>
        </c:scaling>
        <c:delete val="0"/>
        <c:axPos val="l"/>
        <c:numFmt formatCode="General" sourceLinked="0"/>
        <c:majorTickMark val="none"/>
        <c:minorTickMark val="none"/>
        <c:tickLblPos val="nextTo"/>
        <c:txPr>
          <a:bodyPr/>
          <a:lstStyle/>
          <a:p>
            <a:pPr>
              <a:defRPr sz="800"/>
            </a:pPr>
            <a:endParaRPr lang="sr-Latn-RS"/>
          </a:p>
        </c:txPr>
        <c:crossAx val="154926464"/>
        <c:crosses val="autoZero"/>
        <c:auto val="1"/>
        <c:lblAlgn val="ctr"/>
        <c:lblOffset val="100"/>
        <c:noMultiLvlLbl val="0"/>
      </c:catAx>
      <c:valAx>
        <c:axId val="154926464"/>
        <c:scaling>
          <c:orientation val="minMax"/>
        </c:scaling>
        <c:delete val="0"/>
        <c:axPos val="b"/>
        <c:numFmt formatCode="#,##0" sourceLinked="1"/>
        <c:majorTickMark val="none"/>
        <c:minorTickMark val="none"/>
        <c:tickLblPos val="nextTo"/>
        <c:crossAx val="154924928"/>
        <c:crosses val="autoZero"/>
        <c:crossBetween val="between"/>
      </c:valAx>
    </c:plotArea>
    <c:legend>
      <c:legendPos val="b"/>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sr-Latn-RS"/>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manualLayout>
          <c:layoutTarget val="inner"/>
          <c:xMode val="edge"/>
          <c:yMode val="edge"/>
          <c:x val="0.42934592001357197"/>
          <c:y val="0.13690815744438106"/>
          <c:w val="0.52068508443743822"/>
          <c:h val="0.64971527592498268"/>
        </c:manualLayout>
      </c:layout>
      <c:barChart>
        <c:barDir val="bar"/>
        <c:grouping val="clustered"/>
        <c:varyColors val="0"/>
        <c:ser>
          <c:idx val="0"/>
          <c:order val="0"/>
          <c:invertIfNegative val="0"/>
          <c:dLbls>
            <c:dLbl>
              <c:idx val="8"/>
              <c:layout>
                <c:manualLayout>
                  <c:x val="-5.6432566811684279E-2"/>
                  <c:y val="0.15972618368511124"/>
                </c:manualLayout>
              </c:layout>
              <c:dLblPos val="outEnd"/>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700"/>
                </a:pPr>
                <a:endParaRPr lang="sr-Latn-R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резерве!$I$2:$I$10</c:f>
              <c:strCache>
                <c:ptCount val="9"/>
                <c:pt idx="0">
                  <c:v>Депозити код банка</c:v>
                </c:pt>
                <c:pt idx="1">
                  <c:v>Акције на листи А београдске берзе</c:v>
                </c:pt>
                <c:pt idx="2">
                  <c:v>Акције ван лисе А београдске берзе</c:v>
                </c:pt>
                <c:pt idx="3">
                  <c:v>Записи РС без ограничења</c:v>
                </c:pt>
                <c:pt idx="4">
                  <c:v>Записи РС без ограничења-живот</c:v>
                </c:pt>
                <c:pt idx="5">
                  <c:v>Сreдства на рачуну без ограничења-неживот</c:v>
                </c:pt>
                <c:pt idx="6">
                  <c:v>Сreдства на рачуну без ограничења-живот</c:v>
                </c:pt>
                <c:pt idx="7">
                  <c:v>Средства у прен. премијама и резер.штет.-живот</c:v>
                </c:pt>
                <c:pt idx="8">
                  <c:v>Средства у прен. премијама и резер.штет.-неживот</c:v>
                </c:pt>
              </c:strCache>
            </c:strRef>
          </c:cat>
          <c:val>
            <c:numRef>
              <c:f>резерве!$J$2:$J$10</c:f>
              <c:numCache>
                <c:formatCode>_-* #,##0\ _D_i_n_._-;\-* #,##0\ _D_i_n_._-;_-* "-"??\ _D_i_n_._-;_-@_-</c:formatCode>
                <c:ptCount val="9"/>
                <c:pt idx="0" formatCode="#,##0">
                  <c:v>92436</c:v>
                </c:pt>
                <c:pt idx="1">
                  <c:v>32550</c:v>
                </c:pt>
                <c:pt idx="2" formatCode="#,##0">
                  <c:v>27965</c:v>
                </c:pt>
                <c:pt idx="3" formatCode="#,##0">
                  <c:v>268846</c:v>
                </c:pt>
                <c:pt idx="4" formatCode="#,##0">
                  <c:v>6693</c:v>
                </c:pt>
                <c:pt idx="5" formatCode="#,##0">
                  <c:v>56228</c:v>
                </c:pt>
                <c:pt idx="6" formatCode="#,##0">
                  <c:v>7</c:v>
                </c:pt>
                <c:pt idx="7" formatCode="#,##0">
                  <c:v>42236</c:v>
                </c:pt>
                <c:pt idx="8" formatCode="#,##0">
                  <c:v>1762811</c:v>
                </c:pt>
              </c:numCache>
            </c:numRef>
          </c:val>
        </c:ser>
        <c:dLbls>
          <c:showLegendKey val="0"/>
          <c:showVal val="0"/>
          <c:showCatName val="0"/>
          <c:showSerName val="0"/>
          <c:showPercent val="0"/>
          <c:showBubbleSize val="0"/>
        </c:dLbls>
        <c:gapWidth val="75"/>
        <c:overlap val="40"/>
        <c:axId val="155032960"/>
        <c:axId val="155038848"/>
      </c:barChart>
      <c:catAx>
        <c:axId val="155032960"/>
        <c:scaling>
          <c:orientation val="minMax"/>
        </c:scaling>
        <c:delete val="0"/>
        <c:axPos val="l"/>
        <c:numFmt formatCode="General" sourceLinked="0"/>
        <c:majorTickMark val="none"/>
        <c:minorTickMark val="none"/>
        <c:tickLblPos val="nextTo"/>
        <c:txPr>
          <a:bodyPr/>
          <a:lstStyle/>
          <a:p>
            <a:pPr>
              <a:defRPr sz="700"/>
            </a:pPr>
            <a:endParaRPr lang="sr-Latn-RS"/>
          </a:p>
        </c:txPr>
        <c:crossAx val="155038848"/>
        <c:crosses val="autoZero"/>
        <c:auto val="1"/>
        <c:lblAlgn val="ctr"/>
        <c:lblOffset val="100"/>
        <c:noMultiLvlLbl val="0"/>
      </c:catAx>
      <c:valAx>
        <c:axId val="155038848"/>
        <c:scaling>
          <c:orientation val="minMax"/>
        </c:scaling>
        <c:delete val="0"/>
        <c:axPos val="b"/>
        <c:majorGridlines/>
        <c:numFmt formatCode="#,##0" sourceLinked="1"/>
        <c:majorTickMark val="none"/>
        <c:minorTickMark val="none"/>
        <c:tickLblPos val="nextTo"/>
        <c:txPr>
          <a:bodyPr/>
          <a:lstStyle/>
          <a:p>
            <a:pPr>
              <a:defRPr sz="700"/>
            </a:pPr>
            <a:endParaRPr lang="sr-Latn-RS"/>
          </a:p>
        </c:txPr>
        <c:crossAx val="155032960"/>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sr-Latn-RS"/>
  <c:roundedCorners val="0"/>
  <mc:AlternateContent xmlns:mc="http://schemas.openxmlformats.org/markup-compatibility/2006">
    <mc:Choice xmlns:c14="http://schemas.microsoft.com/office/drawing/2007/8/2/chart" Requires="c14">
      <c14:style val="127"/>
    </mc:Choice>
    <mc:Fallback>
      <c:style val="27"/>
    </mc:Fallback>
  </mc:AlternateContent>
  <c:chart>
    <c:autoTitleDeleted val="1"/>
    <c:plotArea>
      <c:layout/>
      <c:barChart>
        <c:barDir val="bar"/>
        <c:grouping val="clustered"/>
        <c:varyColors val="0"/>
        <c:ser>
          <c:idx val="0"/>
          <c:order val="0"/>
          <c:invertIfNegative val="0"/>
          <c:dLbls>
            <c:spPr>
              <a:noFill/>
              <a:ln>
                <a:noFill/>
              </a:ln>
              <a:effectLst/>
            </c:spPr>
            <c:txPr>
              <a:bodyPr/>
              <a:lstStyle/>
              <a:p>
                <a:pPr>
                  <a:defRPr sz="700"/>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'основни и остали капитал'!$E$61:$E$64</c:f>
              <c:strCache>
                <c:ptCount val="4"/>
                <c:pt idx="0">
                  <c:v>Депозити код банака</c:v>
                </c:pt>
                <c:pt idx="1">
                  <c:v>У акције којима се тргује ван листинга А у иност. ван земаља ЕУ и ОЕЦД</c:v>
                </c:pt>
                <c:pt idx="2">
                  <c:v>У обвезнице и дужничке ХоВ којима се тргује у земљи и иностранству</c:v>
                </c:pt>
                <c:pt idx="3">
                  <c:v>Средства на рачуну</c:v>
                </c:pt>
              </c:strCache>
            </c:strRef>
          </c:cat>
          <c:val>
            <c:numRef>
              <c:f>'основни и остали капитал'!$F$61:$F$64</c:f>
              <c:numCache>
                <c:formatCode>#,##0</c:formatCode>
                <c:ptCount val="4"/>
                <c:pt idx="0">
                  <c:v>167852</c:v>
                </c:pt>
                <c:pt idx="1">
                  <c:v>14523</c:v>
                </c:pt>
                <c:pt idx="2">
                  <c:v>888240</c:v>
                </c:pt>
                <c:pt idx="3">
                  <c:v>224188</c:v>
                </c:pt>
              </c:numCache>
            </c:numRef>
          </c:val>
        </c:ser>
        <c:dLbls>
          <c:showLegendKey val="0"/>
          <c:showVal val="1"/>
          <c:showCatName val="0"/>
          <c:showSerName val="0"/>
          <c:showPercent val="0"/>
          <c:showBubbleSize val="0"/>
        </c:dLbls>
        <c:gapWidth val="75"/>
        <c:axId val="155221376"/>
        <c:axId val="155519232"/>
      </c:barChart>
      <c:catAx>
        <c:axId val="155221376"/>
        <c:scaling>
          <c:orientation val="minMax"/>
        </c:scaling>
        <c:delete val="0"/>
        <c:axPos val="l"/>
        <c:numFmt formatCode="General" sourceLinked="0"/>
        <c:majorTickMark val="none"/>
        <c:minorTickMark val="none"/>
        <c:tickLblPos val="nextTo"/>
        <c:txPr>
          <a:bodyPr/>
          <a:lstStyle/>
          <a:p>
            <a:pPr>
              <a:defRPr sz="700"/>
            </a:pPr>
            <a:endParaRPr lang="sr-Latn-RS"/>
          </a:p>
        </c:txPr>
        <c:crossAx val="155519232"/>
        <c:crosses val="autoZero"/>
        <c:auto val="1"/>
        <c:lblAlgn val="ctr"/>
        <c:lblOffset val="100"/>
        <c:noMultiLvlLbl val="0"/>
      </c:catAx>
      <c:valAx>
        <c:axId val="155519232"/>
        <c:scaling>
          <c:orientation val="minMax"/>
        </c:scaling>
        <c:delete val="0"/>
        <c:axPos val="b"/>
        <c:numFmt formatCode="#,##0" sourceLinked="1"/>
        <c:majorTickMark val="none"/>
        <c:minorTickMark val="none"/>
        <c:tickLblPos val="nextTo"/>
        <c:txPr>
          <a:bodyPr/>
          <a:lstStyle/>
          <a:p>
            <a:pPr>
              <a:defRPr sz="700"/>
            </a:pPr>
            <a:endParaRPr lang="sr-Latn-RS"/>
          </a:p>
        </c:txPr>
        <c:crossAx val="155221376"/>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sr-Latn-RS"/>
  <c:roundedCorners val="0"/>
  <mc:AlternateContent xmlns:mc="http://schemas.openxmlformats.org/markup-compatibility/2006">
    <mc:Choice xmlns:c14="http://schemas.microsoft.com/office/drawing/2007/8/2/chart" Requires="c14">
      <c14:style val="126"/>
    </mc:Choice>
    <mc:Fallback>
      <c:style val="26"/>
    </mc:Fallback>
  </mc:AlternateContent>
  <c:chart>
    <c:autoTitleDeleted val="1"/>
    <c:plotArea>
      <c:layout/>
      <c:barChart>
        <c:barDir val="bar"/>
        <c:grouping val="clustered"/>
        <c:varyColors val="0"/>
        <c:ser>
          <c:idx val="0"/>
          <c:order val="0"/>
          <c:tx>
            <c:strRef>
              <c:f>'инвестициони портфолио'!$C$16</c:f>
              <c:strCache>
                <c:ptCount val="1"/>
                <c:pt idx="0">
                  <c:v>2015</c:v>
                </c:pt>
              </c:strCache>
            </c:strRef>
          </c:tx>
          <c:invertIfNegative val="0"/>
          <c:dLbls>
            <c:spPr>
              <a:noFill/>
              <a:ln>
                <a:noFill/>
              </a:ln>
              <a:effectLst/>
            </c:spPr>
            <c:txPr>
              <a:bodyPr/>
              <a:lstStyle/>
              <a:p>
                <a:pPr>
                  <a:defRPr sz="700"/>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'инвестициони портфолио'!$B$17:$B$22</c:f>
              <c:strCache>
                <c:ptCount val="6"/>
                <c:pt idx="0">
                  <c:v>Хартије од вредности које се држе до доспећа</c:v>
                </c:pt>
                <c:pt idx="1">
                  <c:v>Дужничке хартије од вредности расположиве за продају</c:v>
                </c:pt>
                <c:pt idx="2">
                  <c:v>Власничке хартије од вредности расположиве за продају</c:v>
                </c:pt>
                <c:pt idx="3">
                  <c:v>Хартије од вредности намењене трговању</c:v>
                </c:pt>
                <c:pt idx="4">
                  <c:v>Краткорочни депозити код банака</c:v>
                </c:pt>
                <c:pt idx="5">
                  <c:v>Готовина и готовински еквиваленти</c:v>
                </c:pt>
              </c:strCache>
            </c:strRef>
          </c:cat>
          <c:val>
            <c:numRef>
              <c:f>'инвестициони портфолио'!$C$17:$C$22</c:f>
              <c:numCache>
                <c:formatCode>0</c:formatCode>
                <c:ptCount val="6"/>
                <c:pt idx="0" formatCode="#,##0">
                  <c:v>276569</c:v>
                </c:pt>
                <c:pt idx="1">
                  <c:v>0</c:v>
                </c:pt>
                <c:pt idx="2" formatCode="#,##0">
                  <c:v>125629</c:v>
                </c:pt>
                <c:pt idx="3" formatCode="#,##0">
                  <c:v>1013680</c:v>
                </c:pt>
                <c:pt idx="4" formatCode="#,##0">
                  <c:v>263455</c:v>
                </c:pt>
                <c:pt idx="5" formatCode="#,##0">
                  <c:v>382642</c:v>
                </c:pt>
              </c:numCache>
            </c:numRef>
          </c:val>
        </c:ser>
        <c:ser>
          <c:idx val="1"/>
          <c:order val="1"/>
          <c:tx>
            <c:strRef>
              <c:f>'инвестициони портфолио'!$D$16</c:f>
              <c:strCache>
                <c:ptCount val="1"/>
                <c:pt idx="0">
                  <c:v>2014</c:v>
                </c:pt>
              </c:strCache>
            </c:strRef>
          </c:tx>
          <c:invertIfNegative val="0"/>
          <c:dLbls>
            <c:spPr>
              <a:noFill/>
              <a:ln>
                <a:noFill/>
              </a:ln>
              <a:effectLst/>
            </c:spPr>
            <c:txPr>
              <a:bodyPr/>
              <a:lstStyle/>
              <a:p>
                <a:pPr>
                  <a:defRPr sz="700"/>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'инвестициони портфолио'!$B$17:$B$22</c:f>
              <c:strCache>
                <c:ptCount val="6"/>
                <c:pt idx="0">
                  <c:v>Хартије од вредности које се држе до доспећа</c:v>
                </c:pt>
                <c:pt idx="1">
                  <c:v>Дужничке хартије од вредности расположиве за продају</c:v>
                </c:pt>
                <c:pt idx="2">
                  <c:v>Власничке хартије од вредности расположиве за продају</c:v>
                </c:pt>
                <c:pt idx="3">
                  <c:v>Хартије од вредности намењене трговању</c:v>
                </c:pt>
                <c:pt idx="4">
                  <c:v>Краткорочни депозити код банака</c:v>
                </c:pt>
                <c:pt idx="5">
                  <c:v>Готовина и готовински еквиваленти</c:v>
                </c:pt>
              </c:strCache>
            </c:strRef>
          </c:cat>
          <c:val>
            <c:numRef>
              <c:f>'инвестициони портфолио'!$D$17:$D$22</c:f>
              <c:numCache>
                <c:formatCode>#,##0</c:formatCode>
                <c:ptCount val="6"/>
                <c:pt idx="0">
                  <c:v>275284</c:v>
                </c:pt>
                <c:pt idx="1">
                  <c:v>357933</c:v>
                </c:pt>
                <c:pt idx="2">
                  <c:v>147518</c:v>
                </c:pt>
                <c:pt idx="3">
                  <c:v>125795</c:v>
                </c:pt>
                <c:pt idx="4">
                  <c:v>377244</c:v>
                </c:pt>
                <c:pt idx="5">
                  <c:v>842881</c:v>
                </c:pt>
              </c:numCache>
            </c:numRef>
          </c:val>
        </c:ser>
        <c:dLbls>
          <c:showLegendKey val="0"/>
          <c:showVal val="1"/>
          <c:showCatName val="0"/>
          <c:showSerName val="0"/>
          <c:showPercent val="0"/>
          <c:showBubbleSize val="0"/>
        </c:dLbls>
        <c:gapWidth val="75"/>
        <c:axId val="155724800"/>
        <c:axId val="155742976"/>
      </c:barChart>
      <c:catAx>
        <c:axId val="155724800"/>
        <c:scaling>
          <c:orientation val="minMax"/>
        </c:scaling>
        <c:delete val="0"/>
        <c:axPos val="l"/>
        <c:numFmt formatCode="General" sourceLinked="0"/>
        <c:majorTickMark val="none"/>
        <c:minorTickMark val="none"/>
        <c:tickLblPos val="nextTo"/>
        <c:txPr>
          <a:bodyPr/>
          <a:lstStyle/>
          <a:p>
            <a:pPr>
              <a:defRPr sz="700"/>
            </a:pPr>
            <a:endParaRPr lang="sr-Latn-RS"/>
          </a:p>
        </c:txPr>
        <c:crossAx val="155742976"/>
        <c:crosses val="autoZero"/>
        <c:auto val="1"/>
        <c:lblAlgn val="ctr"/>
        <c:lblOffset val="100"/>
        <c:noMultiLvlLbl val="0"/>
      </c:catAx>
      <c:valAx>
        <c:axId val="155742976"/>
        <c:scaling>
          <c:orientation val="minMax"/>
        </c:scaling>
        <c:delete val="0"/>
        <c:axPos val="b"/>
        <c:numFmt formatCode="#,##0" sourceLinked="1"/>
        <c:majorTickMark val="none"/>
        <c:minorTickMark val="none"/>
        <c:tickLblPos val="nextTo"/>
        <c:txPr>
          <a:bodyPr/>
          <a:lstStyle/>
          <a:p>
            <a:pPr>
              <a:defRPr sz="700"/>
            </a:pPr>
            <a:endParaRPr lang="sr-Latn-RS"/>
          </a:p>
        </c:txPr>
        <c:crossAx val="155724800"/>
        <c:crosses val="autoZero"/>
        <c:crossBetween val="between"/>
      </c:valAx>
    </c:plotArea>
    <c:legend>
      <c:legendPos val="b"/>
      <c:overlay val="0"/>
      <c:txPr>
        <a:bodyPr/>
        <a:lstStyle/>
        <a:p>
          <a:pPr>
            <a:defRPr sz="700"/>
          </a:pPr>
          <a:endParaRPr lang="sr-Latn-RS"/>
        </a:p>
      </c:txPr>
    </c:legend>
    <c:plotVisOnly val="1"/>
    <c:dispBlanksAs val="gap"/>
    <c:showDLblsOverMax val="0"/>
  </c:chart>
  <c:externalData r:id="rId1">
    <c:autoUpdate val="0"/>
  </c:externalData>
</c:chartSpace>
</file>

<file path=word/theme/_rels/theme1.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Aspect">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spect">
      <a:majorFont>
        <a:latin typeface="Verdana"/>
        <a:ea typeface=""/>
        <a:cs typeface=""/>
        <a:font script="Jpan" typeface="ＭＳ ゴシック"/>
        <a:font script="Hang" typeface="굴림"/>
        <a:font script="Hans" typeface="微软雅黑"/>
        <a:font script="Hant" typeface="微軟正黑體"/>
        <a:font script="Arab" typeface="Tahoma"/>
        <a:font script="Hebr" typeface="Tahoma"/>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ajorFont>
      <a:minorFont>
        <a:latin typeface="Verdana"/>
        <a:ea typeface=""/>
        <a:cs typeface=""/>
        <a:font script="Jpan" typeface="ＭＳ ゴシック"/>
        <a:font script="Hang" typeface="굴림"/>
        <a:font script="Hans" typeface="微软雅黑"/>
        <a:font script="Hant" typeface="微軟正黑體"/>
        <a:font script="Arab" typeface="Tahoma"/>
        <a:font script="Hebr" typeface="Tahoma"/>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Elemental">
      <a:fillStyleLst>
        <a:solidFill>
          <a:schemeClr val="phClr"/>
        </a:solidFill>
        <a:gradFill rotWithShape="1">
          <a:gsLst>
            <a:gs pos="0">
              <a:schemeClr val="phClr">
                <a:tint val="90000"/>
              </a:schemeClr>
            </a:gs>
            <a:gs pos="48000">
              <a:schemeClr val="phClr">
                <a:tint val="54000"/>
                <a:satMod val="140000"/>
              </a:schemeClr>
            </a:gs>
            <a:gs pos="100000">
              <a:schemeClr val="phClr">
                <a:tint val="24000"/>
                <a:satMod val="260000"/>
              </a:schemeClr>
            </a:gs>
          </a:gsLst>
          <a:lin ang="16200000" scaled="1"/>
        </a:gradFill>
        <a:gradFill rotWithShape="1">
          <a:gsLst>
            <a:gs pos="0">
              <a:schemeClr val="phClr"/>
            </a:gs>
            <a:gs pos="100000">
              <a:schemeClr val="phClr">
                <a:shade val="48000"/>
                <a:satMod val="180000"/>
                <a:lumMod val="94000"/>
              </a:schemeClr>
            </a:gs>
            <a:gs pos="100000">
              <a:schemeClr val="phClr">
                <a:shade val="48000"/>
                <a:satMod val="180000"/>
                <a:lumMod val="94000"/>
              </a:schemeClr>
            </a:gs>
          </a:gsLst>
          <a:lin ang="4140000" scaled="1"/>
        </a:gradFill>
      </a:fillStyleLst>
      <a:lnStyleLst>
        <a:ln w="12700" cap="flat" cmpd="sng" algn="ctr">
          <a:solidFill>
            <a:schemeClr val="phClr"/>
          </a:solidFill>
          <a:prstDash val="solid"/>
        </a:ln>
        <a:ln w="19050" cap="flat" cmpd="sng" algn="ctr">
          <a:solidFill>
            <a:schemeClr val="phClr"/>
          </a:solidFill>
          <a:prstDash val="solid"/>
        </a:ln>
        <a:ln w="28575" cap="flat" cmpd="sng" algn="ctr">
          <a:solidFill>
            <a:schemeClr val="phClr"/>
          </a:solidFill>
          <a:prstDash val="solid"/>
        </a:ln>
      </a:lnStyleLst>
      <a:effectStyleLst>
        <a:effectStyle>
          <a:effectLst>
            <a:outerShdw blurRad="63500" dist="12700" dir="5400000" sx="102000" sy="102000" rotWithShape="0">
              <a:srgbClr val="000000">
                <a:alpha val="32000"/>
              </a:srgbClr>
            </a:outerShdw>
          </a:effectLst>
        </a:effectStyle>
        <a:effectStyle>
          <a:effectLst>
            <a:outerShdw blurRad="76200" dist="38100" dir="5400000" rotWithShape="0">
              <a:srgbClr val="000000">
                <a:alpha val="60000"/>
              </a:srgbClr>
            </a:outerShdw>
          </a:effectLst>
          <a:scene3d>
            <a:camera prst="orthographicFront">
              <a:rot lat="0" lon="0" rev="0"/>
            </a:camera>
            <a:lightRig rig="glow" dir="tl">
              <a:rot lat="0" lon="0" rev="19800000"/>
            </a:lightRig>
          </a:scene3d>
          <a:sp3d prstMaterial="metal">
            <a:bevelT w="38100" h="38100"/>
          </a:sp3d>
        </a:effectStyle>
        <a:effectStyle>
          <a:effectLst>
            <a:outerShdw blurRad="114300" dist="114300" dir="5400000" rotWithShape="0">
              <a:srgbClr val="000000">
                <a:alpha val="70000"/>
              </a:srgbClr>
            </a:outerShdw>
          </a:effectLst>
          <a:scene3d>
            <a:camera prst="orthographicFront">
              <a:rot lat="0" lon="0" rev="0"/>
            </a:camera>
            <a:lightRig rig="threePt" dir="t">
              <a:rot lat="0" lon="0" rev="19800000"/>
            </a:lightRig>
          </a:scene3d>
          <a:sp3d prstMaterial="plastic">
            <a:bevelT w="50800" h="50800"/>
          </a:sp3d>
        </a:effectStyle>
      </a:effectStyleLst>
      <a:bgFillStyleLst>
        <a:solidFill>
          <a:schemeClr val="phClr"/>
        </a:solidFill>
        <a:gradFill rotWithShape="1">
          <a:gsLst>
            <a:gs pos="0">
              <a:schemeClr val="phClr">
                <a:shade val="35000"/>
                <a:satMod val="150000"/>
              </a:schemeClr>
            </a:gs>
            <a:gs pos="45000">
              <a:schemeClr val="phClr">
                <a:shade val="68000"/>
                <a:satMod val="155000"/>
              </a:schemeClr>
            </a:gs>
            <a:gs pos="100000">
              <a:schemeClr val="phClr">
                <a:tint val="70000"/>
                <a:satMod val="175000"/>
              </a:schemeClr>
            </a:gs>
          </a:gsLst>
          <a:lin ang="16200000" scaled="0"/>
        </a:gradFill>
        <a:blipFill>
          <a:blip xmlns:r="http://schemas.openxmlformats.org/officeDocument/2006/relationships" r:embed="rId1">
            <a:duotone>
              <a:schemeClr val="phClr">
                <a:shade val="800"/>
                <a:satMod val="150000"/>
              </a:schemeClr>
              <a:schemeClr val="phClr">
                <a:tint val="80000"/>
                <a:satMod val="150000"/>
              </a:schemeClr>
            </a:duotone>
          </a:blip>
          <a:tile tx="0" ty="0" sx="75000" sy="75000" flip="none" algn="tl"/>
        </a:blip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3FE1DE-BBDF-41E3-930D-E288A2D653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19094</Words>
  <Characters>108842</Characters>
  <Application>Microsoft Office Word</Application>
  <DocSecurity>0</DocSecurity>
  <Lines>907</Lines>
  <Paragraphs>255</Paragraphs>
  <ScaleCrop>false</ScaleCrop>
  <HeadingPairs>
    <vt:vector size="2" baseType="variant">
      <vt:variant>
        <vt:lpstr>Title</vt:lpstr>
      </vt:variant>
      <vt:variant>
        <vt:i4>1</vt:i4>
      </vt:variant>
    </vt:vector>
  </HeadingPairs>
  <TitlesOfParts>
    <vt:vector size="1" baseType="lpstr">
      <vt:lpstr>ГОДИШЊИ ИЗВЕШТАЈ О ПОСЛОВАЊУ ЗА 2015. ГОДИНУ</vt:lpstr>
    </vt:vector>
  </TitlesOfParts>
  <Company>Hewlett-Packard Company</Company>
  <LinksUpToDate>false</LinksUpToDate>
  <CharactersWithSpaces>127681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ГОДИШЊИ ИЗВЕШТАЈ О ПОСЛОВАЊУ ЗА 2015. ГОДИНУ</dc:title>
  <dc:creator>Dragana Blecic</dc:creator>
  <cp:lastModifiedBy>Vesna Katic</cp:lastModifiedBy>
  <cp:revision>4</cp:revision>
  <cp:lastPrinted>2016-03-16T16:44:00Z</cp:lastPrinted>
  <dcterms:created xsi:type="dcterms:W3CDTF">2016-03-22T12:42:00Z</dcterms:created>
  <dcterms:modified xsi:type="dcterms:W3CDTF">2016-03-22T12:45:00Z</dcterms:modified>
</cp:coreProperties>
</file>