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477" w:rsidRPr="00272017" w:rsidRDefault="00C424D4">
      <w:pPr>
        <w:pStyle w:val="NoSpacing"/>
        <w:rPr>
          <w:rFonts w:ascii="Verdana" w:hAnsi="Verdana" w:cs="Tahoma"/>
          <w:noProof/>
          <w:sz w:val="18"/>
          <w:szCs w:val="18"/>
          <w:lang w:val="sr-Cyrl-CS"/>
        </w:rPr>
      </w:pPr>
      <w:r>
        <w:rPr>
          <w:rFonts w:ascii="Verdana" w:hAnsi="Verdana"/>
          <w:noProof/>
          <w:sz w:val="40"/>
          <w:szCs w:val="4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page">
                  <wp:posOffset>7277100</wp:posOffset>
                </wp:positionH>
                <wp:positionV relativeFrom="page">
                  <wp:posOffset>-247650</wp:posOffset>
                </wp:positionV>
                <wp:extent cx="90805" cy="10915650"/>
                <wp:effectExtent l="0" t="0" r="23495" b="19050"/>
                <wp:wrapNone/>
                <wp:docPr id="2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91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573pt;margin-top:-19.5pt;width:7.15pt;height:859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" o:allowincell="f" strokecolor="#4f81bd">
                <w10:wrap anchorx="page" anchory="page"/>
              </v:rect>
            </w:pict>
          </mc:Fallback>
        </mc:AlternateContent>
      </w:r>
      <w:r>
        <w:rPr>
          <w:rFonts w:ascii="Verdana" w:hAnsi="Verdana"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447675</wp:posOffset>
                </wp:positionH>
                <wp:positionV relativeFrom="page">
                  <wp:posOffset>-247650</wp:posOffset>
                </wp:positionV>
                <wp:extent cx="90805" cy="10915650"/>
                <wp:effectExtent l="0" t="0" r="23495" b="19050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91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5.25pt;margin-top:-19.5pt;width:7.15pt;height:859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" o:allowincell="f" strokecolor="#4f81bd">
                <w10:wrap anchorx="page" anchory="page"/>
              </v:rect>
            </w:pict>
          </mc:Fallback>
        </mc:AlternateContent>
      </w:r>
      <w:r>
        <w:rPr>
          <w:rFonts w:ascii="Verdana" w:hAnsi="Verdana"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-721995</wp:posOffset>
                </wp:positionV>
                <wp:extent cx="425450" cy="450850"/>
                <wp:effectExtent l="0" t="0" r="0" b="6350"/>
                <wp:wrapNone/>
                <wp:docPr id="2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425450" cy="450850"/>
                        </a:xfrm>
                        <a:custGeom>
                          <a:avLst/>
                          <a:gdLst>
                            <a:gd name="T0" fmla="*/ 580 w 723"/>
                            <a:gd name="T1" fmla="*/ 166 h 730"/>
                            <a:gd name="T2" fmla="*/ 646 w 723"/>
                            <a:gd name="T3" fmla="*/ 313 h 730"/>
                            <a:gd name="T4" fmla="*/ 616 w 723"/>
                            <a:gd name="T5" fmla="*/ 503 h 730"/>
                            <a:gd name="T6" fmla="*/ 544 w 723"/>
                            <a:gd name="T7" fmla="*/ 478 h 730"/>
                            <a:gd name="T8" fmla="*/ 580 w 723"/>
                            <a:gd name="T9" fmla="*/ 362 h 730"/>
                            <a:gd name="T10" fmla="*/ 526 w 723"/>
                            <a:gd name="T11" fmla="*/ 221 h 730"/>
                            <a:gd name="T12" fmla="*/ 514 w 723"/>
                            <a:gd name="T13" fmla="*/ 282 h 730"/>
                            <a:gd name="T14" fmla="*/ 532 w 723"/>
                            <a:gd name="T15" fmla="*/ 393 h 730"/>
                            <a:gd name="T16" fmla="*/ 520 w 723"/>
                            <a:gd name="T17" fmla="*/ 521 h 730"/>
                            <a:gd name="T18" fmla="*/ 496 w 723"/>
                            <a:gd name="T19" fmla="*/ 712 h 730"/>
                            <a:gd name="T20" fmla="*/ 616 w 723"/>
                            <a:gd name="T21" fmla="*/ 626 h 730"/>
                            <a:gd name="T22" fmla="*/ 717 w 723"/>
                            <a:gd name="T23" fmla="*/ 436 h 730"/>
                            <a:gd name="T24" fmla="*/ 681 w 723"/>
                            <a:gd name="T25" fmla="*/ 184 h 730"/>
                            <a:gd name="T26" fmla="*/ 538 w 723"/>
                            <a:gd name="T27" fmla="*/ 37 h 730"/>
                            <a:gd name="T28" fmla="*/ 496 w 723"/>
                            <a:gd name="T29" fmla="*/ 98 h 730"/>
                            <a:gd name="T30" fmla="*/ 466 w 723"/>
                            <a:gd name="T31" fmla="*/ 31 h 730"/>
                            <a:gd name="T32" fmla="*/ 496 w 723"/>
                            <a:gd name="T33" fmla="*/ 190 h 730"/>
                            <a:gd name="T34" fmla="*/ 418 w 723"/>
                            <a:gd name="T35" fmla="*/ 184 h 730"/>
                            <a:gd name="T36" fmla="*/ 472 w 723"/>
                            <a:gd name="T37" fmla="*/ 288 h 730"/>
                            <a:gd name="T38" fmla="*/ 418 w 723"/>
                            <a:gd name="T39" fmla="*/ 380 h 730"/>
                            <a:gd name="T40" fmla="*/ 418 w 723"/>
                            <a:gd name="T41" fmla="*/ 282 h 730"/>
                            <a:gd name="T42" fmla="*/ 383 w 723"/>
                            <a:gd name="T43" fmla="*/ 356 h 730"/>
                            <a:gd name="T44" fmla="*/ 454 w 723"/>
                            <a:gd name="T45" fmla="*/ 644 h 730"/>
                            <a:gd name="T46" fmla="*/ 359 w 723"/>
                            <a:gd name="T47" fmla="*/ 730 h 730"/>
                            <a:gd name="T48" fmla="*/ 496 w 723"/>
                            <a:gd name="T49" fmla="*/ 626 h 730"/>
                            <a:gd name="T50" fmla="*/ 424 w 723"/>
                            <a:gd name="T51" fmla="*/ 436 h 730"/>
                            <a:gd name="T52" fmla="*/ 496 w 723"/>
                            <a:gd name="T53" fmla="*/ 190 h 730"/>
                            <a:gd name="T54" fmla="*/ 359 w 723"/>
                            <a:gd name="T55" fmla="*/ 0 h 730"/>
                            <a:gd name="T56" fmla="*/ 424 w 723"/>
                            <a:gd name="T57" fmla="*/ 61 h 730"/>
                            <a:gd name="T58" fmla="*/ 389 w 723"/>
                            <a:gd name="T59" fmla="*/ 123 h 730"/>
                            <a:gd name="T60" fmla="*/ 299 w 723"/>
                            <a:gd name="T61" fmla="*/ 650 h 730"/>
                            <a:gd name="T62" fmla="*/ 311 w 723"/>
                            <a:gd name="T63" fmla="*/ 485 h 730"/>
                            <a:gd name="T64" fmla="*/ 347 w 723"/>
                            <a:gd name="T65" fmla="*/ 252 h 730"/>
                            <a:gd name="T66" fmla="*/ 299 w 723"/>
                            <a:gd name="T67" fmla="*/ 350 h 730"/>
                            <a:gd name="T68" fmla="*/ 263 w 723"/>
                            <a:gd name="T69" fmla="*/ 325 h 730"/>
                            <a:gd name="T70" fmla="*/ 275 w 723"/>
                            <a:gd name="T71" fmla="*/ 227 h 730"/>
                            <a:gd name="T72" fmla="*/ 305 w 723"/>
                            <a:gd name="T73" fmla="*/ 153 h 730"/>
                            <a:gd name="T74" fmla="*/ 215 w 723"/>
                            <a:gd name="T75" fmla="*/ 276 h 730"/>
                            <a:gd name="T76" fmla="*/ 227 w 723"/>
                            <a:gd name="T77" fmla="*/ 337 h 730"/>
                            <a:gd name="T78" fmla="*/ 257 w 723"/>
                            <a:gd name="T79" fmla="*/ 515 h 730"/>
                            <a:gd name="T80" fmla="*/ 287 w 723"/>
                            <a:gd name="T81" fmla="*/ 724 h 730"/>
                            <a:gd name="T82" fmla="*/ 215 w 723"/>
                            <a:gd name="T83" fmla="*/ 104 h 730"/>
                            <a:gd name="T84" fmla="*/ 251 w 723"/>
                            <a:gd name="T85" fmla="*/ 61 h 730"/>
                            <a:gd name="T86" fmla="*/ 215 w 723"/>
                            <a:gd name="T87" fmla="*/ 104 h 730"/>
                            <a:gd name="T88" fmla="*/ 335 w 723"/>
                            <a:gd name="T89" fmla="*/ 123 h 730"/>
                            <a:gd name="T90" fmla="*/ 299 w 723"/>
                            <a:gd name="T91" fmla="*/ 61 h 730"/>
                            <a:gd name="T92" fmla="*/ 359 w 723"/>
                            <a:gd name="T93" fmla="*/ 0 h 730"/>
                            <a:gd name="T94" fmla="*/ 215 w 723"/>
                            <a:gd name="T95" fmla="*/ 460 h 730"/>
                            <a:gd name="T96" fmla="*/ 203 w 723"/>
                            <a:gd name="T97" fmla="*/ 215 h 730"/>
                            <a:gd name="T98" fmla="*/ 143 w 723"/>
                            <a:gd name="T99" fmla="*/ 362 h 730"/>
                            <a:gd name="T100" fmla="*/ 114 w 723"/>
                            <a:gd name="T101" fmla="*/ 515 h 730"/>
                            <a:gd name="T102" fmla="*/ 72 w 723"/>
                            <a:gd name="T103" fmla="*/ 362 h 730"/>
                            <a:gd name="T104" fmla="*/ 120 w 723"/>
                            <a:gd name="T105" fmla="*/ 196 h 730"/>
                            <a:gd name="T106" fmla="*/ 215 w 723"/>
                            <a:gd name="T107" fmla="*/ 104 h 730"/>
                            <a:gd name="T108" fmla="*/ 102 w 723"/>
                            <a:gd name="T109" fmla="*/ 98 h 730"/>
                            <a:gd name="T110" fmla="*/ 0 w 723"/>
                            <a:gd name="T111" fmla="*/ 301 h 730"/>
                            <a:gd name="T112" fmla="*/ 60 w 723"/>
                            <a:gd name="T113" fmla="*/ 564 h 730"/>
                            <a:gd name="T114" fmla="*/ 215 w 723"/>
                            <a:gd name="T115" fmla="*/ 589 h 730"/>
                            <a:gd name="T116" fmla="*/ 137 w 723"/>
                            <a:gd name="T117" fmla="*/ 552 h 730"/>
                            <a:gd name="T118" fmla="*/ 215 w 723"/>
                            <a:gd name="T119" fmla="*/ 460 h 730"/>
                            <a:gd name="T120" fmla="*/ 215 w 723"/>
                            <a:gd name="T121" fmla="*/ 276 h 7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723" h="730">
                              <a:moveTo>
                                <a:pt x="496" y="98"/>
                              </a:moveTo>
                              <a:lnTo>
                                <a:pt x="496" y="98"/>
                              </a:lnTo>
                              <a:lnTo>
                                <a:pt x="526" y="117"/>
                              </a:lnTo>
                              <a:lnTo>
                                <a:pt x="556" y="135"/>
                              </a:lnTo>
                              <a:lnTo>
                                <a:pt x="580" y="166"/>
                              </a:lnTo>
                              <a:lnTo>
                                <a:pt x="604" y="190"/>
                              </a:lnTo>
                              <a:lnTo>
                                <a:pt x="622" y="233"/>
                              </a:lnTo>
                              <a:lnTo>
                                <a:pt x="640" y="270"/>
                              </a:lnTo>
                              <a:lnTo>
                                <a:pt x="646" y="313"/>
                              </a:lnTo>
                              <a:lnTo>
                                <a:pt x="652" y="362"/>
                              </a:lnTo>
                              <a:lnTo>
                                <a:pt x="646" y="411"/>
                              </a:lnTo>
                              <a:lnTo>
                                <a:pt x="634" y="460"/>
                              </a:lnTo>
                              <a:lnTo>
                                <a:pt x="616" y="503"/>
                              </a:lnTo>
                              <a:lnTo>
                                <a:pt x="586" y="546"/>
                              </a:lnTo>
                              <a:lnTo>
                                <a:pt x="562" y="509"/>
                              </a:lnTo>
                              <a:lnTo>
                                <a:pt x="544" y="478"/>
                              </a:lnTo>
                              <a:lnTo>
                                <a:pt x="562" y="448"/>
                              </a:lnTo>
                              <a:lnTo>
                                <a:pt x="568" y="417"/>
                              </a:lnTo>
                              <a:lnTo>
                                <a:pt x="574" y="393"/>
                              </a:lnTo>
                              <a:lnTo>
                                <a:pt x="580" y="362"/>
                              </a:lnTo>
                              <a:lnTo>
                                <a:pt x="574" y="319"/>
                              </a:lnTo>
                              <a:lnTo>
                                <a:pt x="562" y="282"/>
                              </a:lnTo>
                              <a:lnTo>
                                <a:pt x="550" y="252"/>
                              </a:lnTo>
                              <a:lnTo>
                                <a:pt x="526" y="221"/>
                              </a:lnTo>
                              <a:lnTo>
                                <a:pt x="496" y="190"/>
                              </a:lnTo>
                              <a:lnTo>
                                <a:pt x="496" y="368"/>
                              </a:lnTo>
                              <a:lnTo>
                                <a:pt x="508" y="331"/>
                              </a:lnTo>
                              <a:lnTo>
                                <a:pt x="514" y="282"/>
                              </a:lnTo>
                              <a:lnTo>
                                <a:pt x="532" y="319"/>
                              </a:lnTo>
                              <a:lnTo>
                                <a:pt x="538" y="362"/>
                              </a:lnTo>
                              <a:lnTo>
                                <a:pt x="532" y="393"/>
                              </a:lnTo>
                              <a:lnTo>
                                <a:pt x="526" y="417"/>
                              </a:lnTo>
                              <a:lnTo>
                                <a:pt x="514" y="448"/>
                              </a:lnTo>
                              <a:lnTo>
                                <a:pt x="496" y="472"/>
                              </a:lnTo>
                              <a:lnTo>
                                <a:pt x="520" y="521"/>
                              </a:lnTo>
                              <a:lnTo>
                                <a:pt x="562" y="571"/>
                              </a:lnTo>
                              <a:lnTo>
                                <a:pt x="532" y="601"/>
                              </a:lnTo>
                              <a:lnTo>
                                <a:pt x="496" y="626"/>
                              </a:lnTo>
                              <a:lnTo>
                                <a:pt x="496" y="712"/>
                              </a:lnTo>
                              <a:lnTo>
                                <a:pt x="526" y="693"/>
                              </a:lnTo>
                              <a:lnTo>
                                <a:pt x="562" y="675"/>
                              </a:lnTo>
                              <a:lnTo>
                                <a:pt x="592" y="650"/>
                              </a:lnTo>
                              <a:lnTo>
                                <a:pt x="616" y="626"/>
                              </a:lnTo>
                              <a:lnTo>
                                <a:pt x="664" y="564"/>
                              </a:lnTo>
                              <a:lnTo>
                                <a:pt x="681" y="534"/>
                              </a:lnTo>
                              <a:lnTo>
                                <a:pt x="699" y="503"/>
                              </a:lnTo>
                              <a:lnTo>
                                <a:pt x="717" y="436"/>
                              </a:lnTo>
                              <a:lnTo>
                                <a:pt x="723" y="362"/>
                              </a:lnTo>
                              <a:lnTo>
                                <a:pt x="717" y="301"/>
                              </a:lnTo>
                              <a:lnTo>
                                <a:pt x="705" y="239"/>
                              </a:lnTo>
                              <a:lnTo>
                                <a:pt x="681" y="184"/>
                              </a:lnTo>
                              <a:lnTo>
                                <a:pt x="652" y="135"/>
                              </a:lnTo>
                              <a:lnTo>
                                <a:pt x="616" y="92"/>
                              </a:lnTo>
                              <a:lnTo>
                                <a:pt x="580" y="61"/>
                              </a:lnTo>
                              <a:lnTo>
                                <a:pt x="538" y="37"/>
                              </a:lnTo>
                              <a:lnTo>
                                <a:pt x="496" y="12"/>
                              </a:lnTo>
                              <a:lnTo>
                                <a:pt x="496" y="98"/>
                              </a:lnTo>
                              <a:close/>
                              <a:moveTo>
                                <a:pt x="472" y="86"/>
                              </a:moveTo>
                              <a:lnTo>
                                <a:pt x="472" y="86"/>
                              </a:lnTo>
                              <a:lnTo>
                                <a:pt x="496" y="98"/>
                              </a:lnTo>
                              <a:lnTo>
                                <a:pt x="496" y="12"/>
                              </a:lnTo>
                              <a:lnTo>
                                <a:pt x="454" y="0"/>
                              </a:lnTo>
                              <a:lnTo>
                                <a:pt x="466" y="31"/>
                              </a:lnTo>
                              <a:lnTo>
                                <a:pt x="472" y="61"/>
                              </a:lnTo>
                              <a:lnTo>
                                <a:pt x="472" y="86"/>
                              </a:lnTo>
                              <a:close/>
                              <a:moveTo>
                                <a:pt x="496" y="190"/>
                              </a:moveTo>
                              <a:lnTo>
                                <a:pt x="496" y="190"/>
                              </a:lnTo>
                              <a:lnTo>
                                <a:pt x="454" y="166"/>
                              </a:lnTo>
                              <a:lnTo>
                                <a:pt x="401" y="147"/>
                              </a:lnTo>
                              <a:lnTo>
                                <a:pt x="418" y="184"/>
                              </a:lnTo>
                              <a:lnTo>
                                <a:pt x="442" y="196"/>
                              </a:lnTo>
                              <a:lnTo>
                                <a:pt x="460" y="221"/>
                              </a:lnTo>
                              <a:lnTo>
                                <a:pt x="472" y="252"/>
                              </a:lnTo>
                              <a:lnTo>
                                <a:pt x="472" y="288"/>
                              </a:lnTo>
                              <a:lnTo>
                                <a:pt x="472" y="319"/>
                              </a:lnTo>
                              <a:lnTo>
                                <a:pt x="460" y="344"/>
                              </a:lnTo>
                              <a:lnTo>
                                <a:pt x="442" y="368"/>
                              </a:lnTo>
                              <a:lnTo>
                                <a:pt x="418" y="380"/>
                              </a:lnTo>
                              <a:lnTo>
                                <a:pt x="424" y="325"/>
                              </a:lnTo>
                              <a:lnTo>
                                <a:pt x="424" y="301"/>
                              </a:lnTo>
                              <a:lnTo>
                                <a:pt x="418" y="282"/>
                              </a:lnTo>
                              <a:lnTo>
                                <a:pt x="406" y="264"/>
                              </a:lnTo>
                              <a:lnTo>
                                <a:pt x="389" y="252"/>
                              </a:lnTo>
                              <a:lnTo>
                                <a:pt x="383" y="356"/>
                              </a:lnTo>
                              <a:lnTo>
                                <a:pt x="389" y="442"/>
                              </a:lnTo>
                              <a:lnTo>
                                <a:pt x="406" y="521"/>
                              </a:lnTo>
                              <a:lnTo>
                                <a:pt x="454" y="644"/>
                              </a:lnTo>
                              <a:lnTo>
                                <a:pt x="406" y="650"/>
                              </a:lnTo>
                              <a:lnTo>
                                <a:pt x="359" y="656"/>
                              </a:lnTo>
                              <a:lnTo>
                                <a:pt x="359" y="730"/>
                              </a:lnTo>
                              <a:lnTo>
                                <a:pt x="430" y="724"/>
                              </a:lnTo>
                              <a:lnTo>
                                <a:pt x="496" y="712"/>
                              </a:lnTo>
                              <a:lnTo>
                                <a:pt x="496" y="626"/>
                              </a:lnTo>
                              <a:lnTo>
                                <a:pt x="490" y="626"/>
                              </a:lnTo>
                              <a:lnTo>
                                <a:pt x="454" y="534"/>
                              </a:lnTo>
                              <a:lnTo>
                                <a:pt x="424" y="436"/>
                              </a:lnTo>
                              <a:lnTo>
                                <a:pt x="466" y="405"/>
                              </a:lnTo>
                              <a:lnTo>
                                <a:pt x="496" y="374"/>
                              </a:lnTo>
                              <a:lnTo>
                                <a:pt x="496" y="368"/>
                              </a:lnTo>
                              <a:lnTo>
                                <a:pt x="496" y="190"/>
                              </a:lnTo>
                              <a:close/>
                              <a:moveTo>
                                <a:pt x="359" y="129"/>
                              </a:moveTo>
                              <a:lnTo>
                                <a:pt x="359" y="0"/>
                              </a:lnTo>
                              <a:lnTo>
                                <a:pt x="389" y="0"/>
                              </a:lnTo>
                              <a:lnTo>
                                <a:pt x="406" y="18"/>
                              </a:lnTo>
                              <a:lnTo>
                                <a:pt x="418" y="37"/>
                              </a:lnTo>
                              <a:lnTo>
                                <a:pt x="424" y="61"/>
                              </a:lnTo>
                              <a:lnTo>
                                <a:pt x="418" y="86"/>
                              </a:lnTo>
                              <a:lnTo>
                                <a:pt x="406" y="104"/>
                              </a:lnTo>
                              <a:lnTo>
                                <a:pt x="389" y="123"/>
                              </a:lnTo>
                              <a:lnTo>
                                <a:pt x="359" y="129"/>
                              </a:lnTo>
                              <a:close/>
                              <a:moveTo>
                                <a:pt x="359" y="656"/>
                              </a:moveTo>
                              <a:lnTo>
                                <a:pt x="359" y="656"/>
                              </a:lnTo>
                              <a:lnTo>
                                <a:pt x="299" y="650"/>
                              </a:lnTo>
                              <a:lnTo>
                                <a:pt x="239" y="632"/>
                              </a:lnTo>
                              <a:lnTo>
                                <a:pt x="287" y="546"/>
                              </a:lnTo>
                              <a:lnTo>
                                <a:pt x="311" y="485"/>
                              </a:lnTo>
                              <a:lnTo>
                                <a:pt x="329" y="436"/>
                              </a:lnTo>
                              <a:lnTo>
                                <a:pt x="335" y="380"/>
                              </a:lnTo>
                              <a:lnTo>
                                <a:pt x="347" y="319"/>
                              </a:lnTo>
                              <a:lnTo>
                                <a:pt x="347" y="252"/>
                              </a:lnTo>
                              <a:lnTo>
                                <a:pt x="329" y="264"/>
                              </a:lnTo>
                              <a:lnTo>
                                <a:pt x="311" y="282"/>
                              </a:lnTo>
                              <a:lnTo>
                                <a:pt x="305" y="313"/>
                              </a:lnTo>
                              <a:lnTo>
                                <a:pt x="299" y="350"/>
                              </a:lnTo>
                              <a:lnTo>
                                <a:pt x="305" y="374"/>
                              </a:lnTo>
                              <a:lnTo>
                                <a:pt x="281" y="368"/>
                              </a:lnTo>
                              <a:lnTo>
                                <a:pt x="269" y="350"/>
                              </a:lnTo>
                              <a:lnTo>
                                <a:pt x="263" y="325"/>
                              </a:lnTo>
                              <a:lnTo>
                                <a:pt x="257" y="294"/>
                              </a:lnTo>
                              <a:lnTo>
                                <a:pt x="263" y="258"/>
                              </a:lnTo>
                              <a:lnTo>
                                <a:pt x="275" y="227"/>
                              </a:lnTo>
                              <a:lnTo>
                                <a:pt x="299" y="196"/>
                              </a:lnTo>
                              <a:lnTo>
                                <a:pt x="323" y="178"/>
                              </a:lnTo>
                              <a:lnTo>
                                <a:pt x="347" y="147"/>
                              </a:lnTo>
                              <a:lnTo>
                                <a:pt x="305" y="153"/>
                              </a:lnTo>
                              <a:lnTo>
                                <a:pt x="275" y="166"/>
                              </a:lnTo>
                              <a:lnTo>
                                <a:pt x="239" y="184"/>
                              </a:lnTo>
                              <a:lnTo>
                                <a:pt x="215" y="202"/>
                              </a:lnTo>
                              <a:lnTo>
                                <a:pt x="215" y="276"/>
                              </a:lnTo>
                              <a:lnTo>
                                <a:pt x="221" y="264"/>
                              </a:lnTo>
                              <a:lnTo>
                                <a:pt x="221" y="301"/>
                              </a:lnTo>
                              <a:lnTo>
                                <a:pt x="227" y="337"/>
                              </a:lnTo>
                              <a:lnTo>
                                <a:pt x="239" y="374"/>
                              </a:lnTo>
                              <a:lnTo>
                                <a:pt x="257" y="405"/>
                              </a:lnTo>
                              <a:lnTo>
                                <a:pt x="287" y="429"/>
                              </a:lnTo>
                              <a:lnTo>
                                <a:pt x="257" y="515"/>
                              </a:lnTo>
                              <a:lnTo>
                                <a:pt x="215" y="589"/>
                              </a:lnTo>
                              <a:lnTo>
                                <a:pt x="215" y="699"/>
                              </a:lnTo>
                              <a:lnTo>
                                <a:pt x="251" y="718"/>
                              </a:lnTo>
                              <a:lnTo>
                                <a:pt x="287" y="724"/>
                              </a:lnTo>
                              <a:lnTo>
                                <a:pt x="323" y="730"/>
                              </a:lnTo>
                              <a:lnTo>
                                <a:pt x="359" y="730"/>
                              </a:lnTo>
                              <a:lnTo>
                                <a:pt x="359" y="656"/>
                              </a:lnTo>
                              <a:close/>
                              <a:moveTo>
                                <a:pt x="215" y="104"/>
                              </a:moveTo>
                              <a:lnTo>
                                <a:pt x="215" y="104"/>
                              </a:lnTo>
                              <a:lnTo>
                                <a:pt x="251" y="86"/>
                              </a:lnTo>
                              <a:lnTo>
                                <a:pt x="251" y="61"/>
                              </a:lnTo>
                              <a:lnTo>
                                <a:pt x="257" y="31"/>
                              </a:lnTo>
                              <a:lnTo>
                                <a:pt x="269" y="0"/>
                              </a:lnTo>
                              <a:lnTo>
                                <a:pt x="215" y="18"/>
                              </a:lnTo>
                              <a:lnTo>
                                <a:pt x="215" y="104"/>
                              </a:lnTo>
                              <a:close/>
                              <a:moveTo>
                                <a:pt x="359" y="0"/>
                              </a:moveTo>
                              <a:lnTo>
                                <a:pt x="359" y="129"/>
                              </a:lnTo>
                              <a:lnTo>
                                <a:pt x="335" y="123"/>
                              </a:lnTo>
                              <a:lnTo>
                                <a:pt x="317" y="104"/>
                              </a:lnTo>
                              <a:lnTo>
                                <a:pt x="305" y="86"/>
                              </a:lnTo>
                              <a:lnTo>
                                <a:pt x="299" y="61"/>
                              </a:lnTo>
                              <a:lnTo>
                                <a:pt x="305" y="37"/>
                              </a:lnTo>
                              <a:lnTo>
                                <a:pt x="317" y="18"/>
                              </a:lnTo>
                              <a:lnTo>
                                <a:pt x="335" y="0"/>
                              </a:lnTo>
                              <a:lnTo>
                                <a:pt x="359" y="0"/>
                              </a:lnTo>
                              <a:close/>
                              <a:moveTo>
                                <a:pt x="215" y="460"/>
                              </a:moveTo>
                              <a:lnTo>
                                <a:pt x="215" y="460"/>
                              </a:lnTo>
                              <a:close/>
                              <a:moveTo>
                                <a:pt x="215" y="202"/>
                              </a:moveTo>
                              <a:lnTo>
                                <a:pt x="215" y="202"/>
                              </a:lnTo>
                              <a:lnTo>
                                <a:pt x="203" y="215"/>
                              </a:lnTo>
                              <a:lnTo>
                                <a:pt x="179" y="245"/>
                              </a:lnTo>
                              <a:lnTo>
                                <a:pt x="161" y="282"/>
                              </a:lnTo>
                              <a:lnTo>
                                <a:pt x="149" y="319"/>
                              </a:lnTo>
                              <a:lnTo>
                                <a:pt x="143" y="362"/>
                              </a:lnTo>
                              <a:lnTo>
                                <a:pt x="149" y="411"/>
                              </a:lnTo>
                              <a:lnTo>
                                <a:pt x="167" y="460"/>
                              </a:lnTo>
                              <a:lnTo>
                                <a:pt x="143" y="491"/>
                              </a:lnTo>
                              <a:lnTo>
                                <a:pt x="114" y="515"/>
                              </a:lnTo>
                              <a:lnTo>
                                <a:pt x="96" y="478"/>
                              </a:lnTo>
                              <a:lnTo>
                                <a:pt x="84" y="442"/>
                              </a:lnTo>
                              <a:lnTo>
                                <a:pt x="72" y="399"/>
                              </a:lnTo>
                              <a:lnTo>
                                <a:pt x="72" y="362"/>
                              </a:lnTo>
                              <a:lnTo>
                                <a:pt x="72" y="313"/>
                              </a:lnTo>
                              <a:lnTo>
                                <a:pt x="84" y="276"/>
                              </a:lnTo>
                              <a:lnTo>
                                <a:pt x="102" y="233"/>
                              </a:lnTo>
                              <a:lnTo>
                                <a:pt x="120" y="196"/>
                              </a:lnTo>
                              <a:lnTo>
                                <a:pt x="137" y="166"/>
                              </a:lnTo>
                              <a:lnTo>
                                <a:pt x="161" y="141"/>
                              </a:lnTo>
                              <a:lnTo>
                                <a:pt x="185" y="123"/>
                              </a:lnTo>
                              <a:lnTo>
                                <a:pt x="215" y="104"/>
                              </a:lnTo>
                              <a:lnTo>
                                <a:pt x="215" y="18"/>
                              </a:lnTo>
                              <a:lnTo>
                                <a:pt x="173" y="37"/>
                              </a:lnTo>
                              <a:lnTo>
                                <a:pt x="137" y="67"/>
                              </a:lnTo>
                              <a:lnTo>
                                <a:pt x="102" y="98"/>
                              </a:lnTo>
                              <a:lnTo>
                                <a:pt x="72" y="135"/>
                              </a:lnTo>
                              <a:lnTo>
                                <a:pt x="42" y="184"/>
                              </a:lnTo>
                              <a:lnTo>
                                <a:pt x="18" y="239"/>
                              </a:lnTo>
                              <a:lnTo>
                                <a:pt x="0" y="301"/>
                              </a:lnTo>
                              <a:lnTo>
                                <a:pt x="0" y="362"/>
                              </a:lnTo>
                              <a:lnTo>
                                <a:pt x="6" y="436"/>
                              </a:lnTo>
                              <a:lnTo>
                                <a:pt x="24" y="503"/>
                              </a:lnTo>
                              <a:lnTo>
                                <a:pt x="60" y="564"/>
                              </a:lnTo>
                              <a:lnTo>
                                <a:pt x="102" y="626"/>
                              </a:lnTo>
                              <a:lnTo>
                                <a:pt x="155" y="669"/>
                              </a:lnTo>
                              <a:lnTo>
                                <a:pt x="215" y="699"/>
                              </a:lnTo>
                              <a:lnTo>
                                <a:pt x="215" y="589"/>
                              </a:lnTo>
                              <a:lnTo>
                                <a:pt x="203" y="607"/>
                              </a:lnTo>
                              <a:lnTo>
                                <a:pt x="167" y="583"/>
                              </a:lnTo>
                              <a:lnTo>
                                <a:pt x="137" y="552"/>
                              </a:lnTo>
                              <a:lnTo>
                                <a:pt x="185" y="503"/>
                              </a:lnTo>
                              <a:lnTo>
                                <a:pt x="215" y="460"/>
                              </a:lnTo>
                              <a:lnTo>
                                <a:pt x="197" y="411"/>
                              </a:lnTo>
                              <a:lnTo>
                                <a:pt x="185" y="362"/>
                              </a:lnTo>
                              <a:lnTo>
                                <a:pt x="197" y="319"/>
                              </a:lnTo>
                              <a:lnTo>
                                <a:pt x="215" y="276"/>
                              </a:lnTo>
                              <a:lnTo>
                                <a:pt x="215" y="202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-9.5pt;margin-top:-56.85pt;width:33.5pt;height:3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3,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" path="m496,98r,l526,117r30,18l580,166r24,24l622,233r18,37l646,313r6,49l646,411r-12,49l616,503r-30,43l562,509,544,478r18,-30l568,417r6,-24l580,362r-6,-43l562,282,550,252,526,221,496,190r,178l508,331r6,-49l532,319r6,43l532,393r-6,24l514,448r-18,24l520,521r42,50l532,601r-36,25l496,712r30,-19l562,675r30,-25l616,626r48,-62l681,534r18,-31l717,436r6,-74l717,301,705,239,681,184,652,135,616,92,580,61,538,37,496,12r,86xm472,86r,l496,98r,-86l454,r12,31l472,61r,25xm496,190r,l454,166,401,147r17,37l442,196r18,25l472,252r,36l472,319r-12,25l442,368r-24,12l424,325r,-24l418,282,406,264,389,252r-6,104l389,442r17,79l454,644r-48,6l359,656r,74l430,724r66,-12l496,626r-6,l454,534,424,436r42,-31l496,374r,-6l496,190xm359,129l359,r30,l406,18r12,19l424,61r-6,25l406,104r-17,19l359,129xm359,656r,l299,650,239,632r48,-86l311,485r18,-49l335,380r12,-61l347,252r-18,12l311,282r-6,31l299,350r6,24l281,368,269,350r-6,-25l257,294r6,-36l275,227r24,-31l323,178r24,-31l305,153r-30,13l239,184r-24,18l215,276r6,-12l221,301r6,36l239,374r18,31l287,429r-30,86l215,589r,110l251,718r36,6l323,730r36,l359,656xm215,104r,l251,86r,-25l257,31,269,,215,18r,86xm359,r,129l335,123,317,104,305,86,299,61r6,-24l317,18,335,r24,xm215,460r,xm215,202r,l203,215r-24,30l161,282r-12,37l143,362r6,49l167,460r-24,31l114,515,96,478,84,442,72,399r,-37l72,313,84,276r18,-43l120,196r17,-30l161,141r24,-18l215,104r,-86l173,37,137,67,102,98,72,135,42,184,18,239,,301r,61l6,436r18,67l60,564r42,62l155,669r60,30l215,589r-12,18l167,583,137,552r48,-49l215,460,197,411,185,362r12,-43l215,276r,-74xe" fillcolor="window" stroked="f">
                <v:path arrowok="t" o:connecttype="custom" o:connectlocs="341302,102522;380139,193310;362486,310654;320117,295214;341302,223572;309525,136490;302464,174164;313056,242718;305994,321771;291872,439733;362486,386619;421919,269275;400735,113639;316587,22851;291872,60525;274218,19146;291872,117345;245972,113639;277749,177870;245972,234689;245972,174164;225377,219867;267157,397736;211254,450850;291872,386619;249503,269275;291872,117345;211254,0;249503,37674;228907,75965;175947,401442;183008,299537;204192,155636;175947,216161;154763,200721;161824,140196;179478,94493;126517,170458;133578,208132;151232,318065;168885,447144;126517,64231;147701,37674;126517,64231;197131,75965;175947,37674;211254,0;126517,284097;119456,132785;84148,223572;67083,318065;42368,223572;70614,121050;126517,64231;60022,60525;0,185898;35307,348328;126517,363768;80618,340917;126517,284097;126517,170458" o:connectangles="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CD4477" w:rsidRPr="00272017" w:rsidRDefault="00CD4477">
      <w:pPr>
        <w:pStyle w:val="NoSpacing"/>
        <w:rPr>
          <w:rFonts w:ascii="Verdana" w:hAnsi="Verdana" w:cs="Tahoma"/>
          <w:noProof/>
          <w:sz w:val="18"/>
          <w:szCs w:val="18"/>
          <w:lang w:val="sr-Cyrl-CS"/>
        </w:rPr>
      </w:pPr>
    </w:p>
    <w:p w:rsidR="00CD4477" w:rsidRPr="00272017" w:rsidRDefault="00CD4477">
      <w:pPr>
        <w:pStyle w:val="NoSpacing"/>
        <w:rPr>
          <w:rFonts w:ascii="Verdana" w:hAnsi="Verdana" w:cs="Tahoma"/>
          <w:noProof/>
          <w:sz w:val="18"/>
          <w:szCs w:val="18"/>
          <w:lang w:val="sr-Cyrl-CS"/>
        </w:rPr>
      </w:pPr>
    </w:p>
    <w:p w:rsidR="00CD4477" w:rsidRPr="00272017" w:rsidRDefault="00CD4477">
      <w:pPr>
        <w:pStyle w:val="NoSpacing"/>
        <w:rPr>
          <w:rFonts w:ascii="Verdana" w:hAnsi="Verdana" w:cs="Tahoma"/>
          <w:noProof/>
          <w:sz w:val="18"/>
          <w:szCs w:val="18"/>
          <w:lang w:val="sr-Cyrl-CS"/>
        </w:rPr>
      </w:pPr>
      <w:bookmarkStart w:id="0" w:name="_GoBack"/>
      <w:bookmarkEnd w:id="0"/>
    </w:p>
    <w:p w:rsidR="00CD4477" w:rsidRPr="00272017" w:rsidRDefault="00815158" w:rsidP="002C666B">
      <w:pPr>
        <w:pStyle w:val="Header"/>
        <w:tabs>
          <w:tab w:val="clear" w:pos="4536"/>
        </w:tabs>
        <w:ind w:left="1440"/>
        <w:rPr>
          <w:rFonts w:ascii="Verdana" w:hAnsi="Verdana" w:cs="Tahoma"/>
          <w:noProof/>
          <w:sz w:val="40"/>
          <w:szCs w:val="40"/>
          <w:lang w:val="sr-Cyrl-CS"/>
        </w:rPr>
      </w:pPr>
      <w:r w:rsidRPr="00272017">
        <w:rPr>
          <w:rFonts w:ascii="Cambria" w:hAnsi="Cambria" w:cs="Tahoma"/>
          <w:b/>
          <w:noProof/>
          <w:sz w:val="40"/>
          <w:szCs w:val="40"/>
          <w:lang w:val="sr-Cyrl-CS"/>
        </w:rPr>
        <w:t xml:space="preserve"> </w:t>
      </w:r>
      <w:r w:rsidRPr="00272017">
        <w:rPr>
          <w:rFonts w:ascii="Verdana" w:hAnsi="Verdana" w:cs="Tahoma"/>
          <w:noProof/>
          <w:sz w:val="40"/>
          <w:szCs w:val="40"/>
          <w:lang w:val="sr-Cyrl-CS"/>
        </w:rPr>
        <w:t xml:space="preserve"> </w:t>
      </w:r>
      <w:r w:rsidR="00C424D4">
        <w:rPr>
          <w:rFonts w:ascii="Verdana" w:hAnsi="Verdana"/>
          <w:noProof/>
          <w:sz w:val="40"/>
          <w:szCs w:val="4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41DC0386" wp14:editId="30800B4A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38160" cy="786130"/>
                <wp:effectExtent l="0" t="0" r="11430" b="28575"/>
                <wp:wrapNone/>
                <wp:docPr id="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8160" cy="78613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1A33" w:rsidRPr="00106323" w:rsidRDefault="000F1A33" w:rsidP="00CD4477">
                            <w:pPr>
                              <w:ind w:firstLine="3828"/>
                              <w:rPr>
                                <w:rFonts w:ascii="Tahoma" w:hAnsi="Tahoma" w:cs="Tahoma"/>
                                <w:b/>
                                <w:color w:val="FFFFFF"/>
                                <w:sz w:val="20"/>
                                <w:szCs w:val="32"/>
                              </w:rPr>
                            </w:pPr>
                          </w:p>
                          <w:p w:rsidR="000F1A33" w:rsidRPr="00106323" w:rsidRDefault="000F1A33" w:rsidP="00CD4477">
                            <w:pPr>
                              <w:ind w:firstLine="3828"/>
                              <w:rPr>
                                <w:rFonts w:ascii="Tahoma" w:hAnsi="Tahoma" w:cs="Tahoma"/>
                                <w:b/>
                                <w:noProof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106323">
                              <w:rPr>
                                <w:rFonts w:ascii="Tahoma" w:hAnsi="Tahoma" w:cs="Tahoma"/>
                                <w:b/>
                                <w:noProof/>
                                <w:color w:val="FFFFFF"/>
                                <w:sz w:val="28"/>
                                <w:szCs w:val="28"/>
                              </w:rPr>
                              <w:t xml:space="preserve">Београд,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noProof/>
                                <w:color w:val="FFFFFF"/>
                                <w:sz w:val="28"/>
                                <w:szCs w:val="28"/>
                                <w:lang w:val="sr-Cyrl-CS"/>
                              </w:rPr>
                              <w:t>октобар</w:t>
                            </w:r>
                            <w:r w:rsidRPr="00106323">
                              <w:rPr>
                                <w:rFonts w:ascii="Tahoma" w:hAnsi="Tahoma" w:cs="Tahoma"/>
                                <w:b/>
                                <w:noProof/>
                                <w:color w:val="FFFFFF"/>
                                <w:sz w:val="28"/>
                                <w:szCs w:val="28"/>
                              </w:rPr>
                              <w:t xml:space="preserve"> 201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noProof/>
                                <w:color w:val="FFFFFF"/>
                                <w:sz w:val="28"/>
                                <w:szCs w:val="28"/>
                              </w:rPr>
                              <w:t>5</w:t>
                            </w:r>
                            <w:r w:rsidRPr="00106323">
                              <w:rPr>
                                <w:rFonts w:ascii="Tahoma" w:hAnsi="Tahoma" w:cs="Tahoma"/>
                                <w:b/>
                                <w:noProof/>
                                <w:color w:val="FFFFFF"/>
                                <w:sz w:val="28"/>
                                <w:szCs w:val="28"/>
                              </w:rPr>
                              <w:t>. године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0;margin-top:0;width:640.8pt;height:61.9pt;z-index:-25166131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" o:allowincell="f" fillcolor="#4f81bd" strokecolor="#4f81bd">
                <v:textbox>
                  <w:txbxContent>
                    <w:p w:rsidR="000F1A33" w:rsidRPr="00106323" w:rsidRDefault="000F1A33" w:rsidP="00CD4477">
                      <w:pPr>
                        <w:ind w:firstLine="3828"/>
                        <w:rPr>
                          <w:rFonts w:ascii="Tahoma" w:hAnsi="Tahoma" w:cs="Tahoma"/>
                          <w:b/>
                          <w:color w:val="FFFFFF"/>
                          <w:sz w:val="20"/>
                          <w:szCs w:val="32"/>
                        </w:rPr>
                      </w:pPr>
                    </w:p>
                    <w:p w:rsidR="000F1A33" w:rsidRPr="00106323" w:rsidRDefault="000F1A33" w:rsidP="00CD4477">
                      <w:pPr>
                        <w:ind w:firstLine="3828"/>
                        <w:rPr>
                          <w:rFonts w:ascii="Tahoma" w:hAnsi="Tahoma" w:cs="Tahoma"/>
                          <w:b/>
                          <w:noProof/>
                          <w:color w:val="FFFFFF"/>
                          <w:sz w:val="28"/>
                          <w:szCs w:val="28"/>
                        </w:rPr>
                      </w:pPr>
                      <w:r w:rsidRPr="00106323">
                        <w:rPr>
                          <w:rFonts w:ascii="Tahoma" w:hAnsi="Tahoma" w:cs="Tahoma"/>
                          <w:b/>
                          <w:noProof/>
                          <w:color w:val="FFFFFF"/>
                          <w:sz w:val="28"/>
                          <w:szCs w:val="28"/>
                        </w:rPr>
                        <w:t xml:space="preserve">Београд, </w:t>
                      </w:r>
                      <w:r>
                        <w:rPr>
                          <w:rFonts w:ascii="Tahoma" w:hAnsi="Tahoma" w:cs="Tahoma"/>
                          <w:b/>
                          <w:noProof/>
                          <w:color w:val="FFFFFF"/>
                          <w:sz w:val="28"/>
                          <w:szCs w:val="28"/>
                          <w:lang w:val="sr-Cyrl-CS"/>
                        </w:rPr>
                        <w:t>октобар</w:t>
                      </w:r>
                      <w:r w:rsidRPr="00106323">
                        <w:rPr>
                          <w:rFonts w:ascii="Tahoma" w:hAnsi="Tahoma" w:cs="Tahoma"/>
                          <w:b/>
                          <w:noProof/>
                          <w:color w:val="FFFFFF"/>
                          <w:sz w:val="28"/>
                          <w:szCs w:val="28"/>
                        </w:rPr>
                        <w:t xml:space="preserve"> 201</w:t>
                      </w:r>
                      <w:r>
                        <w:rPr>
                          <w:rFonts w:ascii="Tahoma" w:hAnsi="Tahoma" w:cs="Tahoma"/>
                          <w:b/>
                          <w:noProof/>
                          <w:color w:val="FFFFFF"/>
                          <w:sz w:val="28"/>
                          <w:szCs w:val="28"/>
                        </w:rPr>
                        <w:t>5</w:t>
                      </w:r>
                      <w:r w:rsidRPr="00106323">
                        <w:rPr>
                          <w:rFonts w:ascii="Tahoma" w:hAnsi="Tahoma" w:cs="Tahoma"/>
                          <w:b/>
                          <w:noProof/>
                          <w:color w:val="FFFFFF"/>
                          <w:sz w:val="28"/>
                          <w:szCs w:val="28"/>
                        </w:rPr>
                        <w:t>. године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D4477" w:rsidRPr="00272017">
        <w:rPr>
          <w:rFonts w:ascii="Verdana" w:hAnsi="Verdana" w:cs="Tahoma"/>
          <w:noProof/>
          <w:sz w:val="40"/>
          <w:szCs w:val="40"/>
          <w:lang w:val="sr-Cyrl-CS"/>
        </w:rPr>
        <w:t xml:space="preserve"> </w:t>
      </w:r>
    </w:p>
    <w:p w:rsidR="00CD4477" w:rsidRPr="00272017" w:rsidRDefault="00C424D4">
      <w:pPr>
        <w:pStyle w:val="NoSpacing"/>
        <w:rPr>
          <w:rFonts w:ascii="Verdana" w:hAnsi="Verdana" w:cs="Tahoma"/>
          <w:noProof/>
          <w:sz w:val="18"/>
          <w:szCs w:val="18"/>
          <w:lang w:val="sr-Cyrl-CS"/>
        </w:rPr>
      </w:pPr>
      <w:r>
        <w:rPr>
          <w:rFonts w:ascii="Verdana" w:hAnsi="Verdana"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-194310</wp:posOffset>
                </wp:positionH>
                <wp:positionV relativeFrom="page">
                  <wp:posOffset>0</wp:posOffset>
                </wp:positionV>
                <wp:extent cx="8149590" cy="781050"/>
                <wp:effectExtent l="0" t="0" r="22860" b="19050"/>
                <wp:wrapNone/>
                <wp:docPr id="2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49590" cy="7810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1A33" w:rsidRPr="00106323" w:rsidRDefault="000F1A33" w:rsidP="00CD4477">
                            <w:pPr>
                              <w:ind w:firstLine="2268"/>
                              <w:rPr>
                                <w:rFonts w:ascii="Tahoma" w:hAnsi="Tahoma" w:cs="Tahoma"/>
                                <w:b/>
                                <w:noProof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:rsidR="000F1A33" w:rsidRPr="00106323" w:rsidRDefault="000F1A33" w:rsidP="00CD4477">
                            <w:pPr>
                              <w:ind w:firstLine="2268"/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106323"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  <w:t>Друштво за реосигурање „Дунав Ре“</w:t>
                            </w:r>
                          </w:p>
                          <w:p w:rsidR="000F1A33" w:rsidRPr="00106323" w:rsidRDefault="000F1A33" w:rsidP="00CD4477">
                            <w:pPr>
                              <w:ind w:firstLine="2268"/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106323"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  <w:t>Кнез Михаилова 6/II, Београд, Србија</w:t>
                            </w:r>
                          </w:p>
                          <w:p w:rsidR="000F1A33" w:rsidRPr="00106323" w:rsidRDefault="000F1A33" w:rsidP="00CD4477">
                            <w:pPr>
                              <w:ind w:firstLine="2268"/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106323"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  <w:t>www.dunavre.rs ; office@dunavre.rs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15.3pt;margin-top:0;width:641.7pt;height:61.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" o:allowincell="f" fillcolor="#4f81bd" strokecolor="#4f81bd">
                <v:textbox>
                  <w:txbxContent>
                    <w:p w:rsidR="000F1A33" w:rsidRPr="00106323" w:rsidRDefault="000F1A33" w:rsidP="00CD4477">
                      <w:pPr>
                        <w:ind w:firstLine="2268"/>
                        <w:rPr>
                          <w:rFonts w:ascii="Tahoma" w:hAnsi="Tahoma" w:cs="Tahoma"/>
                          <w:b/>
                          <w:noProof/>
                          <w:color w:val="FFFFFF"/>
                          <w:sz w:val="18"/>
                          <w:szCs w:val="18"/>
                        </w:rPr>
                      </w:pPr>
                    </w:p>
                    <w:p w:rsidR="000F1A33" w:rsidRPr="00106323" w:rsidRDefault="000F1A33" w:rsidP="00CD4477">
                      <w:pPr>
                        <w:ind w:firstLine="2268"/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</w:pPr>
                      <w:r w:rsidRPr="00106323"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  <w:t>Друштво за реосигурање „Дунав Ре“</w:t>
                      </w:r>
                    </w:p>
                    <w:p w:rsidR="000F1A33" w:rsidRPr="00106323" w:rsidRDefault="000F1A33" w:rsidP="00CD4477">
                      <w:pPr>
                        <w:ind w:firstLine="2268"/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</w:pPr>
                      <w:r w:rsidRPr="00106323"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  <w:t>Кнез Михаилова 6/II, Београд, Србија</w:t>
                      </w:r>
                    </w:p>
                    <w:p w:rsidR="000F1A33" w:rsidRPr="00106323" w:rsidRDefault="000F1A33" w:rsidP="00CD4477">
                      <w:pPr>
                        <w:ind w:firstLine="2268"/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</w:pPr>
                      <w:r w:rsidRPr="00106323"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  <w:t>www.dunavre.rs ; office@dunavre.rs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376705" w:rsidRPr="002C666B" w:rsidRDefault="002C666B" w:rsidP="002C666B">
      <w:pPr>
        <w:pStyle w:val="NoSpacing"/>
        <w:jc w:val="right"/>
        <w:rPr>
          <w:rFonts w:ascii="Verdana" w:hAnsi="Verdana" w:cs="Tahoma"/>
          <w:noProof/>
          <w:sz w:val="44"/>
          <w:szCs w:val="44"/>
          <w:u w:val="single"/>
          <w:lang w:val="sr-Cyrl-CS"/>
        </w:rPr>
      </w:pPr>
      <w:r w:rsidRPr="002C666B">
        <w:rPr>
          <w:rFonts w:ascii="Verdana" w:hAnsi="Verdana" w:cs="Tahoma"/>
          <w:noProof/>
          <w:sz w:val="44"/>
          <w:szCs w:val="44"/>
          <w:u w:val="single"/>
          <w:lang w:val="sr-Cyrl-CS"/>
        </w:rPr>
        <w:t>П Р Е Д Л О Г</w:t>
      </w:r>
    </w:p>
    <w:p w:rsidR="00376705" w:rsidRPr="00272017" w:rsidRDefault="00376705" w:rsidP="00CD4477">
      <w:pPr>
        <w:pStyle w:val="NoSpacing"/>
        <w:jc w:val="center"/>
        <w:rPr>
          <w:rFonts w:ascii="Verdana" w:hAnsi="Verdana" w:cs="Tahoma"/>
          <w:noProof/>
          <w:sz w:val="44"/>
          <w:szCs w:val="44"/>
          <w:lang w:val="sr-Cyrl-CS"/>
        </w:rPr>
      </w:pPr>
    </w:p>
    <w:p w:rsidR="001D3F61" w:rsidRPr="00272017" w:rsidRDefault="001D3F61" w:rsidP="00CD4477">
      <w:pPr>
        <w:pStyle w:val="NoSpacing"/>
        <w:jc w:val="center"/>
        <w:rPr>
          <w:rFonts w:ascii="Verdana" w:hAnsi="Verdana" w:cs="Tahoma"/>
          <w:noProof/>
          <w:sz w:val="44"/>
          <w:szCs w:val="44"/>
          <w:lang w:val="sr-Cyrl-CS"/>
        </w:rPr>
      </w:pPr>
    </w:p>
    <w:p w:rsidR="00376705" w:rsidRPr="00272017" w:rsidRDefault="00376705" w:rsidP="00CD4477">
      <w:pPr>
        <w:pStyle w:val="NoSpacing"/>
        <w:jc w:val="center"/>
        <w:rPr>
          <w:rFonts w:ascii="Verdana" w:hAnsi="Verdana" w:cs="Tahoma"/>
          <w:noProof/>
          <w:sz w:val="44"/>
          <w:szCs w:val="44"/>
          <w:lang w:val="sr-Cyrl-CS"/>
        </w:rPr>
      </w:pPr>
    </w:p>
    <w:p w:rsidR="00CD4477" w:rsidRDefault="00B33382" w:rsidP="00CD4477">
      <w:pPr>
        <w:pStyle w:val="NoSpacing"/>
        <w:jc w:val="center"/>
        <w:rPr>
          <w:rFonts w:ascii="Cambria" w:hAnsi="Cambria" w:cs="Tahoma"/>
          <w:b/>
          <w:noProof/>
          <w:sz w:val="68"/>
          <w:szCs w:val="68"/>
          <w:lang w:val="sr-Cyrl-CS"/>
        </w:rPr>
      </w:pPr>
      <w:r w:rsidRPr="00272017">
        <w:rPr>
          <w:rFonts w:ascii="Cambria" w:hAnsi="Cambria" w:cs="Tahoma"/>
          <w:b/>
          <w:noProof/>
          <w:sz w:val="68"/>
          <w:szCs w:val="68"/>
          <w:lang w:val="sr-Cyrl-CS"/>
        </w:rPr>
        <w:t>ПОСЛОВН</w:t>
      </w:r>
      <w:r w:rsidR="00967F2B">
        <w:rPr>
          <w:rFonts w:ascii="Cambria" w:hAnsi="Cambria" w:cs="Tahoma"/>
          <w:b/>
          <w:noProof/>
          <w:sz w:val="68"/>
          <w:szCs w:val="68"/>
          <w:lang w:val="sr-Cyrl-CS"/>
        </w:rPr>
        <w:t>И</w:t>
      </w:r>
      <w:r w:rsidRPr="00272017">
        <w:rPr>
          <w:rFonts w:ascii="Cambria" w:hAnsi="Cambria" w:cs="Tahoma"/>
          <w:b/>
          <w:noProof/>
          <w:sz w:val="68"/>
          <w:szCs w:val="68"/>
          <w:lang w:val="sr-Cyrl-CS"/>
        </w:rPr>
        <w:t xml:space="preserve"> П</w:t>
      </w:r>
      <w:r w:rsidR="009229C3" w:rsidRPr="00272017">
        <w:rPr>
          <w:rFonts w:ascii="Cambria" w:hAnsi="Cambria" w:cs="Tahoma"/>
          <w:b/>
          <w:noProof/>
          <w:sz w:val="68"/>
          <w:szCs w:val="68"/>
          <w:lang w:val="sr-Cyrl-CS"/>
        </w:rPr>
        <w:t>ЛА</w:t>
      </w:r>
      <w:r w:rsidR="00967F2B">
        <w:rPr>
          <w:rFonts w:ascii="Cambria" w:hAnsi="Cambria" w:cs="Tahoma"/>
          <w:b/>
          <w:noProof/>
          <w:sz w:val="68"/>
          <w:szCs w:val="68"/>
          <w:lang w:val="sr-Cyrl-CS"/>
        </w:rPr>
        <w:t>Н</w:t>
      </w:r>
    </w:p>
    <w:p w:rsidR="00967F2B" w:rsidRDefault="002C666B" w:rsidP="00CD4477">
      <w:pPr>
        <w:pStyle w:val="NoSpacing"/>
        <w:jc w:val="center"/>
        <w:rPr>
          <w:rFonts w:ascii="Cambria" w:hAnsi="Cambria" w:cs="Tahoma"/>
          <w:b/>
          <w:noProof/>
          <w:sz w:val="68"/>
          <w:szCs w:val="68"/>
          <w:lang w:val="sr-Cyrl-RS"/>
        </w:rPr>
      </w:pPr>
      <w:r>
        <w:rPr>
          <w:rFonts w:ascii="Cambria" w:hAnsi="Cambria" w:cs="Tahoma"/>
          <w:b/>
          <w:noProof/>
          <w:sz w:val="68"/>
          <w:szCs w:val="68"/>
          <w:lang w:val="sr-Cyrl-RS"/>
        </w:rPr>
        <w:t>Друштва за реосигурање</w:t>
      </w:r>
    </w:p>
    <w:p w:rsidR="002C666B" w:rsidRPr="002C666B" w:rsidRDefault="002C666B" w:rsidP="00CD4477">
      <w:pPr>
        <w:pStyle w:val="NoSpacing"/>
        <w:jc w:val="center"/>
        <w:rPr>
          <w:rFonts w:ascii="Cambria" w:hAnsi="Cambria" w:cs="Tahoma"/>
          <w:b/>
          <w:noProof/>
          <w:sz w:val="68"/>
          <w:szCs w:val="68"/>
          <w:lang w:val="sr-Cyrl-RS"/>
        </w:rPr>
      </w:pPr>
      <w:r>
        <w:rPr>
          <w:rFonts w:ascii="Cambria" w:hAnsi="Cambria" w:cs="Tahoma"/>
          <w:b/>
          <w:noProof/>
          <w:sz w:val="68"/>
          <w:szCs w:val="68"/>
          <w:lang w:val="sr-Cyrl-RS"/>
        </w:rPr>
        <w:t>„Дунав Ре“ а.д.о.</w:t>
      </w:r>
    </w:p>
    <w:p w:rsidR="001D3F61" w:rsidRPr="00272017" w:rsidRDefault="001D3F61" w:rsidP="00CD4477">
      <w:pPr>
        <w:pStyle w:val="NoSpacing"/>
        <w:jc w:val="center"/>
        <w:rPr>
          <w:rFonts w:ascii="Cambria" w:hAnsi="Cambria" w:cs="Tahoma"/>
          <w:noProof/>
          <w:sz w:val="20"/>
          <w:szCs w:val="20"/>
          <w:lang w:val="sr-Cyrl-CS"/>
        </w:rPr>
      </w:pPr>
    </w:p>
    <w:p w:rsidR="00CD4477" w:rsidRPr="00272017" w:rsidRDefault="00CD4477">
      <w:pPr>
        <w:pStyle w:val="NoSpacing"/>
        <w:rPr>
          <w:rFonts w:ascii="Cambria" w:hAnsi="Cambria" w:cs="Tahoma"/>
          <w:noProof/>
          <w:sz w:val="18"/>
          <w:szCs w:val="18"/>
          <w:lang w:val="sr-Cyrl-CS"/>
        </w:rPr>
      </w:pPr>
    </w:p>
    <w:p w:rsidR="00CD4477" w:rsidRPr="00272017" w:rsidRDefault="00CD4477">
      <w:pPr>
        <w:pStyle w:val="NoSpacing"/>
        <w:rPr>
          <w:rFonts w:ascii="Verdana" w:hAnsi="Verdana" w:cs="Tahoma"/>
          <w:noProof/>
          <w:sz w:val="18"/>
          <w:szCs w:val="18"/>
          <w:lang w:val="sr-Cyrl-CS"/>
        </w:rPr>
      </w:pPr>
    </w:p>
    <w:p w:rsidR="00CD4477" w:rsidRPr="00272017" w:rsidRDefault="00CD4477">
      <w:pPr>
        <w:rPr>
          <w:rFonts w:ascii="Verdana" w:hAnsi="Verdana" w:cs="Tahoma"/>
          <w:noProof/>
          <w:sz w:val="18"/>
          <w:szCs w:val="18"/>
          <w:lang w:val="sr-Cyrl-CS"/>
        </w:rPr>
      </w:pPr>
    </w:p>
    <w:p w:rsidR="002569C2" w:rsidRPr="00272017" w:rsidRDefault="002569C2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18"/>
          <w:szCs w:val="18"/>
          <w:lang w:val="sr-Cyrl-CS"/>
        </w:rPr>
      </w:pPr>
    </w:p>
    <w:p w:rsidR="00494D7E" w:rsidRPr="00272017" w:rsidRDefault="00494D7E">
      <w:pPr>
        <w:suppressAutoHyphens w:val="0"/>
        <w:rPr>
          <w:rFonts w:ascii="Verdana" w:hAnsi="Verdana" w:cs="Tahoma"/>
          <w:noProof/>
          <w:sz w:val="20"/>
          <w:szCs w:val="20"/>
          <w:lang w:val="sr-Cyrl-CS"/>
        </w:rPr>
      </w:pPr>
    </w:p>
    <w:p w:rsidR="00CD6018" w:rsidRPr="00272017" w:rsidRDefault="00CD6018" w:rsidP="00CD6018">
      <w:pPr>
        <w:pStyle w:val="NoSpacing"/>
        <w:rPr>
          <w:noProof/>
          <w:lang w:val="sr-Cyrl-CS"/>
        </w:rPr>
      </w:pPr>
    </w:p>
    <w:p w:rsidR="00CD6018" w:rsidRPr="00272017" w:rsidRDefault="00CD6018" w:rsidP="00CD6018">
      <w:pPr>
        <w:pStyle w:val="NoSpacing"/>
        <w:rPr>
          <w:noProof/>
          <w:lang w:val="sr-Cyrl-CS"/>
        </w:rPr>
      </w:pPr>
    </w:p>
    <w:p w:rsidR="00CD6018" w:rsidRPr="00272017" w:rsidRDefault="00CD6018" w:rsidP="00CD6018">
      <w:pPr>
        <w:pStyle w:val="NoSpacing"/>
        <w:rPr>
          <w:noProof/>
          <w:lang w:val="sr-Cyrl-CS"/>
        </w:rPr>
      </w:pPr>
    </w:p>
    <w:p w:rsidR="00CD6018" w:rsidRPr="00272017" w:rsidRDefault="00CD6018" w:rsidP="00CD6018">
      <w:pPr>
        <w:pStyle w:val="NoSpacing"/>
        <w:rPr>
          <w:noProof/>
          <w:lang w:val="sr-Cyrl-CS"/>
        </w:rPr>
      </w:pPr>
    </w:p>
    <w:p w:rsidR="0012702E" w:rsidRPr="00272017" w:rsidRDefault="0012702E" w:rsidP="000E07B5">
      <w:pPr>
        <w:pStyle w:val="TOCHeading"/>
        <w:spacing w:before="240"/>
        <w:jc w:val="center"/>
        <w:rPr>
          <w:rFonts w:ascii="Verdana" w:hAnsi="Verdana"/>
          <w:noProof/>
          <w:lang w:val="sr-Cyrl-CS"/>
        </w:rPr>
      </w:pPr>
      <w:r w:rsidRPr="00272017">
        <w:rPr>
          <w:rFonts w:ascii="Verdana" w:hAnsi="Verdana"/>
          <w:noProof/>
          <w:lang w:val="sr-Cyrl-CS"/>
        </w:rPr>
        <w:lastRenderedPageBreak/>
        <w:t>С А Д Р Ж А Ј</w:t>
      </w:r>
    </w:p>
    <w:bookmarkStart w:id="1" w:name="_Ref162835051" w:displacedByCustomXml="next"/>
    <w:sdt>
      <w:sdtPr>
        <w:rPr>
          <w:rFonts w:ascii="Times New Roman" w:hAnsi="Times New Roman" w:cs="Tahoma"/>
          <w:b w:val="0"/>
          <w:bCs w:val="0"/>
          <w:noProof/>
          <w:color w:val="auto"/>
          <w:sz w:val="24"/>
          <w:szCs w:val="24"/>
          <w:lang w:val="sr-Cyrl-CS" w:eastAsia="ar-SA"/>
        </w:rPr>
        <w:id w:val="-1506583544"/>
        <w:docPartObj>
          <w:docPartGallery w:val="Table of Contents"/>
          <w:docPartUnique/>
        </w:docPartObj>
      </w:sdtPr>
      <w:sdtEndPr>
        <w:rPr>
          <w:rFonts w:ascii="Verdana" w:hAnsi="Verdana"/>
          <w:b/>
          <w:color w:val="4F81BD" w:themeColor="accent1"/>
          <w:szCs w:val="28"/>
          <w:lang w:val="sr-Cyrl-RS" w:eastAsia="ja-JP"/>
        </w:rPr>
      </w:sdtEndPr>
      <w:sdtContent>
        <w:p w:rsidR="00043BAA" w:rsidRPr="00272017" w:rsidRDefault="00043BAA" w:rsidP="00F01591">
          <w:pPr>
            <w:pStyle w:val="TOCHeading"/>
            <w:spacing w:before="0"/>
            <w:rPr>
              <w:rStyle w:val="NoSpacingChar"/>
              <w:noProof/>
              <w:color w:val="365F91" w:themeColor="accent1" w:themeShade="BF"/>
              <w:sz w:val="2"/>
              <w:szCs w:val="2"/>
              <w:lang w:val="sr-Cyrl-CS"/>
            </w:rPr>
          </w:pPr>
        </w:p>
        <w:p w:rsidR="000F1A33" w:rsidRDefault="000F1A33" w:rsidP="000F1A33">
          <w:pPr>
            <w:pStyle w:val="TOC1"/>
          </w:pPr>
        </w:p>
        <w:p w:rsidR="000F1A33" w:rsidRDefault="00556BE4" w:rsidP="000F1A33">
          <w:pPr>
            <w:pStyle w:val="TOC1"/>
            <w:rPr>
              <w:rStyle w:val="Hyperlink"/>
            </w:rPr>
          </w:pPr>
          <w:r w:rsidRPr="00272017">
            <w:rPr>
              <w:color w:val="365F91" w:themeColor="accent1" w:themeShade="BF"/>
              <w:sz w:val="28"/>
            </w:rPr>
            <w:fldChar w:fldCharType="begin"/>
          </w:r>
          <w:r w:rsidR="00043BAA" w:rsidRPr="00272017">
            <w:rPr>
              <w:color w:val="365F91" w:themeColor="accent1" w:themeShade="BF"/>
            </w:rPr>
            <w:instrText xml:space="preserve"> TOC \o "1-3" \h \z \u </w:instrText>
          </w:r>
          <w:r w:rsidRPr="00272017">
            <w:rPr>
              <w:color w:val="365F91" w:themeColor="accent1" w:themeShade="BF"/>
              <w:sz w:val="28"/>
            </w:rPr>
            <w:fldChar w:fldCharType="separate"/>
          </w:r>
          <w:hyperlink w:anchor="_Toc433278672" w:history="1">
            <w:r w:rsidR="000F1A33" w:rsidRPr="005F5FE7">
              <w:rPr>
                <w:rStyle w:val="Hyperlink"/>
                <w:lang w:val="sr-Cyrl-CS"/>
              </w:rPr>
              <w:t>У В О Д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_Toc433278672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4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rPr>
              <w:rFonts w:eastAsiaTheme="minorEastAsia"/>
              <w:noProof/>
              <w:sz w:val="10"/>
              <w:szCs w:val="10"/>
              <w:lang w:val="sr-Cyrl-RS" w:eastAsia="ja-JP"/>
            </w:rPr>
          </w:pPr>
        </w:p>
        <w:p w:rsidR="000F1A33" w:rsidRDefault="00220138" w:rsidP="000F1A33">
          <w:pPr>
            <w:pStyle w:val="TOC1"/>
            <w:rPr>
              <w:rFonts w:asciiTheme="minorHAnsi" w:eastAsiaTheme="minorEastAsia" w:hAnsiTheme="minorHAnsi" w:cstheme="minorBidi"/>
              <w:color w:val="auto"/>
              <w:szCs w:val="22"/>
              <w:lang w:val="sr-Latn-RS" w:eastAsia="sr-Latn-RS"/>
            </w:rPr>
          </w:pPr>
          <w:hyperlink w:anchor="_Toc433278673" w:history="1">
            <w:r w:rsidR="000F1A33" w:rsidRPr="005F5FE7">
              <w:rPr>
                <w:rStyle w:val="Hyperlink"/>
                <w:lang w:val="sr-Cyrl-CS"/>
              </w:rPr>
              <w:t>Основни подаци о Друштву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_Toc433278673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4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pStyle w:val="TOC1"/>
            <w:rPr>
              <w:rStyle w:val="Hyperlink"/>
              <w:sz w:val="10"/>
              <w:szCs w:val="10"/>
            </w:rPr>
          </w:pPr>
        </w:p>
        <w:p w:rsidR="000F1A33" w:rsidRDefault="00220138" w:rsidP="000F1A33">
          <w:pPr>
            <w:pStyle w:val="TOC1"/>
            <w:rPr>
              <w:rFonts w:asciiTheme="minorHAnsi" w:eastAsiaTheme="minorEastAsia" w:hAnsiTheme="minorHAnsi" w:cstheme="minorBidi"/>
              <w:color w:val="auto"/>
              <w:szCs w:val="22"/>
              <w:lang w:val="sr-Latn-RS" w:eastAsia="sr-Latn-RS"/>
            </w:rPr>
          </w:pPr>
          <w:hyperlink w:anchor="_Toc433278674" w:history="1">
            <w:r w:rsidR="000F1A33" w:rsidRPr="005F5FE7">
              <w:rPr>
                <w:rStyle w:val="Hyperlink"/>
                <w:lang w:val="sr-Cyrl-CS"/>
              </w:rPr>
              <w:t>Опште информације о Друштву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_Toc433278674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4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pStyle w:val="TOC1"/>
            <w:rPr>
              <w:rStyle w:val="Hyperlink"/>
              <w:sz w:val="10"/>
              <w:szCs w:val="10"/>
            </w:rPr>
          </w:pPr>
        </w:p>
        <w:p w:rsidR="000F1A33" w:rsidRDefault="00220138" w:rsidP="000F1A33">
          <w:pPr>
            <w:pStyle w:val="TOC1"/>
            <w:rPr>
              <w:rFonts w:asciiTheme="minorHAnsi" w:eastAsiaTheme="minorEastAsia" w:hAnsiTheme="minorHAnsi" w:cstheme="minorBidi"/>
              <w:color w:val="auto"/>
              <w:szCs w:val="22"/>
              <w:lang w:val="sr-Latn-RS" w:eastAsia="sr-Latn-RS"/>
            </w:rPr>
          </w:pPr>
          <w:hyperlink w:anchor="_Toc433278675" w:history="1">
            <w:r w:rsidR="000F1A33" w:rsidRPr="005F5FE7">
              <w:rPr>
                <w:rStyle w:val="Hyperlink"/>
                <w:lang w:val="sr-Cyrl-CS"/>
              </w:rPr>
              <w:t>Визија Друштва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_Toc433278675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5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pStyle w:val="TOC1"/>
            <w:rPr>
              <w:rStyle w:val="Hyperlink"/>
              <w:sz w:val="10"/>
              <w:szCs w:val="10"/>
            </w:rPr>
          </w:pPr>
        </w:p>
        <w:p w:rsidR="000F1A33" w:rsidRDefault="00220138" w:rsidP="000F1A33">
          <w:pPr>
            <w:pStyle w:val="TOC1"/>
            <w:rPr>
              <w:rStyle w:val="Hyperlink"/>
            </w:rPr>
          </w:pPr>
          <w:hyperlink w:anchor="_Toc433278676" w:history="1">
            <w:r w:rsidR="000F1A33" w:rsidRPr="005F5FE7">
              <w:rPr>
                <w:rStyle w:val="Hyperlink"/>
                <w:lang w:val="sr-Cyrl-CS"/>
              </w:rPr>
              <w:t>Мисија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_Toc433278676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6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rPr>
              <w:rFonts w:eastAsiaTheme="minorEastAsia"/>
              <w:noProof/>
              <w:lang w:val="sr-Cyrl-RS" w:eastAsia="ja-JP"/>
            </w:rPr>
          </w:pPr>
        </w:p>
        <w:p w:rsidR="000F1A33" w:rsidRDefault="00220138" w:rsidP="000F1A33">
          <w:pPr>
            <w:pStyle w:val="TOC1"/>
            <w:rPr>
              <w:rFonts w:asciiTheme="minorHAnsi" w:eastAsiaTheme="minorEastAsia" w:hAnsiTheme="minorHAnsi" w:cstheme="minorBidi"/>
              <w:color w:val="auto"/>
              <w:szCs w:val="22"/>
              <w:lang w:val="sr-Latn-RS" w:eastAsia="sr-Latn-RS"/>
            </w:rPr>
          </w:pPr>
          <w:hyperlink w:anchor="_Toc433278677" w:history="1">
            <w:r w:rsidR="000F1A33" w:rsidRPr="005F5FE7">
              <w:rPr>
                <w:rStyle w:val="Hyperlink"/>
                <w:lang w:val="sr-Cyrl-CS"/>
              </w:rPr>
              <w:t>1.</w:t>
            </w:r>
            <w:r w:rsidR="000F1A33">
              <w:rPr>
                <w:rFonts w:asciiTheme="minorHAnsi" w:eastAsiaTheme="minorEastAsia" w:hAnsiTheme="minorHAnsi" w:cstheme="minorBidi"/>
                <w:color w:val="auto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CS"/>
              </w:rPr>
              <w:t>ОСНОВЕ ПОСЛОВНЕ ПОЛИТИКЕ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_Toc433278677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6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pStyle w:val="TOC1"/>
            <w:rPr>
              <w:rStyle w:val="Hyperlink"/>
              <w:sz w:val="10"/>
              <w:szCs w:val="10"/>
            </w:rPr>
          </w:pPr>
        </w:p>
        <w:p w:rsidR="000F1A33" w:rsidRDefault="00220138" w:rsidP="000F1A33">
          <w:pPr>
            <w:pStyle w:val="TOC1"/>
            <w:rPr>
              <w:rFonts w:asciiTheme="minorHAnsi" w:eastAsiaTheme="minorEastAsia" w:hAnsiTheme="minorHAnsi" w:cstheme="minorBidi"/>
              <w:color w:val="auto"/>
              <w:szCs w:val="22"/>
              <w:lang w:val="sr-Latn-RS" w:eastAsia="sr-Latn-RS"/>
            </w:rPr>
          </w:pPr>
          <w:hyperlink w:anchor="_Toc433278678" w:history="1">
            <w:r w:rsidR="000F1A33" w:rsidRPr="005F5FE7">
              <w:rPr>
                <w:rStyle w:val="Hyperlink"/>
                <w:lang w:val="sr-Cyrl-CS"/>
              </w:rPr>
              <w:t>1.1</w:t>
            </w:r>
            <w:r w:rsidR="000F1A33">
              <w:rPr>
                <w:rFonts w:asciiTheme="minorHAnsi" w:eastAsiaTheme="minorEastAsia" w:hAnsiTheme="minorHAnsi" w:cstheme="minorBidi"/>
                <w:color w:val="auto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CS"/>
              </w:rPr>
              <w:t>Основе пословне политике Друштва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_Toc433278678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6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pStyle w:val="TOC1"/>
            <w:rPr>
              <w:rStyle w:val="Hyperlink"/>
              <w:sz w:val="10"/>
              <w:szCs w:val="10"/>
            </w:rPr>
          </w:pPr>
        </w:p>
        <w:p w:rsidR="000F1A33" w:rsidRDefault="00220138" w:rsidP="000F1A33">
          <w:pPr>
            <w:pStyle w:val="TOC1"/>
            <w:rPr>
              <w:rFonts w:asciiTheme="minorHAnsi" w:eastAsiaTheme="minorEastAsia" w:hAnsiTheme="minorHAnsi" w:cstheme="minorBidi"/>
              <w:color w:val="auto"/>
              <w:szCs w:val="22"/>
              <w:lang w:val="sr-Latn-RS" w:eastAsia="sr-Latn-RS"/>
            </w:rPr>
          </w:pPr>
          <w:hyperlink w:anchor="_Toc433278679" w:history="1">
            <w:r w:rsidR="000F1A33" w:rsidRPr="005F5FE7">
              <w:rPr>
                <w:rStyle w:val="Hyperlink"/>
                <w:lang w:val="sr-Cyrl-CS"/>
              </w:rPr>
              <w:t>1.2</w:t>
            </w:r>
            <w:r w:rsidR="000F1A33">
              <w:rPr>
                <w:rFonts w:asciiTheme="minorHAnsi" w:eastAsiaTheme="minorEastAsia" w:hAnsiTheme="minorHAnsi" w:cstheme="minorBidi"/>
                <w:color w:val="auto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CS"/>
              </w:rPr>
              <w:t>Дефинисање пословне политике по сегментима пословања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_Toc433278679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6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683" w:history="1">
            <w:r w:rsidR="000F1A33" w:rsidRPr="005F5FE7">
              <w:rPr>
                <w:rStyle w:val="Hyperlink"/>
              </w:rPr>
              <w:t>1.2.1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>Пословна политика одржања адекватности капитала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_Toc433278683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6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684" w:history="1">
            <w:r w:rsidR="000F1A33" w:rsidRPr="005F5FE7">
              <w:rPr>
                <w:rStyle w:val="Hyperlink"/>
              </w:rPr>
              <w:t>1.2.2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>Пословна политика реосигурања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_Toc433278684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8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685" w:history="1">
            <w:r w:rsidR="000F1A33" w:rsidRPr="005F5FE7">
              <w:rPr>
                <w:rStyle w:val="Hyperlink"/>
              </w:rPr>
              <w:t>1.2.3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>Инвестициона политика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_Toc433278685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9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686" w:history="1">
            <w:r w:rsidR="000F1A33" w:rsidRPr="005F5FE7">
              <w:rPr>
                <w:rStyle w:val="Hyperlink"/>
              </w:rPr>
              <w:t>1.2.4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>Пословна политика система управљања                                                  и система интерних контрола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_Toc433278686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10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687" w:history="1">
            <w:r w:rsidR="000F1A33" w:rsidRPr="005F5FE7">
              <w:rPr>
                <w:rStyle w:val="Hyperlink"/>
              </w:rPr>
              <w:t>1.2.5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>Пословна политика унапређења информационог система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_Toc433278687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12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Style w:val="Hyperlink"/>
              <w:lang w:val="sr-Cyrl-RS"/>
            </w:rPr>
          </w:pPr>
          <w:hyperlink w:anchor="_Toc433278688" w:history="1">
            <w:r w:rsidR="000F1A33" w:rsidRPr="005F5FE7">
              <w:rPr>
                <w:rStyle w:val="Hyperlink"/>
              </w:rPr>
              <w:t>1.2.6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>Пословна политика поверавања послова трећим лицима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_Toc433278688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13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rPr>
              <w:rFonts w:eastAsiaTheme="minorEastAsia"/>
              <w:noProof/>
              <w:lang w:val="sr-Cyrl-RS" w:eastAsia="ja-JP"/>
            </w:rPr>
          </w:pPr>
        </w:p>
        <w:p w:rsidR="000F1A33" w:rsidRDefault="00220138" w:rsidP="000F1A33">
          <w:pPr>
            <w:pStyle w:val="TOC1"/>
            <w:rPr>
              <w:rStyle w:val="Hyperlink"/>
            </w:rPr>
          </w:pPr>
          <w:hyperlink w:anchor="_Toc433278689" w:history="1">
            <w:r w:rsidR="000F1A33" w:rsidRPr="005F5FE7">
              <w:rPr>
                <w:rStyle w:val="Hyperlink"/>
                <w:lang w:val="sr-Cyrl-CS"/>
              </w:rPr>
              <w:t>2.</w:t>
            </w:r>
            <w:r w:rsidR="000F1A33">
              <w:rPr>
                <w:rFonts w:asciiTheme="minorHAnsi" w:eastAsiaTheme="minorEastAsia" w:hAnsiTheme="minorHAnsi" w:cstheme="minorBidi"/>
                <w:color w:val="auto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CS"/>
              </w:rPr>
              <w:t>ДЕЛАТНОСТ У СКЛАДУ СА ИЗДАТОМ ДОЗВОЛОМ ЗА РАД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_Toc433278689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14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rPr>
              <w:rFonts w:eastAsiaTheme="minorEastAsia"/>
              <w:noProof/>
              <w:lang w:val="sr-Cyrl-RS" w:eastAsia="ja-JP"/>
            </w:rPr>
          </w:pPr>
        </w:p>
        <w:p w:rsidR="000F1A33" w:rsidRDefault="00220138" w:rsidP="000F1A33">
          <w:pPr>
            <w:pStyle w:val="TOC1"/>
            <w:rPr>
              <w:rStyle w:val="Hyperlink"/>
            </w:rPr>
          </w:pPr>
          <w:hyperlink w:anchor="_Toc433278690" w:history="1">
            <w:r w:rsidR="000F1A33" w:rsidRPr="005F5FE7">
              <w:rPr>
                <w:rStyle w:val="Hyperlink"/>
                <w:lang w:val="sr-Cyrl-CS"/>
              </w:rPr>
              <w:t>3.</w:t>
            </w:r>
            <w:r w:rsidR="000F1A33">
              <w:rPr>
                <w:rFonts w:asciiTheme="minorHAnsi" w:eastAsiaTheme="minorEastAsia" w:hAnsiTheme="minorHAnsi" w:cstheme="minorBidi"/>
                <w:color w:val="auto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CS"/>
              </w:rPr>
              <w:t>ПРОГРАМ</w:t>
            </w:r>
            <w:r w:rsidR="000F1A33" w:rsidRPr="005F5FE7">
              <w:rPr>
                <w:rStyle w:val="Hyperlink"/>
                <w:lang w:val="sr-Latn-RS"/>
              </w:rPr>
              <w:t xml:space="preserve"> </w:t>
            </w:r>
            <w:r w:rsidR="000F1A33" w:rsidRPr="005F5FE7">
              <w:rPr>
                <w:rStyle w:val="Hyperlink"/>
              </w:rPr>
              <w:t>ПРЕДВИЂЕНЕ РЕТРОЦЕСИЈЕ</w:t>
            </w:r>
            <w:r w:rsidR="000F1A33" w:rsidRPr="005F5FE7">
              <w:rPr>
                <w:rStyle w:val="Hyperlink"/>
                <w:lang w:val="sr-Cyrl-CS"/>
              </w:rPr>
              <w:t xml:space="preserve"> РЕТРОЦЕСИЈЕ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_Toc433278690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15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rPr>
              <w:rFonts w:eastAsiaTheme="minorEastAsia"/>
              <w:noProof/>
              <w:lang w:val="sr-Cyrl-RS" w:eastAsia="ja-JP"/>
            </w:rPr>
          </w:pPr>
        </w:p>
        <w:p w:rsidR="000F1A33" w:rsidRDefault="00220138" w:rsidP="000F1A33">
          <w:pPr>
            <w:pStyle w:val="TOC1"/>
            <w:rPr>
              <w:rFonts w:asciiTheme="minorHAnsi" w:eastAsiaTheme="minorEastAsia" w:hAnsiTheme="minorHAnsi" w:cstheme="minorBidi"/>
              <w:color w:val="auto"/>
              <w:szCs w:val="22"/>
              <w:lang w:val="sr-Latn-RS" w:eastAsia="sr-Latn-RS"/>
            </w:rPr>
          </w:pPr>
          <w:hyperlink w:anchor="_Toc433278691" w:history="1">
            <w:r w:rsidR="000F1A33" w:rsidRPr="005F5FE7">
              <w:rPr>
                <w:rStyle w:val="Hyperlink"/>
                <w:lang w:val="sr-Cyrl-CS"/>
              </w:rPr>
              <w:t>4.</w:t>
            </w:r>
            <w:r w:rsidR="000F1A33">
              <w:rPr>
                <w:rFonts w:asciiTheme="minorHAnsi" w:eastAsiaTheme="minorEastAsia" w:hAnsiTheme="minorHAnsi" w:cstheme="minorBidi"/>
                <w:color w:val="auto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CS"/>
              </w:rPr>
              <w:t>ПРОЦЕНА ЗАХТЕВАНЕ МАРГИНЕ СОЛВЕНТНОСТИ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_Toc433278691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17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pStyle w:val="TOC1"/>
            <w:rPr>
              <w:rStyle w:val="Hyperlink"/>
              <w:sz w:val="10"/>
              <w:szCs w:val="10"/>
            </w:rPr>
          </w:pPr>
        </w:p>
        <w:p w:rsidR="000F1A33" w:rsidRDefault="00220138" w:rsidP="000F1A33">
          <w:pPr>
            <w:pStyle w:val="TOC1"/>
            <w:rPr>
              <w:rStyle w:val="Hyperlink"/>
            </w:rPr>
          </w:pPr>
          <w:hyperlink w:anchor="_Toc433278696" w:history="1">
            <w:r w:rsidR="000F1A33" w:rsidRPr="005F5FE7">
              <w:rPr>
                <w:rStyle w:val="Hyperlink"/>
                <w:lang w:val="sr-Latn-RS"/>
              </w:rPr>
              <w:t>4.1</w:t>
            </w:r>
            <w:r w:rsidR="000F1A33">
              <w:rPr>
                <w:rFonts w:asciiTheme="minorHAnsi" w:eastAsiaTheme="minorEastAsia" w:hAnsiTheme="minorHAnsi" w:cstheme="minorBidi"/>
                <w:color w:val="auto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CS"/>
              </w:rPr>
              <w:t>Процена захтеване маргине солвентности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_Toc433278696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17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rPr>
              <w:rFonts w:eastAsiaTheme="minorEastAsia"/>
              <w:noProof/>
              <w:lang w:val="sr-Cyrl-RS" w:eastAsia="ja-JP"/>
            </w:rPr>
          </w:pPr>
        </w:p>
        <w:p w:rsidR="000F1A33" w:rsidRDefault="00220138" w:rsidP="000F1A33">
          <w:pPr>
            <w:pStyle w:val="TOC1"/>
            <w:rPr>
              <w:rFonts w:asciiTheme="minorHAnsi" w:eastAsiaTheme="minorEastAsia" w:hAnsiTheme="minorHAnsi" w:cstheme="minorBidi"/>
              <w:color w:val="auto"/>
              <w:szCs w:val="22"/>
              <w:lang w:val="sr-Latn-RS" w:eastAsia="sr-Latn-RS"/>
            </w:rPr>
          </w:pPr>
          <w:hyperlink w:anchor="_Toc433278697" w:history="1">
            <w:r w:rsidR="000F1A33" w:rsidRPr="005F5FE7">
              <w:rPr>
                <w:rStyle w:val="Hyperlink"/>
                <w:lang w:val="sr-Cyrl-CS"/>
              </w:rPr>
              <w:t>5.</w:t>
            </w:r>
            <w:r w:rsidR="000F1A33">
              <w:rPr>
                <w:rFonts w:asciiTheme="minorHAnsi" w:eastAsiaTheme="minorEastAsia" w:hAnsiTheme="minorHAnsi" w:cstheme="minorBidi"/>
                <w:color w:val="auto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CS"/>
              </w:rPr>
              <w:t>ПРОЦЕНА АДЕКВАТНОСТ КАПИТАЛА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_Toc433278697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18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pStyle w:val="TOC1"/>
            <w:rPr>
              <w:rStyle w:val="Hyperlink"/>
              <w:sz w:val="10"/>
              <w:szCs w:val="10"/>
            </w:rPr>
          </w:pPr>
        </w:p>
        <w:p w:rsidR="000F1A33" w:rsidRDefault="00220138" w:rsidP="000F1A33">
          <w:pPr>
            <w:pStyle w:val="TOC1"/>
            <w:rPr>
              <w:rFonts w:asciiTheme="minorHAnsi" w:eastAsiaTheme="minorEastAsia" w:hAnsiTheme="minorHAnsi" w:cstheme="minorBidi"/>
              <w:color w:val="auto"/>
              <w:szCs w:val="22"/>
              <w:lang w:val="sr-Latn-RS" w:eastAsia="sr-Latn-RS"/>
            </w:rPr>
          </w:pPr>
          <w:hyperlink w:anchor="_Toc433278699" w:history="1">
            <w:r w:rsidR="000F1A33" w:rsidRPr="005F5FE7">
              <w:rPr>
                <w:rStyle w:val="Hyperlink"/>
                <w:lang w:val="sr-Cyrl-CS"/>
              </w:rPr>
              <w:t>5.1</w:t>
            </w:r>
            <w:r w:rsidR="000F1A33">
              <w:rPr>
                <w:rFonts w:asciiTheme="minorHAnsi" w:eastAsiaTheme="minorEastAsia" w:hAnsiTheme="minorHAnsi" w:cstheme="minorBidi"/>
                <w:color w:val="auto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CS"/>
              </w:rPr>
              <w:t>Процена испуњености услова који се односе на адекватност капитала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_Toc433278699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18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 w:rsidP="000F1A33">
          <w:pPr>
            <w:pStyle w:val="TOC1"/>
            <w:rPr>
              <w:rStyle w:val="Hyperlink"/>
            </w:rPr>
          </w:pPr>
          <w:hyperlink w:anchor="_Toc433278700" w:history="1">
            <w:r w:rsidR="000F1A33" w:rsidRPr="005F5FE7">
              <w:rPr>
                <w:rStyle w:val="Hyperlink"/>
                <w:lang w:val="sr-Cyrl-CS"/>
              </w:rPr>
              <w:t>5.2</w:t>
            </w:r>
            <w:r w:rsidR="000F1A33">
              <w:rPr>
                <w:rFonts w:asciiTheme="minorHAnsi" w:eastAsiaTheme="minorEastAsia" w:hAnsiTheme="minorHAnsi" w:cstheme="minorBidi"/>
                <w:color w:val="auto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CS"/>
              </w:rPr>
              <w:t>Стратегија одржавања адекватности капитала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_Toc433278700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19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rPr>
              <w:rFonts w:eastAsiaTheme="minorEastAsia"/>
              <w:noProof/>
              <w:lang w:val="sr-Cyrl-RS" w:eastAsia="ja-JP"/>
            </w:rPr>
          </w:pPr>
        </w:p>
        <w:p w:rsidR="000F1A33" w:rsidRDefault="00220138" w:rsidP="000F1A33">
          <w:pPr>
            <w:pStyle w:val="TOC1"/>
            <w:rPr>
              <w:rFonts w:asciiTheme="minorHAnsi" w:eastAsiaTheme="minorEastAsia" w:hAnsiTheme="minorHAnsi" w:cstheme="minorBidi"/>
              <w:color w:val="auto"/>
              <w:szCs w:val="22"/>
              <w:lang w:val="sr-Latn-RS" w:eastAsia="sr-Latn-RS"/>
            </w:rPr>
          </w:pPr>
          <w:hyperlink w:anchor="_Toc433278701" w:history="1">
            <w:r w:rsidR="000F1A33" w:rsidRPr="005F5FE7">
              <w:rPr>
                <w:rStyle w:val="Hyperlink"/>
                <w:lang w:val="sr-Cyrl-CS"/>
              </w:rPr>
              <w:t>6.</w:t>
            </w:r>
            <w:r w:rsidR="000F1A33">
              <w:rPr>
                <w:rFonts w:asciiTheme="minorHAnsi" w:eastAsiaTheme="minorEastAsia" w:hAnsiTheme="minorHAnsi" w:cstheme="minorBidi"/>
                <w:color w:val="auto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CS"/>
              </w:rPr>
              <w:t xml:space="preserve">ЕЛАБОРАТ О ОЧЕКИВАНИМ РЕЗУЛТАТИМА ПОСЛОВАЊА </w:t>
            </w:r>
            <w:r w:rsidR="000F1A33">
              <w:rPr>
                <w:rStyle w:val="Hyperlink"/>
              </w:rPr>
              <w:t xml:space="preserve">            </w:t>
            </w:r>
            <w:r w:rsidR="000F1A33" w:rsidRPr="005F5FE7">
              <w:rPr>
                <w:rStyle w:val="Hyperlink"/>
                <w:lang w:val="sr-Cyrl-CS"/>
              </w:rPr>
              <w:t xml:space="preserve">          ЗА ПЕРИОД 2015. – 201</w:t>
            </w:r>
            <w:r w:rsidR="000F1A33" w:rsidRPr="005F5FE7">
              <w:rPr>
                <w:rStyle w:val="Hyperlink"/>
                <w:lang w:val="sr-Latn-RS"/>
              </w:rPr>
              <w:t>9</w:t>
            </w:r>
            <w:r w:rsidR="000F1A33" w:rsidRPr="005F5FE7">
              <w:rPr>
                <w:rStyle w:val="Hyperlink"/>
                <w:lang w:val="sr-Cyrl-CS"/>
              </w:rPr>
              <w:t>. ГОДИНЕ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_Toc433278701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20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pStyle w:val="TOC1"/>
            <w:rPr>
              <w:rStyle w:val="Hyperlink"/>
              <w:sz w:val="10"/>
              <w:szCs w:val="10"/>
            </w:rPr>
          </w:pPr>
        </w:p>
        <w:p w:rsidR="000F1A33" w:rsidRDefault="00220138" w:rsidP="000F1A33">
          <w:pPr>
            <w:pStyle w:val="TOC1"/>
            <w:rPr>
              <w:rFonts w:asciiTheme="minorHAnsi" w:eastAsiaTheme="minorEastAsia" w:hAnsiTheme="minorHAnsi" w:cstheme="minorBidi"/>
              <w:color w:val="auto"/>
              <w:szCs w:val="22"/>
              <w:lang w:val="sr-Latn-RS" w:eastAsia="sr-Latn-RS"/>
            </w:rPr>
          </w:pPr>
          <w:hyperlink w:anchor="_Toc433278703" w:history="1">
            <w:r w:rsidR="000F1A33" w:rsidRPr="005F5FE7">
              <w:rPr>
                <w:rStyle w:val="Hyperlink"/>
                <w:lang w:val="sr-Cyrl-CS"/>
              </w:rPr>
              <w:t>6.1</w:t>
            </w:r>
            <w:r w:rsidR="000F1A33">
              <w:rPr>
                <w:rFonts w:asciiTheme="minorHAnsi" w:eastAsiaTheme="minorEastAsia" w:hAnsiTheme="minorHAnsi" w:cstheme="minorBidi"/>
                <w:color w:val="auto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CS"/>
              </w:rPr>
              <w:t xml:space="preserve">Премија реосигурања и ретроцесије </w:t>
            </w:r>
            <w:r w:rsidR="000F1A33">
              <w:rPr>
                <w:rStyle w:val="Hyperlink"/>
              </w:rPr>
              <w:t xml:space="preserve">                                                      </w:t>
            </w:r>
            <w:r w:rsidR="000F1A33" w:rsidRPr="005F5FE7">
              <w:rPr>
                <w:rStyle w:val="Hyperlink"/>
                <w:lang w:val="sr-Cyrl-CS"/>
              </w:rPr>
              <w:t>за период 2015. – 2019. године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_Toc433278703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20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710" w:history="1">
            <w:r w:rsidR="000F1A33" w:rsidRPr="005F5FE7">
              <w:rPr>
                <w:rStyle w:val="Hyperlink"/>
              </w:rPr>
              <w:t>6.1.1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>Полазне претпоставке за израду плана                                               премије реосигурања и ретроцесије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_Toc433278710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20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711" w:history="1">
            <w:r w:rsidR="000F1A33" w:rsidRPr="005F5FE7">
              <w:rPr>
                <w:rStyle w:val="Hyperlink"/>
              </w:rPr>
              <w:t>6.1.2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>План активне премије реосигурања и премије реосигурања у самопридржају за период 2015. – 2019. године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_Toc433278711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21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pStyle w:val="TOC1"/>
            <w:rPr>
              <w:rStyle w:val="Hyperlink"/>
              <w:sz w:val="10"/>
              <w:szCs w:val="10"/>
            </w:rPr>
          </w:pPr>
        </w:p>
        <w:p w:rsidR="000F1A33" w:rsidRDefault="00220138" w:rsidP="000F1A33">
          <w:pPr>
            <w:pStyle w:val="TOC1"/>
            <w:rPr>
              <w:rFonts w:asciiTheme="minorHAnsi" w:eastAsiaTheme="minorEastAsia" w:hAnsiTheme="minorHAnsi" w:cstheme="minorBidi"/>
              <w:color w:val="auto"/>
              <w:szCs w:val="22"/>
              <w:lang w:val="sr-Latn-RS" w:eastAsia="sr-Latn-RS"/>
            </w:rPr>
          </w:pPr>
          <w:hyperlink w:anchor="_Toc433278712" w:history="1">
            <w:r w:rsidR="000F1A33" w:rsidRPr="005F5FE7">
              <w:rPr>
                <w:rStyle w:val="Hyperlink"/>
                <w:lang w:val="sr-Cyrl-CS"/>
              </w:rPr>
              <w:t>6.2</w:t>
            </w:r>
            <w:r w:rsidR="000F1A33">
              <w:rPr>
                <w:rFonts w:asciiTheme="minorHAnsi" w:eastAsiaTheme="minorEastAsia" w:hAnsiTheme="minorHAnsi" w:cstheme="minorBidi"/>
                <w:color w:val="auto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CS"/>
              </w:rPr>
              <w:t>Ликвидиране и резервисане штете реосигурања и ретроцесије за период 2015. –2019. године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_Toc433278712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23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714" w:history="1">
            <w:r w:rsidR="000F1A33" w:rsidRPr="005F5FE7">
              <w:rPr>
                <w:rStyle w:val="Hyperlink"/>
              </w:rPr>
              <w:t>6.2.1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>Полазне претпоставке за израду плана                                               ликвидираних и резервисаних штета реосигурања и ретроцесије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_Toc433278714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23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715" w:history="1">
            <w:r w:rsidR="000F1A33" w:rsidRPr="005F5FE7">
              <w:rPr>
                <w:rStyle w:val="Hyperlink"/>
              </w:rPr>
              <w:t>6.2.2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>План ликвидираних и резервисаних штета реосигурања и ретроцесије за период 2015. – 2019. године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_Toc433278715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24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pStyle w:val="TOC1"/>
            <w:rPr>
              <w:rStyle w:val="Hyperlink"/>
              <w:sz w:val="10"/>
              <w:szCs w:val="10"/>
            </w:rPr>
          </w:pPr>
        </w:p>
        <w:p w:rsidR="000F1A33" w:rsidRDefault="00220138" w:rsidP="000F1A33">
          <w:pPr>
            <w:pStyle w:val="TOC1"/>
            <w:rPr>
              <w:rFonts w:asciiTheme="minorHAnsi" w:eastAsiaTheme="minorEastAsia" w:hAnsiTheme="minorHAnsi" w:cstheme="minorBidi"/>
              <w:color w:val="auto"/>
              <w:szCs w:val="22"/>
              <w:lang w:val="sr-Latn-RS" w:eastAsia="sr-Latn-RS"/>
            </w:rPr>
          </w:pPr>
          <w:hyperlink w:anchor="_Toc433278717" w:history="1">
            <w:r w:rsidR="000F1A33" w:rsidRPr="005F5FE7">
              <w:rPr>
                <w:rStyle w:val="Hyperlink"/>
                <w:lang w:val="sr-Cyrl-CS"/>
              </w:rPr>
              <w:t>6.3</w:t>
            </w:r>
            <w:r w:rsidR="000F1A33">
              <w:rPr>
                <w:rFonts w:asciiTheme="minorHAnsi" w:eastAsiaTheme="minorEastAsia" w:hAnsiTheme="minorHAnsi" w:cstheme="minorBidi"/>
                <w:color w:val="auto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CS"/>
              </w:rPr>
              <w:t>Трошкови спровођења реосигурања</w:t>
            </w:r>
            <w:r w:rsidR="000F1A33">
              <w:rPr>
                <w:rStyle w:val="Hyperlink"/>
              </w:rPr>
              <w:t xml:space="preserve">                                                        </w:t>
            </w:r>
            <w:r w:rsidR="000F1A33" w:rsidRPr="005F5FE7">
              <w:rPr>
                <w:rStyle w:val="Hyperlink"/>
                <w:lang w:val="sr-Cyrl-CS"/>
              </w:rPr>
              <w:t xml:space="preserve"> за период 2016. –2019. године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_Toc433278717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28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719" w:history="1">
            <w:r w:rsidR="000F1A33" w:rsidRPr="005F5FE7">
              <w:rPr>
                <w:rStyle w:val="Hyperlink"/>
              </w:rPr>
              <w:t>6.3.1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>Полазне претпоставке за израду плана                                               трошкова спровођења реосигурања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_Toc433278719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28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720" w:history="1">
            <w:r w:rsidR="000F1A33" w:rsidRPr="005F5FE7">
              <w:rPr>
                <w:rStyle w:val="Hyperlink"/>
              </w:rPr>
              <w:t>6.3.2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>План трошкова спровођења реосигурања                                                    за период 2016. – 2019. године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_Toc433278720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28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pStyle w:val="TOC1"/>
            <w:rPr>
              <w:rStyle w:val="Hyperlink"/>
              <w:sz w:val="10"/>
              <w:szCs w:val="10"/>
            </w:rPr>
          </w:pPr>
        </w:p>
        <w:p w:rsidR="000F1A33" w:rsidRDefault="00220138" w:rsidP="000F1A33">
          <w:pPr>
            <w:pStyle w:val="TOC1"/>
            <w:rPr>
              <w:rFonts w:asciiTheme="minorHAnsi" w:eastAsiaTheme="minorEastAsia" w:hAnsiTheme="minorHAnsi" w:cstheme="minorBidi"/>
              <w:color w:val="auto"/>
              <w:szCs w:val="22"/>
              <w:lang w:val="sr-Latn-RS" w:eastAsia="sr-Latn-RS"/>
            </w:rPr>
          </w:pPr>
          <w:hyperlink w:anchor="_Toc433278721" w:history="1">
            <w:r w:rsidR="000F1A33" w:rsidRPr="005F5FE7">
              <w:rPr>
                <w:rStyle w:val="Hyperlink"/>
                <w:lang w:val="sr-Cyrl-CS"/>
              </w:rPr>
              <w:t>6.4</w:t>
            </w:r>
            <w:r w:rsidR="000F1A33">
              <w:rPr>
                <w:rFonts w:asciiTheme="minorHAnsi" w:eastAsiaTheme="minorEastAsia" w:hAnsiTheme="minorHAnsi" w:cstheme="minorBidi"/>
                <w:color w:val="auto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CS"/>
              </w:rPr>
              <w:t>План техничке резерве за период 2016. –2019. године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_Toc433278721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30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723" w:history="1">
            <w:r w:rsidR="000F1A33" w:rsidRPr="005F5FE7">
              <w:rPr>
                <w:rStyle w:val="Hyperlink"/>
              </w:rPr>
              <w:t>6.4.1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>Полазне претпоставке за израду плана                                               техничких резерви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_Toc433278723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30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724" w:history="1">
            <w:r w:rsidR="000F1A33" w:rsidRPr="005F5FE7">
              <w:rPr>
                <w:rStyle w:val="Hyperlink"/>
              </w:rPr>
              <w:t>6.4.2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>План техничких резерви за период 2015. – 2019. године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_Toc433278724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30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pStyle w:val="TOC1"/>
            <w:rPr>
              <w:rStyle w:val="Hyperlink"/>
              <w:sz w:val="10"/>
              <w:szCs w:val="10"/>
            </w:rPr>
          </w:pPr>
        </w:p>
        <w:p w:rsidR="000F1A33" w:rsidRDefault="00220138" w:rsidP="000F1A33">
          <w:pPr>
            <w:pStyle w:val="TOC1"/>
            <w:rPr>
              <w:rFonts w:asciiTheme="minorHAnsi" w:eastAsiaTheme="minorEastAsia" w:hAnsiTheme="minorHAnsi" w:cstheme="minorBidi"/>
              <w:color w:val="auto"/>
              <w:szCs w:val="22"/>
              <w:lang w:val="sr-Latn-RS" w:eastAsia="sr-Latn-RS"/>
            </w:rPr>
          </w:pPr>
          <w:hyperlink w:anchor="_Toc433278725" w:history="1">
            <w:r w:rsidR="000F1A33" w:rsidRPr="005F5FE7">
              <w:rPr>
                <w:rStyle w:val="Hyperlink"/>
                <w:lang w:val="sr-Cyrl-CS"/>
              </w:rPr>
              <w:t>6.5</w:t>
            </w:r>
            <w:r w:rsidR="000F1A33">
              <w:rPr>
                <w:rFonts w:asciiTheme="minorHAnsi" w:eastAsiaTheme="minorEastAsia" w:hAnsiTheme="minorHAnsi" w:cstheme="minorBidi"/>
                <w:color w:val="auto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CS"/>
              </w:rPr>
              <w:t>План инвестиционог портфолиа и приноса од инвестиционог портфолиа за период 2016. –2019. године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_Toc433278725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31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727" w:history="1">
            <w:r w:rsidR="000F1A33" w:rsidRPr="005F5FE7">
              <w:rPr>
                <w:rStyle w:val="Hyperlink"/>
              </w:rPr>
              <w:t>6.5.1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>Полазне претпоставке за израду плана                                               инвестиционог портфолиа и приноса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_Toc433278727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31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728" w:history="1">
            <w:r w:rsidR="000F1A33" w:rsidRPr="005F5FE7">
              <w:rPr>
                <w:rStyle w:val="Hyperlink"/>
              </w:rPr>
              <w:t>6.5.2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 xml:space="preserve">План инвестиционог портфолиа и приноса                </w:t>
            </w:r>
            <w:r w:rsidR="000F1A33">
              <w:rPr>
                <w:rStyle w:val="Hyperlink"/>
                <w:lang w:val="sr-Cyrl-RS"/>
              </w:rPr>
              <w:t xml:space="preserve">          </w:t>
            </w:r>
            <w:r w:rsidR="000F1A33" w:rsidRPr="005F5FE7">
              <w:rPr>
                <w:rStyle w:val="Hyperlink"/>
              </w:rPr>
              <w:t xml:space="preserve">                              за период 2016. – 2019. године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_Toc433278728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31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pStyle w:val="TOC1"/>
            <w:rPr>
              <w:rStyle w:val="Hyperlink"/>
              <w:sz w:val="10"/>
              <w:szCs w:val="10"/>
            </w:rPr>
          </w:pPr>
        </w:p>
        <w:p w:rsidR="000F1A33" w:rsidRDefault="00220138" w:rsidP="000F1A33">
          <w:pPr>
            <w:pStyle w:val="TOC1"/>
            <w:rPr>
              <w:rFonts w:asciiTheme="minorHAnsi" w:eastAsiaTheme="minorEastAsia" w:hAnsiTheme="minorHAnsi" w:cstheme="minorBidi"/>
              <w:color w:val="auto"/>
              <w:szCs w:val="22"/>
              <w:lang w:val="sr-Latn-RS" w:eastAsia="sr-Latn-RS"/>
            </w:rPr>
          </w:pPr>
          <w:hyperlink w:anchor="_Toc433278729" w:history="1">
            <w:r w:rsidR="000F1A33" w:rsidRPr="005F5FE7">
              <w:rPr>
                <w:rStyle w:val="Hyperlink"/>
                <w:lang w:val="sr-Cyrl-CS"/>
              </w:rPr>
              <w:t>6.6</w:t>
            </w:r>
            <w:r w:rsidR="000F1A33">
              <w:rPr>
                <w:rFonts w:asciiTheme="minorHAnsi" w:eastAsiaTheme="minorEastAsia" w:hAnsiTheme="minorHAnsi" w:cstheme="minorBidi"/>
                <w:color w:val="auto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CS"/>
              </w:rPr>
              <w:t>План биланса успеха за период 2016. –2019. године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_Toc433278729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33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Pr="000F1A33" w:rsidRDefault="000F1A33" w:rsidP="000F1A33">
          <w:pPr>
            <w:pStyle w:val="TOC1"/>
            <w:rPr>
              <w:rStyle w:val="Hyperlink"/>
              <w:sz w:val="10"/>
              <w:szCs w:val="10"/>
            </w:rPr>
          </w:pPr>
        </w:p>
        <w:p w:rsidR="000F1A33" w:rsidRDefault="00220138" w:rsidP="000F1A33">
          <w:pPr>
            <w:pStyle w:val="TOC1"/>
            <w:rPr>
              <w:rFonts w:asciiTheme="minorHAnsi" w:eastAsiaTheme="minorEastAsia" w:hAnsiTheme="minorHAnsi" w:cstheme="minorBidi"/>
              <w:color w:val="auto"/>
              <w:szCs w:val="22"/>
              <w:lang w:val="sr-Latn-RS" w:eastAsia="sr-Latn-RS"/>
            </w:rPr>
          </w:pPr>
          <w:hyperlink w:anchor="_Toc433278730" w:history="1">
            <w:r w:rsidR="000F1A33" w:rsidRPr="005F5FE7">
              <w:rPr>
                <w:rStyle w:val="Hyperlink"/>
                <w:lang w:val="sr-Cyrl-CS"/>
              </w:rPr>
              <w:t>6.7</w:t>
            </w:r>
            <w:r w:rsidR="000F1A33">
              <w:rPr>
                <w:rFonts w:asciiTheme="minorHAnsi" w:eastAsiaTheme="minorEastAsia" w:hAnsiTheme="minorHAnsi" w:cstheme="minorBidi"/>
                <w:color w:val="auto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CS"/>
              </w:rPr>
              <w:t>Пројекција имовине која ће служити за покриће обавеза по основу реосигурања за период 2016. –2019. године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_Toc433278730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35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733" w:history="1">
            <w:r w:rsidR="000F1A33" w:rsidRPr="005F5FE7">
              <w:rPr>
                <w:rStyle w:val="Hyperlink"/>
              </w:rPr>
              <w:t>6.7.1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>Полазне претпоставке за израду плана имовине која ће служити                                          за покриће обавеза по основу реосигурања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_Toc433278733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35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734" w:history="1">
            <w:r w:rsidR="000F1A33" w:rsidRPr="005F5FE7">
              <w:rPr>
                <w:rStyle w:val="Hyperlink"/>
              </w:rPr>
              <w:t>6.7.2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>План имовине која ће служити за покриће обавеза по основу реосигурања за период 2016. – 2019.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_Toc433278734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36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735" w:history="1">
            <w:r w:rsidR="000F1A33" w:rsidRPr="005F5FE7">
              <w:rPr>
                <w:rStyle w:val="Hyperlink"/>
              </w:rPr>
              <w:t>6.7.3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  <w:lang w:val="sr-Cyrl-RS"/>
              </w:rPr>
              <w:t xml:space="preserve">План биланса стања </w:t>
            </w:r>
            <w:r w:rsidR="000F1A33" w:rsidRPr="005F5FE7">
              <w:rPr>
                <w:rStyle w:val="Hyperlink"/>
              </w:rPr>
              <w:t>за период 2016. – 2019. године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_Toc433278735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36</w:t>
            </w:r>
            <w:r w:rsidR="000F1A33">
              <w:rPr>
                <w:webHidden/>
              </w:rPr>
              <w:fldChar w:fldCharType="end"/>
            </w:r>
          </w:hyperlink>
        </w:p>
        <w:p w:rsidR="000F1A33" w:rsidRDefault="00220138">
          <w:pPr>
            <w:pStyle w:val="TOC3"/>
            <w:rPr>
              <w:rFonts w:asciiTheme="minorHAnsi" w:eastAsiaTheme="minorEastAsia" w:hAnsiTheme="minorHAnsi" w:cstheme="minorBidi"/>
              <w:i w:val="0"/>
              <w:iCs w:val="0"/>
              <w:color w:val="auto"/>
              <w:sz w:val="22"/>
              <w:szCs w:val="22"/>
              <w:lang w:val="sr-Latn-RS" w:eastAsia="sr-Latn-RS"/>
            </w:rPr>
          </w:pPr>
          <w:hyperlink w:anchor="_Toc433278736" w:history="1">
            <w:r w:rsidR="000F1A33" w:rsidRPr="005F5FE7">
              <w:rPr>
                <w:rStyle w:val="Hyperlink"/>
              </w:rPr>
              <w:t>6.7.4</w:t>
            </w:r>
            <w:r w:rsidR="000F1A33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2"/>
                <w:szCs w:val="22"/>
                <w:lang w:val="sr-Latn-RS" w:eastAsia="sr-Latn-RS"/>
              </w:rPr>
              <w:tab/>
            </w:r>
            <w:r w:rsidR="000F1A33" w:rsidRPr="005F5FE7">
              <w:rPr>
                <w:rStyle w:val="Hyperlink"/>
              </w:rPr>
              <w:t>План токова готовине за период 2016. – 2019. године</w:t>
            </w:r>
            <w:r w:rsidR="000F1A33">
              <w:rPr>
                <w:webHidden/>
              </w:rPr>
              <w:tab/>
            </w:r>
            <w:r w:rsidR="000F1A33">
              <w:rPr>
                <w:webHidden/>
              </w:rPr>
              <w:fldChar w:fldCharType="begin"/>
            </w:r>
            <w:r w:rsidR="000F1A33">
              <w:rPr>
                <w:webHidden/>
              </w:rPr>
              <w:instrText xml:space="preserve"> PAGEREF _Toc433278736 \h </w:instrText>
            </w:r>
            <w:r w:rsidR="000F1A33">
              <w:rPr>
                <w:webHidden/>
              </w:rPr>
            </w:r>
            <w:r w:rsidR="000F1A33">
              <w:rPr>
                <w:webHidden/>
              </w:rPr>
              <w:fldChar w:fldCharType="separate"/>
            </w:r>
            <w:r w:rsidR="000F1A33">
              <w:rPr>
                <w:webHidden/>
              </w:rPr>
              <w:t>37</w:t>
            </w:r>
            <w:r w:rsidR="000F1A33">
              <w:rPr>
                <w:webHidden/>
              </w:rPr>
              <w:fldChar w:fldCharType="end"/>
            </w:r>
          </w:hyperlink>
        </w:p>
        <w:p w:rsidR="00043BAA" w:rsidRPr="00272017" w:rsidRDefault="00556BE4" w:rsidP="000F1A33">
          <w:pPr>
            <w:pStyle w:val="TOC1"/>
          </w:pPr>
          <w:r w:rsidRPr="00272017">
            <w:rPr>
              <w:bCs/>
            </w:rPr>
            <w:fldChar w:fldCharType="end"/>
          </w:r>
        </w:p>
      </w:sdtContent>
    </w:sdt>
    <w:p w:rsidR="00D113B4" w:rsidRPr="00272017" w:rsidRDefault="00CA580D" w:rsidP="00114CA8">
      <w:pPr>
        <w:pStyle w:val="Heading1"/>
        <w:numPr>
          <w:ilvl w:val="0"/>
          <w:numId w:val="0"/>
        </w:numPr>
        <w:spacing w:after="360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2" w:name="_Toc433278672"/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У В О Д</w:t>
      </w:r>
      <w:bookmarkEnd w:id="2"/>
    </w:p>
    <w:p w:rsidR="009229C3" w:rsidRPr="00272017" w:rsidRDefault="009229C3" w:rsidP="009229C3">
      <w:pPr>
        <w:spacing w:before="200" w:after="20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bookmarkStart w:id="3" w:name="_Toc319498818"/>
      <w:bookmarkStart w:id="4" w:name="_Toc319658637"/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Пословна политика Акционарског друштва за реосигурање „Дунав Ре“ (у даљем тексту: Друштво) за период од 2015. до 201</w:t>
      </w:r>
      <w:r w:rsidR="00120386">
        <w:rPr>
          <w:rFonts w:ascii="Verdana" w:eastAsia="Calibri" w:hAnsi="Verdana"/>
          <w:noProof/>
          <w:sz w:val="20"/>
          <w:szCs w:val="22"/>
          <w:lang w:val="sr-Latn-RS" w:eastAsia="en-US"/>
        </w:rPr>
        <w:t>9</w:t>
      </w: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. године креирана је на основу детаљне анализе кретања тржишне позиције Друштва у претходном периоду, узет је у обзир низ економских и других фактора екстерног и интерног карактера који могу утицати на пословање и резултате Друштва, извршена је анализа интерних снага и слабости и сагледане су могућности за постизање профитабилности и развоја.</w:t>
      </w:r>
    </w:p>
    <w:p w:rsidR="004767CA" w:rsidRPr="00272017" w:rsidRDefault="008021F4" w:rsidP="00114CA8">
      <w:pPr>
        <w:pStyle w:val="Heading1"/>
        <w:numPr>
          <w:ilvl w:val="0"/>
          <w:numId w:val="0"/>
        </w:numPr>
        <w:spacing w:before="240"/>
        <w:ind w:left="432" w:hanging="432"/>
        <w:jc w:val="left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5" w:name="_Toc433278673"/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Основни подаци о Друштву</w:t>
      </w:r>
      <w:bookmarkEnd w:id="3"/>
      <w:bookmarkEnd w:id="4"/>
      <w:bookmarkEnd w:id="5"/>
    </w:p>
    <w:p w:rsidR="004767CA" w:rsidRPr="00272017" w:rsidRDefault="004767CA" w:rsidP="004767CA">
      <w:pPr>
        <w:ind w:firstLine="284"/>
        <w:jc w:val="both"/>
        <w:rPr>
          <w:rFonts w:ascii="Verdana" w:hAnsi="Verdana" w:cs="Tahoma"/>
          <w:noProof/>
          <w:sz w:val="14"/>
          <w:szCs w:val="14"/>
          <w:lang w:val="sr-Cyrl-CS"/>
        </w:rPr>
      </w:pPr>
    </w:p>
    <w:p w:rsidR="00600C58" w:rsidRPr="00272017" w:rsidRDefault="004767CA" w:rsidP="009229C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Седиште Друштва </w:t>
      </w:r>
    </w:p>
    <w:p w:rsidR="004767CA" w:rsidRPr="00272017" w:rsidRDefault="004767CA" w:rsidP="009229C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је у Кнез Михаиловој улици број 6 / II, Београд.</w:t>
      </w:r>
    </w:p>
    <w:p w:rsidR="004767CA" w:rsidRPr="00272017" w:rsidRDefault="004767CA" w:rsidP="009229C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Матични број Друштва је 07046901. Шифра делатности је </w:t>
      </w:r>
      <w:r w:rsidR="00705011"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6520</w:t>
      </w: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. ПИБ је 100001327. </w:t>
      </w:r>
    </w:p>
    <w:p w:rsidR="004767CA" w:rsidRPr="00272017" w:rsidRDefault="004767CA" w:rsidP="009229C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Друштво је преведено у Регистар привредних субјеката и регистровано као отворено акционарско друштво за </w:t>
      </w:r>
      <w:r w:rsidR="00E43BCF"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ре</w:t>
      </w: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осигурање дана 22. јуна 2005. код Агенције за привредне регистре у Београду, број регистрације 43206. </w:t>
      </w:r>
    </w:p>
    <w:p w:rsidR="008038B9" w:rsidRPr="00272017" w:rsidRDefault="008038B9" w:rsidP="00114CA8">
      <w:pPr>
        <w:pStyle w:val="Heading1"/>
        <w:numPr>
          <w:ilvl w:val="0"/>
          <w:numId w:val="0"/>
        </w:numPr>
        <w:spacing w:before="240"/>
        <w:ind w:left="432" w:hanging="432"/>
        <w:jc w:val="left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6" w:name="_Toc433278674"/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 xml:space="preserve">Опште информације о </w:t>
      </w:r>
      <w:r w:rsidR="009F185D"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Д</w:t>
      </w:r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руштву</w:t>
      </w:r>
      <w:bookmarkEnd w:id="6"/>
    </w:p>
    <w:p w:rsidR="00FA3FE2" w:rsidRPr="00272017" w:rsidRDefault="00FA3FE2" w:rsidP="009229C3">
      <w:pPr>
        <w:spacing w:before="240" w:after="240"/>
        <w:rPr>
          <w:rStyle w:val="IntenseEmphasis"/>
          <w:rFonts w:ascii="Verdana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hAnsi="Verdana"/>
          <w:noProof/>
          <w:sz w:val="22"/>
          <w:lang w:val="sr-Cyrl-CS"/>
        </w:rPr>
        <w:t>Чланови Надзорног одбора</w:t>
      </w:r>
    </w:p>
    <w:p w:rsidR="006B2056" w:rsidRPr="00272017" w:rsidRDefault="00454B5A" w:rsidP="006B30E9">
      <w:pPr>
        <w:numPr>
          <w:ilvl w:val="0"/>
          <w:numId w:val="7"/>
        </w:numPr>
        <w:suppressAutoHyphens w:val="0"/>
        <w:spacing w:line="276" w:lineRule="auto"/>
        <w:ind w:left="851" w:hanging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Данијела Недељковић</w:t>
      </w:r>
      <w:r w:rsidR="006B2056"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, председник</w:t>
      </w:r>
    </w:p>
    <w:p w:rsidR="00FA3FE2" w:rsidRPr="00272017" w:rsidRDefault="00FA3FE2" w:rsidP="00CF3912">
      <w:pPr>
        <w:suppressAutoHyphens w:val="0"/>
        <w:spacing w:line="276" w:lineRule="auto"/>
        <w:ind w:left="851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Компанија Дунав осигурање,</w:t>
      </w:r>
    </w:p>
    <w:p w:rsidR="00CF3912" w:rsidRPr="00272017" w:rsidRDefault="00CF3912" w:rsidP="00CF3912">
      <w:pPr>
        <w:suppressAutoHyphens w:val="0"/>
        <w:spacing w:line="276" w:lineRule="auto"/>
        <w:ind w:left="851"/>
        <w:jc w:val="both"/>
        <w:rPr>
          <w:rFonts w:ascii="Verdana" w:eastAsia="Calibri" w:hAnsi="Verdana"/>
          <w:noProof/>
          <w:sz w:val="6"/>
          <w:szCs w:val="6"/>
          <w:lang w:val="sr-Cyrl-CS" w:eastAsia="en-US"/>
        </w:rPr>
      </w:pPr>
    </w:p>
    <w:p w:rsidR="006B2056" w:rsidRPr="00272017" w:rsidRDefault="00454B5A" w:rsidP="006B30E9">
      <w:pPr>
        <w:numPr>
          <w:ilvl w:val="0"/>
          <w:numId w:val="7"/>
        </w:numPr>
        <w:suppressAutoHyphens w:val="0"/>
        <w:spacing w:line="276" w:lineRule="auto"/>
        <w:ind w:left="851" w:hanging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Драган Милошевић</w:t>
      </w:r>
      <w:r w:rsidR="006B2056"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, члан,</w:t>
      </w:r>
    </w:p>
    <w:p w:rsidR="006B2056" w:rsidRPr="00272017" w:rsidRDefault="006B2056" w:rsidP="00CF3912">
      <w:pPr>
        <w:suppressAutoHyphens w:val="0"/>
        <w:spacing w:line="276" w:lineRule="auto"/>
        <w:ind w:left="851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Компанија Дунав осигурање и</w:t>
      </w:r>
    </w:p>
    <w:p w:rsidR="00CF3912" w:rsidRPr="00272017" w:rsidRDefault="00CF3912" w:rsidP="00CF3912">
      <w:pPr>
        <w:suppressAutoHyphens w:val="0"/>
        <w:spacing w:line="276" w:lineRule="auto"/>
        <w:ind w:left="851"/>
        <w:jc w:val="both"/>
        <w:rPr>
          <w:rFonts w:ascii="Verdana" w:eastAsia="Calibri" w:hAnsi="Verdana"/>
          <w:noProof/>
          <w:sz w:val="6"/>
          <w:szCs w:val="6"/>
          <w:lang w:val="sr-Cyrl-CS" w:eastAsia="en-US"/>
        </w:rPr>
      </w:pPr>
    </w:p>
    <w:p w:rsidR="006B2056" w:rsidRPr="00272017" w:rsidRDefault="00454B5A" w:rsidP="006B30E9">
      <w:pPr>
        <w:numPr>
          <w:ilvl w:val="0"/>
          <w:numId w:val="7"/>
        </w:numPr>
        <w:suppressAutoHyphens w:val="0"/>
        <w:spacing w:line="276" w:lineRule="auto"/>
        <w:ind w:left="851" w:hanging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Гордана Милићевић</w:t>
      </w:r>
      <w:r w:rsidR="00FA3FE2"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, члан,</w:t>
      </w:r>
    </w:p>
    <w:p w:rsidR="00FA3FE2" w:rsidRPr="00272017" w:rsidRDefault="006B2056" w:rsidP="00CF3912">
      <w:pPr>
        <w:suppressAutoHyphens w:val="0"/>
        <w:spacing w:line="276" w:lineRule="auto"/>
        <w:ind w:left="851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Сава осигурање. </w:t>
      </w:r>
    </w:p>
    <w:p w:rsidR="00FA3FE2" w:rsidRPr="00272017" w:rsidRDefault="00FA3FE2" w:rsidP="009229C3">
      <w:pPr>
        <w:spacing w:before="240" w:after="240"/>
        <w:rPr>
          <w:rStyle w:val="IntenseEmphasis"/>
          <w:rFonts w:ascii="Verdana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hAnsi="Verdana"/>
          <w:noProof/>
          <w:sz w:val="22"/>
          <w:lang w:val="sr-Cyrl-CS"/>
        </w:rPr>
        <w:t>Чланови Извршног одбора</w:t>
      </w:r>
    </w:p>
    <w:p w:rsidR="00FA3FE2" w:rsidRPr="00272017" w:rsidRDefault="00CF3912" w:rsidP="006B30E9">
      <w:pPr>
        <w:numPr>
          <w:ilvl w:val="0"/>
          <w:numId w:val="7"/>
        </w:numPr>
        <w:suppressAutoHyphens w:val="0"/>
        <w:spacing w:line="276" w:lineRule="auto"/>
        <w:ind w:left="851" w:hanging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Зорана Пејчић</w:t>
      </w:r>
      <w:r w:rsidR="00FA3FE2"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, генерални директор,</w:t>
      </w:r>
      <w:r w:rsidR="00E66004"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председник</w:t>
      </w:r>
      <w:r w:rsidR="006214DD"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извршног одбора</w:t>
      </w:r>
      <w:r w:rsidR="00E66004"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,</w:t>
      </w:r>
    </w:p>
    <w:p w:rsidR="00CF3912" w:rsidRPr="00272017" w:rsidRDefault="00CF3912" w:rsidP="00CF3912">
      <w:pPr>
        <w:suppressAutoHyphens w:val="0"/>
        <w:spacing w:line="276" w:lineRule="auto"/>
        <w:ind w:left="851"/>
        <w:jc w:val="both"/>
        <w:rPr>
          <w:rFonts w:ascii="Verdana" w:eastAsia="Calibri" w:hAnsi="Verdana"/>
          <w:noProof/>
          <w:sz w:val="6"/>
          <w:szCs w:val="6"/>
          <w:lang w:val="sr-Cyrl-CS" w:eastAsia="en-US"/>
        </w:rPr>
      </w:pPr>
    </w:p>
    <w:p w:rsidR="00CF3912" w:rsidRPr="00272017" w:rsidRDefault="00CF3912" w:rsidP="006B30E9">
      <w:pPr>
        <w:numPr>
          <w:ilvl w:val="0"/>
          <w:numId w:val="7"/>
        </w:numPr>
        <w:suppressAutoHyphens w:val="0"/>
        <w:spacing w:line="276" w:lineRule="auto"/>
        <w:ind w:left="851" w:hanging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Татјана Комненић, извршни директор за реосигурање и опште послове, члан и</w:t>
      </w:r>
    </w:p>
    <w:p w:rsidR="00CF3912" w:rsidRPr="00272017" w:rsidRDefault="00CF3912" w:rsidP="00CF3912">
      <w:pPr>
        <w:suppressAutoHyphens w:val="0"/>
        <w:spacing w:line="276" w:lineRule="auto"/>
        <w:ind w:left="851"/>
        <w:jc w:val="both"/>
        <w:rPr>
          <w:rFonts w:ascii="Verdana" w:eastAsia="Calibri" w:hAnsi="Verdana"/>
          <w:noProof/>
          <w:sz w:val="6"/>
          <w:szCs w:val="6"/>
          <w:lang w:val="sr-Cyrl-CS" w:eastAsia="en-US"/>
        </w:rPr>
      </w:pPr>
    </w:p>
    <w:p w:rsidR="00FA3FE2" w:rsidRPr="00272017" w:rsidRDefault="00FA3FE2" w:rsidP="006B30E9">
      <w:pPr>
        <w:numPr>
          <w:ilvl w:val="0"/>
          <w:numId w:val="7"/>
        </w:numPr>
        <w:suppressAutoHyphens w:val="0"/>
        <w:spacing w:line="276" w:lineRule="auto"/>
        <w:ind w:left="851" w:hanging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Весна Катић, </w:t>
      </w:r>
      <w:r w:rsidR="00E66004"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извршни директор за еконоске и финансијско рачуноводствене послове, </w:t>
      </w:r>
      <w:r w:rsidR="00CF3912"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члан</w:t>
      </w: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.</w:t>
      </w:r>
    </w:p>
    <w:p w:rsidR="00FA3FE2" w:rsidRPr="00272017" w:rsidRDefault="00FA3FE2" w:rsidP="009229C3">
      <w:pPr>
        <w:spacing w:before="240" w:after="240"/>
        <w:rPr>
          <w:rStyle w:val="IntenseEmphasis"/>
          <w:rFonts w:ascii="Verdana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hAnsi="Verdana"/>
          <w:noProof/>
          <w:sz w:val="22"/>
          <w:lang w:val="sr-Cyrl-CS"/>
        </w:rPr>
        <w:t>Акционари</w:t>
      </w:r>
    </w:p>
    <w:p w:rsidR="00CF3912" w:rsidRPr="00272017" w:rsidRDefault="00CF3912" w:rsidP="00CF3912">
      <w:pPr>
        <w:spacing w:before="120" w:after="120" w:line="276" w:lineRule="auto"/>
        <w:ind w:firstLine="272"/>
        <w:jc w:val="both"/>
        <w:rPr>
          <w:rFonts w:ascii="Verdana" w:eastAsia="Calibri" w:hAnsi="Verdana" w:cs="Cambri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 w:cs="Cambria"/>
          <w:noProof/>
          <w:sz w:val="20"/>
          <w:szCs w:val="22"/>
          <w:lang w:val="sr-Cyrl-CS" w:eastAsia="en-US"/>
        </w:rPr>
        <w:t>Друштво се котира на берзи, цена акције на дан 30.06.2015. године износи 9.000 динара и једнака  је  номиналној вредности. Номинална вредност акције износи 9.000 динара. Тржишна капитализација Друштва износи 6.322.857 ЕУР.</w:t>
      </w:r>
    </w:p>
    <w:p w:rsidR="00FA3FE2" w:rsidRPr="00272017" w:rsidRDefault="00FA3FE2" w:rsidP="00CF3912">
      <w:pPr>
        <w:spacing w:before="120" w:after="120" w:line="276" w:lineRule="auto"/>
        <w:ind w:firstLine="272"/>
        <w:jc w:val="both"/>
        <w:rPr>
          <w:rFonts w:ascii="Verdana" w:eastAsia="Calibri" w:hAnsi="Verdana" w:cs="Cambri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 w:cs="Cambria"/>
          <w:noProof/>
          <w:sz w:val="20"/>
          <w:szCs w:val="22"/>
          <w:lang w:val="sr-Cyrl-CS" w:eastAsia="en-US"/>
        </w:rPr>
        <w:t>Већински власник друштва је Компанија Дунав осигурање са 92,65% учешћа у укупном акцијском капиталу и 88,41% у укупном основном капиталу.</w:t>
      </w:r>
    </w:p>
    <w:p w:rsidR="009229C3" w:rsidRPr="00272017" w:rsidRDefault="009229C3" w:rsidP="00E66004">
      <w:pPr>
        <w:spacing w:before="120" w:after="120"/>
        <w:jc w:val="center"/>
        <w:rPr>
          <w:rStyle w:val="IntenseEmphasis"/>
          <w:rFonts w:ascii="Verdana" w:hAnsi="Verdana"/>
          <w:noProof/>
          <w:sz w:val="20"/>
          <w:lang w:val="sr-Cyrl-CS"/>
        </w:rPr>
      </w:pPr>
    </w:p>
    <w:p w:rsidR="00F30A85" w:rsidRPr="00272017" w:rsidRDefault="00F30A85" w:rsidP="00E66004">
      <w:pPr>
        <w:spacing w:before="120" w:after="120"/>
        <w:jc w:val="center"/>
        <w:rPr>
          <w:rStyle w:val="IntenseEmphasis"/>
          <w:rFonts w:ascii="Verdana" w:hAnsi="Verdana"/>
          <w:noProof/>
          <w:sz w:val="20"/>
          <w:lang w:val="sr-Cyrl-CS"/>
        </w:rPr>
      </w:pPr>
    </w:p>
    <w:p w:rsidR="00FA3FE2" w:rsidRPr="00272017" w:rsidRDefault="00FA3FE2" w:rsidP="00E66004">
      <w:pPr>
        <w:spacing w:before="120" w:after="120"/>
        <w:jc w:val="center"/>
        <w:rPr>
          <w:rStyle w:val="IntenseEmphasis"/>
          <w:rFonts w:ascii="Verdana" w:hAnsi="Verdana"/>
          <w:noProof/>
          <w:sz w:val="20"/>
          <w:lang w:val="sr-Cyrl-CS"/>
        </w:rPr>
      </w:pPr>
      <w:r w:rsidRPr="00272017">
        <w:rPr>
          <w:rStyle w:val="IntenseEmphasis"/>
          <w:rFonts w:ascii="Verdana" w:hAnsi="Verdana"/>
          <w:noProof/>
          <w:sz w:val="20"/>
          <w:lang w:val="sr-Cyrl-CS"/>
        </w:rPr>
        <w:t>Редослед акционара по броју акција на дан 3</w:t>
      </w:r>
      <w:r w:rsidR="00C156DB" w:rsidRPr="00272017">
        <w:rPr>
          <w:rStyle w:val="IntenseEmphasis"/>
          <w:rFonts w:ascii="Verdana" w:hAnsi="Verdana"/>
          <w:noProof/>
          <w:sz w:val="20"/>
          <w:lang w:val="sr-Cyrl-CS"/>
        </w:rPr>
        <w:t>0</w:t>
      </w:r>
      <w:r w:rsidRPr="00272017">
        <w:rPr>
          <w:rStyle w:val="IntenseEmphasis"/>
          <w:rFonts w:ascii="Verdana" w:hAnsi="Verdana"/>
          <w:noProof/>
          <w:sz w:val="20"/>
          <w:lang w:val="sr-Cyrl-CS"/>
        </w:rPr>
        <w:t>.</w:t>
      </w:r>
      <w:r w:rsidR="00C156DB" w:rsidRPr="00272017">
        <w:rPr>
          <w:rStyle w:val="IntenseEmphasis"/>
          <w:rFonts w:ascii="Verdana" w:hAnsi="Verdana"/>
          <w:noProof/>
          <w:sz w:val="20"/>
          <w:lang w:val="sr-Cyrl-CS"/>
        </w:rPr>
        <w:t>0</w:t>
      </w:r>
      <w:r w:rsidR="00CF3912" w:rsidRPr="00272017">
        <w:rPr>
          <w:rStyle w:val="IntenseEmphasis"/>
          <w:rFonts w:ascii="Verdana" w:hAnsi="Verdana"/>
          <w:noProof/>
          <w:sz w:val="20"/>
          <w:lang w:val="sr-Cyrl-CS"/>
        </w:rPr>
        <w:t>6</w:t>
      </w:r>
      <w:r w:rsidRPr="00272017">
        <w:rPr>
          <w:rStyle w:val="IntenseEmphasis"/>
          <w:rFonts w:ascii="Verdana" w:hAnsi="Verdana"/>
          <w:noProof/>
          <w:sz w:val="20"/>
          <w:lang w:val="sr-Cyrl-CS"/>
        </w:rPr>
        <w:t>.201</w:t>
      </w:r>
      <w:r w:rsidR="00CF3912" w:rsidRPr="00272017">
        <w:rPr>
          <w:rStyle w:val="IntenseEmphasis"/>
          <w:rFonts w:ascii="Verdana" w:hAnsi="Verdana"/>
          <w:noProof/>
          <w:sz w:val="20"/>
          <w:lang w:val="sr-Cyrl-CS"/>
        </w:rPr>
        <w:t>5</w:t>
      </w:r>
      <w:r w:rsidRPr="00272017">
        <w:rPr>
          <w:rStyle w:val="IntenseEmphasis"/>
          <w:rFonts w:ascii="Verdana" w:hAnsi="Verdana"/>
          <w:noProof/>
          <w:sz w:val="20"/>
          <w:lang w:val="sr-Cyrl-CS"/>
        </w:rPr>
        <w:t>. године</w:t>
      </w:r>
    </w:p>
    <w:tbl>
      <w:tblPr>
        <w:tblW w:w="10490" w:type="dxa"/>
        <w:tblCellSpacing w:w="20" w:type="dxa"/>
        <w:tblInd w:w="-404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3666"/>
        <w:gridCol w:w="1263"/>
        <w:gridCol w:w="1417"/>
        <w:gridCol w:w="1843"/>
        <w:gridCol w:w="1701"/>
      </w:tblGrid>
      <w:tr w:rsidR="00CF3912" w:rsidRPr="00272017" w:rsidTr="00114CA8">
        <w:trPr>
          <w:trHeight w:val="624"/>
          <w:tblCellSpacing w:w="20" w:type="dxa"/>
        </w:trPr>
        <w:tc>
          <w:tcPr>
            <w:tcW w:w="540" w:type="dxa"/>
            <w:shd w:val="clear" w:color="auto" w:fill="auto"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b/>
                <w:bCs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b/>
                <w:bCs/>
                <w:noProof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3626" w:type="dxa"/>
            <w:shd w:val="clear" w:color="auto" w:fill="auto"/>
          </w:tcPr>
          <w:p w:rsidR="00CF3912" w:rsidRPr="00272017" w:rsidRDefault="00CF3912" w:rsidP="00CF3912">
            <w:pPr>
              <w:pStyle w:val="NoSpacing"/>
              <w:jc w:val="center"/>
              <w:rPr>
                <w:rFonts w:ascii="Verdana" w:hAnsi="Verdana" w:cs="Tahoma"/>
                <w:b/>
                <w:bCs/>
                <w:noProof/>
                <w:sz w:val="20"/>
                <w:szCs w:val="20"/>
                <w:lang w:val="sr-Cyrl-CS"/>
              </w:rPr>
            </w:pPr>
          </w:p>
          <w:p w:rsidR="00CF3912" w:rsidRPr="00272017" w:rsidRDefault="00CF3912" w:rsidP="00CF3912">
            <w:pPr>
              <w:pStyle w:val="NoSpacing"/>
              <w:jc w:val="center"/>
              <w:rPr>
                <w:rFonts w:ascii="Verdana" w:hAnsi="Verdana" w:cs="Tahoma"/>
                <w:b/>
                <w:bCs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b/>
                <w:bCs/>
                <w:noProof/>
                <w:sz w:val="20"/>
                <w:szCs w:val="20"/>
                <w:lang w:val="sr-Cyrl-CS"/>
              </w:rPr>
              <w:t>АКЦИОНАРИ на дан 30.06.2015.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CF3912" w:rsidRPr="00272017" w:rsidRDefault="00CF3912" w:rsidP="00CF3912">
            <w:pPr>
              <w:pStyle w:val="NoSpacing"/>
              <w:jc w:val="center"/>
              <w:rPr>
                <w:rFonts w:ascii="Verdana" w:hAnsi="Verdana" w:cs="Tahoma"/>
                <w:b/>
                <w:bCs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b/>
                <w:bCs/>
                <w:noProof/>
                <w:sz w:val="20"/>
                <w:szCs w:val="20"/>
                <w:lang w:val="sr-Cyrl-CS"/>
              </w:rPr>
              <w:t>БРОЈ АКЦИЈА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CF3912" w:rsidRPr="00272017" w:rsidRDefault="00CF3912" w:rsidP="00CF3912">
            <w:pPr>
              <w:pStyle w:val="NoSpacing"/>
              <w:jc w:val="center"/>
              <w:rPr>
                <w:rFonts w:ascii="Verdana" w:hAnsi="Verdana" w:cs="Tahoma"/>
                <w:b/>
                <w:bCs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b/>
                <w:bCs/>
                <w:noProof/>
                <w:sz w:val="20"/>
                <w:szCs w:val="20"/>
                <w:lang w:val="sr-Cyrl-CS"/>
              </w:rPr>
              <w:t>УКУПАН КАПИТАЛ</w:t>
            </w:r>
          </w:p>
        </w:tc>
        <w:tc>
          <w:tcPr>
            <w:tcW w:w="1803" w:type="dxa"/>
            <w:shd w:val="clear" w:color="auto" w:fill="auto"/>
          </w:tcPr>
          <w:p w:rsidR="00CF3912" w:rsidRPr="00272017" w:rsidRDefault="00CF3912" w:rsidP="00CF3912">
            <w:pPr>
              <w:pStyle w:val="NoSpacing"/>
              <w:jc w:val="center"/>
              <w:rPr>
                <w:rFonts w:ascii="Verdana" w:hAnsi="Verdana" w:cs="Tahoma"/>
                <w:b/>
                <w:bCs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b/>
                <w:bCs/>
                <w:noProof/>
                <w:sz w:val="20"/>
                <w:szCs w:val="20"/>
                <w:lang w:val="sr-Cyrl-CS"/>
              </w:rPr>
              <w:t>% УЧЕШЋА У АКЦИЈСКОМ КАПИТАЛУ</w:t>
            </w:r>
          </w:p>
        </w:tc>
        <w:tc>
          <w:tcPr>
            <w:tcW w:w="1641" w:type="dxa"/>
            <w:shd w:val="clear" w:color="auto" w:fill="auto"/>
          </w:tcPr>
          <w:p w:rsidR="00CF3912" w:rsidRPr="00272017" w:rsidRDefault="00CF3912" w:rsidP="00CF3912">
            <w:pPr>
              <w:pStyle w:val="NoSpacing"/>
              <w:jc w:val="center"/>
              <w:rPr>
                <w:rFonts w:ascii="Verdana" w:hAnsi="Verdana" w:cs="Tahoma"/>
                <w:b/>
                <w:bCs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b/>
                <w:bCs/>
                <w:noProof/>
                <w:sz w:val="20"/>
                <w:szCs w:val="20"/>
                <w:lang w:val="sr-Cyrl-CS"/>
              </w:rPr>
              <w:t>% УЧЕШЋА У ОСН. КАПИТАЛУ</w:t>
            </w:r>
          </w:p>
        </w:tc>
      </w:tr>
      <w:tr w:rsidR="00CF3912" w:rsidRPr="00272017" w:rsidTr="00114CA8">
        <w:trPr>
          <w:trHeight w:val="283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3626" w:type="dxa"/>
            <w:shd w:val="clear" w:color="auto" w:fill="auto"/>
            <w:noWrap/>
          </w:tcPr>
          <w:p w:rsidR="00CF3912" w:rsidRPr="00272017" w:rsidRDefault="00CF3912" w:rsidP="00CF3912">
            <w:pPr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ДУНАВ ОСИГУРАЊЕ Београд</w:t>
            </w:r>
          </w:p>
        </w:tc>
        <w:tc>
          <w:tcPr>
            <w:tcW w:w="1223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75.126</w:t>
            </w:r>
          </w:p>
        </w:tc>
        <w:tc>
          <w:tcPr>
            <w:tcW w:w="1377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676.134</w:t>
            </w:r>
          </w:p>
        </w:tc>
        <w:tc>
          <w:tcPr>
            <w:tcW w:w="1803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92,65</w:t>
            </w:r>
          </w:p>
        </w:tc>
        <w:tc>
          <w:tcPr>
            <w:tcW w:w="1641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88,41</w:t>
            </w:r>
          </w:p>
        </w:tc>
      </w:tr>
      <w:tr w:rsidR="00CF3912" w:rsidRPr="00272017" w:rsidTr="00114CA8">
        <w:trPr>
          <w:trHeight w:val="283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3626" w:type="dxa"/>
            <w:shd w:val="clear" w:color="auto" w:fill="auto"/>
            <w:noWrap/>
          </w:tcPr>
          <w:p w:rsidR="00CF3912" w:rsidRPr="00272017" w:rsidRDefault="00CF3912" w:rsidP="00CF3912">
            <w:pPr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САВА ОСИГУРАЊЕ Београд</w:t>
            </w:r>
          </w:p>
        </w:tc>
        <w:tc>
          <w:tcPr>
            <w:tcW w:w="1223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2.731</w:t>
            </w:r>
          </w:p>
        </w:tc>
        <w:tc>
          <w:tcPr>
            <w:tcW w:w="1377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24.579</w:t>
            </w:r>
          </w:p>
        </w:tc>
        <w:tc>
          <w:tcPr>
            <w:tcW w:w="1803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3,37</w:t>
            </w:r>
          </w:p>
        </w:tc>
        <w:tc>
          <w:tcPr>
            <w:tcW w:w="1641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3,21</w:t>
            </w:r>
          </w:p>
        </w:tc>
      </w:tr>
      <w:tr w:rsidR="00CF3912" w:rsidRPr="00272017" w:rsidTr="00114CA8">
        <w:trPr>
          <w:trHeight w:val="283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3626" w:type="dxa"/>
            <w:shd w:val="clear" w:color="auto" w:fill="auto"/>
            <w:noWrap/>
          </w:tcPr>
          <w:p w:rsidR="00CF3912" w:rsidRPr="00272017" w:rsidRDefault="00CF3912" w:rsidP="00CF3912">
            <w:pPr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UniCredit банка Словенија</w:t>
            </w:r>
          </w:p>
        </w:tc>
        <w:tc>
          <w:tcPr>
            <w:tcW w:w="1223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910</w:t>
            </w:r>
          </w:p>
        </w:tc>
        <w:tc>
          <w:tcPr>
            <w:tcW w:w="1377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8.19</w:t>
            </w:r>
          </w:p>
        </w:tc>
        <w:tc>
          <w:tcPr>
            <w:tcW w:w="1803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1,12</w:t>
            </w:r>
          </w:p>
        </w:tc>
        <w:tc>
          <w:tcPr>
            <w:tcW w:w="1641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1,07</w:t>
            </w:r>
          </w:p>
        </w:tc>
      </w:tr>
      <w:tr w:rsidR="00CF3912" w:rsidRPr="00272017" w:rsidTr="00114CA8">
        <w:trPr>
          <w:trHeight w:val="283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3626" w:type="dxa"/>
            <w:shd w:val="clear" w:color="auto" w:fill="auto"/>
            <w:noWrap/>
          </w:tcPr>
          <w:p w:rsidR="00CF3912" w:rsidRPr="00272017" w:rsidRDefault="00CF3912" w:rsidP="00CF3912">
            <w:pPr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Банка Интеса -кастоди</w:t>
            </w:r>
          </w:p>
        </w:tc>
        <w:tc>
          <w:tcPr>
            <w:tcW w:w="1223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513</w:t>
            </w:r>
          </w:p>
        </w:tc>
        <w:tc>
          <w:tcPr>
            <w:tcW w:w="1377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4.617</w:t>
            </w:r>
          </w:p>
        </w:tc>
        <w:tc>
          <w:tcPr>
            <w:tcW w:w="1803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0,63</w:t>
            </w:r>
          </w:p>
        </w:tc>
        <w:tc>
          <w:tcPr>
            <w:tcW w:w="1641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0,60</w:t>
            </w:r>
          </w:p>
        </w:tc>
      </w:tr>
      <w:tr w:rsidR="00CF3912" w:rsidRPr="00272017" w:rsidTr="00114CA8">
        <w:trPr>
          <w:trHeight w:val="283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626" w:type="dxa"/>
            <w:shd w:val="clear" w:color="auto" w:fill="auto"/>
            <w:noWrap/>
          </w:tcPr>
          <w:p w:rsidR="00CF3912" w:rsidRPr="00272017" w:rsidRDefault="00CF3912" w:rsidP="00CF3912">
            <w:pPr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Војвођанска банка -кастоди</w:t>
            </w:r>
          </w:p>
        </w:tc>
        <w:tc>
          <w:tcPr>
            <w:tcW w:w="1223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363</w:t>
            </w:r>
          </w:p>
        </w:tc>
        <w:tc>
          <w:tcPr>
            <w:tcW w:w="1377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3.267</w:t>
            </w:r>
          </w:p>
        </w:tc>
        <w:tc>
          <w:tcPr>
            <w:tcW w:w="1803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0,45</w:t>
            </w:r>
          </w:p>
        </w:tc>
        <w:tc>
          <w:tcPr>
            <w:tcW w:w="1641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0,43</w:t>
            </w:r>
          </w:p>
        </w:tc>
      </w:tr>
      <w:tr w:rsidR="00CF3912" w:rsidRPr="00272017" w:rsidTr="00114CA8">
        <w:trPr>
          <w:trHeight w:val="283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3626" w:type="dxa"/>
            <w:shd w:val="clear" w:color="auto" w:fill="auto"/>
            <w:noWrap/>
          </w:tcPr>
          <w:p w:rsidR="00CF3912" w:rsidRPr="00272017" w:rsidRDefault="00CF3912" w:rsidP="00CF3912">
            <w:pPr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АМС осигурање адо</w:t>
            </w:r>
          </w:p>
        </w:tc>
        <w:tc>
          <w:tcPr>
            <w:tcW w:w="1223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353</w:t>
            </w:r>
          </w:p>
        </w:tc>
        <w:tc>
          <w:tcPr>
            <w:tcW w:w="1377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3.177</w:t>
            </w:r>
          </w:p>
        </w:tc>
        <w:tc>
          <w:tcPr>
            <w:tcW w:w="1803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0,44</w:t>
            </w:r>
          </w:p>
        </w:tc>
        <w:tc>
          <w:tcPr>
            <w:tcW w:w="1641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0,42</w:t>
            </w:r>
          </w:p>
        </w:tc>
      </w:tr>
      <w:tr w:rsidR="00CF3912" w:rsidRPr="00272017" w:rsidTr="00114CA8">
        <w:trPr>
          <w:trHeight w:val="283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3626" w:type="dxa"/>
            <w:shd w:val="clear" w:color="auto" w:fill="auto"/>
            <w:noWrap/>
          </w:tcPr>
          <w:p w:rsidR="00CF3912" w:rsidRPr="00272017" w:rsidRDefault="00CF3912" w:rsidP="00CF3912">
            <w:pPr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Ерсте банка -кастоди</w:t>
            </w:r>
          </w:p>
        </w:tc>
        <w:tc>
          <w:tcPr>
            <w:tcW w:w="1223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121</w:t>
            </w:r>
          </w:p>
        </w:tc>
        <w:tc>
          <w:tcPr>
            <w:tcW w:w="1377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1.089</w:t>
            </w:r>
          </w:p>
        </w:tc>
        <w:tc>
          <w:tcPr>
            <w:tcW w:w="1803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0,15</w:t>
            </w:r>
          </w:p>
        </w:tc>
        <w:tc>
          <w:tcPr>
            <w:tcW w:w="1641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0,14</w:t>
            </w:r>
          </w:p>
        </w:tc>
      </w:tr>
      <w:tr w:rsidR="00CF3912" w:rsidRPr="00272017" w:rsidTr="00114CA8">
        <w:trPr>
          <w:trHeight w:val="283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3626" w:type="dxa"/>
            <w:shd w:val="clear" w:color="auto" w:fill="auto"/>
            <w:noWrap/>
          </w:tcPr>
          <w:p w:rsidR="00CF3912" w:rsidRPr="00272017" w:rsidRDefault="00CF3912" w:rsidP="00CF3912">
            <w:pPr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ЕПФ инвестментс д.о.о</w:t>
            </w:r>
          </w:p>
        </w:tc>
        <w:tc>
          <w:tcPr>
            <w:tcW w:w="1223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50</w:t>
            </w:r>
          </w:p>
        </w:tc>
        <w:tc>
          <w:tcPr>
            <w:tcW w:w="1377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450</w:t>
            </w:r>
          </w:p>
        </w:tc>
        <w:tc>
          <w:tcPr>
            <w:tcW w:w="1803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0,06</w:t>
            </w:r>
          </w:p>
        </w:tc>
        <w:tc>
          <w:tcPr>
            <w:tcW w:w="1641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0,06</w:t>
            </w:r>
          </w:p>
        </w:tc>
      </w:tr>
      <w:tr w:rsidR="00CF3912" w:rsidRPr="00272017" w:rsidTr="00114CA8">
        <w:trPr>
          <w:trHeight w:val="283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3626" w:type="dxa"/>
            <w:shd w:val="clear" w:color="auto" w:fill="auto"/>
            <w:noWrap/>
          </w:tcPr>
          <w:p w:rsidR="00CF3912" w:rsidRPr="00272017" w:rsidRDefault="00CF3912" w:rsidP="00CF3912">
            <w:pPr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Триглав осигурање</w:t>
            </w:r>
          </w:p>
        </w:tc>
        <w:tc>
          <w:tcPr>
            <w:tcW w:w="1223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46</w:t>
            </w:r>
          </w:p>
        </w:tc>
        <w:tc>
          <w:tcPr>
            <w:tcW w:w="1377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414</w:t>
            </w:r>
          </w:p>
        </w:tc>
        <w:tc>
          <w:tcPr>
            <w:tcW w:w="1803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0,06</w:t>
            </w:r>
          </w:p>
        </w:tc>
        <w:tc>
          <w:tcPr>
            <w:tcW w:w="1641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0,05</w:t>
            </w:r>
          </w:p>
        </w:tc>
      </w:tr>
      <w:tr w:rsidR="00CF3912" w:rsidRPr="00272017" w:rsidTr="00114CA8">
        <w:trPr>
          <w:trHeight w:val="283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3626" w:type="dxa"/>
            <w:shd w:val="clear" w:color="auto" w:fill="auto"/>
            <w:noWrap/>
          </w:tcPr>
          <w:p w:rsidR="00CF3912" w:rsidRPr="00272017" w:rsidRDefault="00CF3912" w:rsidP="00CF3912">
            <w:pPr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Ловћен осигурање</w:t>
            </w:r>
          </w:p>
        </w:tc>
        <w:tc>
          <w:tcPr>
            <w:tcW w:w="1223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631</w:t>
            </w:r>
          </w:p>
        </w:tc>
        <w:tc>
          <w:tcPr>
            <w:tcW w:w="1377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5.679</w:t>
            </w:r>
          </w:p>
        </w:tc>
        <w:tc>
          <w:tcPr>
            <w:tcW w:w="1803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0,78</w:t>
            </w:r>
          </w:p>
        </w:tc>
        <w:tc>
          <w:tcPr>
            <w:tcW w:w="1641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0,74</w:t>
            </w:r>
          </w:p>
        </w:tc>
      </w:tr>
      <w:tr w:rsidR="00CF3912" w:rsidRPr="00272017" w:rsidTr="00114CA8">
        <w:trPr>
          <w:trHeight w:val="283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11</w:t>
            </w:r>
          </w:p>
        </w:tc>
        <w:tc>
          <w:tcPr>
            <w:tcW w:w="3626" w:type="dxa"/>
            <w:shd w:val="clear" w:color="auto" w:fill="auto"/>
            <w:noWrap/>
          </w:tcPr>
          <w:p w:rsidR="00CF3912" w:rsidRPr="00272017" w:rsidRDefault="00CF3912" w:rsidP="00CF3912">
            <w:pPr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Свис агроосигурање</w:t>
            </w:r>
          </w:p>
        </w:tc>
        <w:tc>
          <w:tcPr>
            <w:tcW w:w="1223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192</w:t>
            </w:r>
          </w:p>
        </w:tc>
        <w:tc>
          <w:tcPr>
            <w:tcW w:w="1377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1.728</w:t>
            </w:r>
          </w:p>
        </w:tc>
        <w:tc>
          <w:tcPr>
            <w:tcW w:w="1803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0,24</w:t>
            </w:r>
          </w:p>
        </w:tc>
        <w:tc>
          <w:tcPr>
            <w:tcW w:w="1641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0,23</w:t>
            </w:r>
          </w:p>
        </w:tc>
      </w:tr>
      <w:tr w:rsidR="00CF3912" w:rsidRPr="00272017" w:rsidTr="00114CA8">
        <w:trPr>
          <w:trHeight w:val="283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3626" w:type="dxa"/>
            <w:shd w:val="clear" w:color="auto" w:fill="auto"/>
            <w:noWrap/>
          </w:tcPr>
          <w:p w:rsidR="00CF3912" w:rsidRPr="00272017" w:rsidRDefault="00CF3912" w:rsidP="00CF3912">
            <w:pPr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Станић Зоран</w:t>
            </w:r>
          </w:p>
        </w:tc>
        <w:tc>
          <w:tcPr>
            <w:tcW w:w="1223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1377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270</w:t>
            </w:r>
          </w:p>
        </w:tc>
        <w:tc>
          <w:tcPr>
            <w:tcW w:w="1803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0,04</w:t>
            </w:r>
          </w:p>
        </w:tc>
        <w:tc>
          <w:tcPr>
            <w:tcW w:w="1641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0,04</w:t>
            </w:r>
          </w:p>
        </w:tc>
      </w:tr>
      <w:tr w:rsidR="00CF3912" w:rsidRPr="00272017" w:rsidTr="00114CA8">
        <w:trPr>
          <w:trHeight w:val="283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3626" w:type="dxa"/>
            <w:shd w:val="clear" w:color="auto" w:fill="auto"/>
            <w:noWrap/>
          </w:tcPr>
          <w:p w:rsidR="00CF3912" w:rsidRPr="00272017" w:rsidRDefault="00CF3912" w:rsidP="00CF3912">
            <w:pPr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Недељковић Игор</w:t>
            </w:r>
          </w:p>
        </w:tc>
        <w:tc>
          <w:tcPr>
            <w:tcW w:w="1223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377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54</w:t>
            </w:r>
          </w:p>
        </w:tc>
        <w:tc>
          <w:tcPr>
            <w:tcW w:w="1803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0,01</w:t>
            </w:r>
          </w:p>
        </w:tc>
        <w:tc>
          <w:tcPr>
            <w:tcW w:w="1641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0,01</w:t>
            </w:r>
          </w:p>
        </w:tc>
      </w:tr>
      <w:tr w:rsidR="00CF3912" w:rsidRPr="00272017" w:rsidTr="00114CA8">
        <w:trPr>
          <w:trHeight w:val="283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14</w:t>
            </w:r>
          </w:p>
        </w:tc>
        <w:tc>
          <w:tcPr>
            <w:tcW w:w="3626" w:type="dxa"/>
            <w:shd w:val="clear" w:color="auto" w:fill="auto"/>
            <w:noWrap/>
          </w:tcPr>
          <w:p w:rsidR="00CF3912" w:rsidRPr="00272017" w:rsidRDefault="00CF3912" w:rsidP="00CF3912">
            <w:pPr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Лукић Стефан</w:t>
            </w:r>
          </w:p>
        </w:tc>
        <w:tc>
          <w:tcPr>
            <w:tcW w:w="1223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377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27</w:t>
            </w:r>
          </w:p>
        </w:tc>
        <w:tc>
          <w:tcPr>
            <w:tcW w:w="1803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641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0,00</w:t>
            </w:r>
          </w:p>
        </w:tc>
      </w:tr>
      <w:tr w:rsidR="00CF3912" w:rsidRPr="00272017" w:rsidTr="00114CA8">
        <w:trPr>
          <w:trHeight w:val="283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3626" w:type="dxa"/>
            <w:shd w:val="clear" w:color="auto" w:fill="auto"/>
            <w:noWrap/>
          </w:tcPr>
          <w:p w:rsidR="00CF3912" w:rsidRPr="00272017" w:rsidRDefault="00CF3912" w:rsidP="00CF3912">
            <w:pPr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Мацура Слободан</w:t>
            </w:r>
          </w:p>
        </w:tc>
        <w:tc>
          <w:tcPr>
            <w:tcW w:w="1223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377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36</w:t>
            </w:r>
          </w:p>
        </w:tc>
        <w:tc>
          <w:tcPr>
            <w:tcW w:w="1803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641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0,00</w:t>
            </w:r>
          </w:p>
        </w:tc>
      </w:tr>
      <w:tr w:rsidR="00CF3912" w:rsidRPr="00272017" w:rsidTr="00114CA8">
        <w:trPr>
          <w:trHeight w:val="283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16</w:t>
            </w:r>
          </w:p>
        </w:tc>
        <w:tc>
          <w:tcPr>
            <w:tcW w:w="3626" w:type="dxa"/>
            <w:shd w:val="clear" w:color="auto" w:fill="auto"/>
            <w:noWrap/>
          </w:tcPr>
          <w:p w:rsidR="00CF3912" w:rsidRPr="00272017" w:rsidRDefault="00CF3912" w:rsidP="00CF3912">
            <w:pPr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Вранешевић Данко</w:t>
            </w:r>
          </w:p>
        </w:tc>
        <w:tc>
          <w:tcPr>
            <w:tcW w:w="1223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377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27</w:t>
            </w:r>
          </w:p>
        </w:tc>
        <w:tc>
          <w:tcPr>
            <w:tcW w:w="1803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641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0,00</w:t>
            </w:r>
          </w:p>
        </w:tc>
      </w:tr>
      <w:tr w:rsidR="00CF3912" w:rsidRPr="00272017" w:rsidTr="00114CA8">
        <w:trPr>
          <w:trHeight w:val="283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17</w:t>
            </w:r>
          </w:p>
        </w:tc>
        <w:tc>
          <w:tcPr>
            <w:tcW w:w="3626" w:type="dxa"/>
            <w:shd w:val="clear" w:color="auto" w:fill="auto"/>
            <w:noWrap/>
          </w:tcPr>
          <w:p w:rsidR="00CF3912" w:rsidRPr="00272017" w:rsidRDefault="00CF3912" w:rsidP="00CF3912">
            <w:pPr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Адамов Предраг</w:t>
            </w:r>
          </w:p>
        </w:tc>
        <w:tc>
          <w:tcPr>
            <w:tcW w:w="1223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377" w:type="dxa"/>
            <w:shd w:val="clear" w:color="auto" w:fill="auto"/>
            <w:noWrap/>
          </w:tcPr>
          <w:p w:rsidR="00CF3912" w:rsidRPr="00272017" w:rsidRDefault="00CF3912" w:rsidP="00CF3912">
            <w:pPr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1803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641" w:type="dxa"/>
            <w:shd w:val="clear" w:color="auto" w:fill="auto"/>
            <w:noWrap/>
          </w:tcPr>
          <w:p w:rsidR="00CF3912" w:rsidRPr="00272017" w:rsidRDefault="00CF3912" w:rsidP="00CF3912">
            <w:pPr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0,00</w:t>
            </w:r>
          </w:p>
        </w:tc>
      </w:tr>
      <w:tr w:rsidR="00CF3912" w:rsidRPr="00272017" w:rsidTr="00114CA8">
        <w:trPr>
          <w:trHeight w:val="397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626" w:type="dxa"/>
            <w:shd w:val="clear" w:color="auto" w:fill="auto"/>
            <w:noWrap/>
            <w:vAlign w:val="center"/>
          </w:tcPr>
          <w:p w:rsidR="00CF3912" w:rsidRPr="00272017" w:rsidRDefault="00CF3912" w:rsidP="00114CA8">
            <w:pPr>
              <w:pStyle w:val="NoSpacing"/>
              <w:rPr>
                <w:rFonts w:ascii="Verdana" w:hAnsi="Verdana" w:cs="Tahoma"/>
                <w:b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b/>
                <w:noProof/>
                <w:sz w:val="20"/>
                <w:szCs w:val="20"/>
                <w:lang w:val="sr-Cyrl-CS"/>
              </w:rPr>
              <w:t>Акционарски капитал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 w:rsidR="00CF3912" w:rsidRPr="00272017" w:rsidRDefault="00CF3912" w:rsidP="00114CA8">
            <w:pPr>
              <w:pStyle w:val="NoSpacing"/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81.083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CF3912" w:rsidRPr="00272017" w:rsidRDefault="00CF3912" w:rsidP="00114CA8">
            <w:pPr>
              <w:pStyle w:val="NoSpacing"/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729.747</w:t>
            </w:r>
          </w:p>
        </w:tc>
        <w:tc>
          <w:tcPr>
            <w:tcW w:w="1803" w:type="dxa"/>
            <w:shd w:val="clear" w:color="auto" w:fill="auto"/>
            <w:noWrap/>
            <w:vAlign w:val="center"/>
          </w:tcPr>
          <w:p w:rsidR="00CF3912" w:rsidRPr="00272017" w:rsidRDefault="00CF3912" w:rsidP="00114CA8">
            <w:pPr>
              <w:pStyle w:val="NoSpacing"/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100,00</w:t>
            </w:r>
          </w:p>
        </w:tc>
        <w:tc>
          <w:tcPr>
            <w:tcW w:w="1641" w:type="dxa"/>
            <w:shd w:val="clear" w:color="auto" w:fill="auto"/>
            <w:noWrap/>
            <w:vAlign w:val="center"/>
          </w:tcPr>
          <w:p w:rsidR="00CF3912" w:rsidRPr="00272017" w:rsidRDefault="00CF3912" w:rsidP="00114CA8">
            <w:pPr>
              <w:pStyle w:val="NoSpacing"/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95,42</w:t>
            </w:r>
          </w:p>
        </w:tc>
      </w:tr>
      <w:tr w:rsidR="00CF3912" w:rsidRPr="00272017" w:rsidTr="00114CA8">
        <w:trPr>
          <w:trHeight w:val="397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626" w:type="dxa"/>
            <w:shd w:val="clear" w:color="auto" w:fill="auto"/>
            <w:noWrap/>
            <w:vAlign w:val="center"/>
          </w:tcPr>
          <w:p w:rsidR="00CF3912" w:rsidRPr="00272017" w:rsidRDefault="00CF3912" w:rsidP="00114CA8">
            <w:pPr>
              <w:pStyle w:val="NoSpacing"/>
              <w:rPr>
                <w:rFonts w:ascii="Verdana" w:hAnsi="Verdana" w:cs="Tahoma"/>
                <w:b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b/>
                <w:noProof/>
                <w:sz w:val="20"/>
                <w:szCs w:val="20"/>
                <w:lang w:val="sr-Cyrl-CS"/>
              </w:rPr>
              <w:t>Друштвени капитал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 w:rsidR="00CF3912" w:rsidRPr="00272017" w:rsidRDefault="00CF3912" w:rsidP="00114CA8">
            <w:pPr>
              <w:pStyle w:val="NoSpacing"/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CF3912" w:rsidRPr="00272017" w:rsidRDefault="00CF3912" w:rsidP="00114CA8">
            <w:pPr>
              <w:pStyle w:val="NoSpacing"/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35.055</w:t>
            </w:r>
          </w:p>
        </w:tc>
        <w:tc>
          <w:tcPr>
            <w:tcW w:w="1803" w:type="dxa"/>
            <w:shd w:val="clear" w:color="auto" w:fill="auto"/>
            <w:noWrap/>
            <w:vAlign w:val="center"/>
          </w:tcPr>
          <w:p w:rsidR="00CF3912" w:rsidRPr="00272017" w:rsidRDefault="00CF3912" w:rsidP="00114CA8">
            <w:pPr>
              <w:pStyle w:val="NoSpacing"/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641" w:type="dxa"/>
            <w:shd w:val="clear" w:color="auto" w:fill="auto"/>
            <w:noWrap/>
            <w:vAlign w:val="center"/>
          </w:tcPr>
          <w:p w:rsidR="00CF3912" w:rsidRPr="00272017" w:rsidRDefault="00CF3912" w:rsidP="00114CA8">
            <w:pPr>
              <w:pStyle w:val="NoSpacing"/>
              <w:jc w:val="center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  <w:t>4,58</w:t>
            </w:r>
          </w:p>
        </w:tc>
      </w:tr>
      <w:tr w:rsidR="00CF3912" w:rsidRPr="00272017" w:rsidTr="00114CA8">
        <w:trPr>
          <w:trHeight w:val="397"/>
          <w:tblCellSpacing w:w="20" w:type="dxa"/>
        </w:trPr>
        <w:tc>
          <w:tcPr>
            <w:tcW w:w="540" w:type="dxa"/>
            <w:shd w:val="clear" w:color="auto" w:fill="auto"/>
            <w:noWrap/>
          </w:tcPr>
          <w:p w:rsidR="00CF3912" w:rsidRPr="00272017" w:rsidRDefault="00CF3912" w:rsidP="00CF3912">
            <w:pPr>
              <w:pStyle w:val="NoSpacing"/>
              <w:jc w:val="both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626" w:type="dxa"/>
            <w:shd w:val="clear" w:color="auto" w:fill="auto"/>
            <w:noWrap/>
            <w:vAlign w:val="center"/>
          </w:tcPr>
          <w:p w:rsidR="00CF3912" w:rsidRPr="00272017" w:rsidRDefault="00CF3912" w:rsidP="00114CA8">
            <w:pPr>
              <w:pStyle w:val="NoSpacing"/>
              <w:rPr>
                <w:rFonts w:ascii="Verdana" w:hAnsi="Verdana" w:cs="Tahoma"/>
                <w:b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b/>
                <w:noProof/>
                <w:sz w:val="20"/>
                <w:szCs w:val="20"/>
                <w:lang w:val="sr-Cyrl-CS"/>
              </w:rPr>
              <w:t>УКУПНО ОСНОВНИ КАПИТАЛ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 w:rsidR="00CF3912" w:rsidRPr="00272017" w:rsidRDefault="00CF3912" w:rsidP="00114CA8">
            <w:pPr>
              <w:pStyle w:val="NoSpacing"/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CF3912" w:rsidRPr="00272017" w:rsidRDefault="00CF3912" w:rsidP="00114CA8">
            <w:pPr>
              <w:pStyle w:val="NoSpacing"/>
              <w:jc w:val="right"/>
              <w:rPr>
                <w:rFonts w:ascii="Verdana" w:hAnsi="Verdana" w:cs="Tahoma"/>
                <w:b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b/>
                <w:noProof/>
                <w:sz w:val="20"/>
                <w:szCs w:val="20"/>
                <w:lang w:val="sr-Cyrl-CS"/>
              </w:rPr>
              <w:t>764.802</w:t>
            </w:r>
          </w:p>
        </w:tc>
        <w:tc>
          <w:tcPr>
            <w:tcW w:w="1803" w:type="dxa"/>
            <w:shd w:val="clear" w:color="auto" w:fill="auto"/>
            <w:noWrap/>
            <w:vAlign w:val="center"/>
          </w:tcPr>
          <w:p w:rsidR="00CF3912" w:rsidRPr="00272017" w:rsidRDefault="00CF3912" w:rsidP="00114CA8">
            <w:pPr>
              <w:pStyle w:val="NoSpacing"/>
              <w:jc w:val="right"/>
              <w:rPr>
                <w:rFonts w:ascii="Verdana" w:hAnsi="Verdana" w:cs="Tahoma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641" w:type="dxa"/>
            <w:shd w:val="clear" w:color="auto" w:fill="auto"/>
            <w:noWrap/>
            <w:vAlign w:val="center"/>
          </w:tcPr>
          <w:p w:rsidR="00CF3912" w:rsidRPr="00272017" w:rsidRDefault="00CF3912" w:rsidP="00114CA8">
            <w:pPr>
              <w:pStyle w:val="NoSpacing"/>
              <w:jc w:val="center"/>
              <w:rPr>
                <w:rFonts w:ascii="Verdana" w:hAnsi="Verdana" w:cs="Tahoma"/>
                <w:b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hAnsi="Verdana" w:cs="Tahoma"/>
                <w:b/>
                <w:noProof/>
                <w:sz w:val="20"/>
                <w:szCs w:val="20"/>
                <w:lang w:val="sr-Cyrl-CS"/>
              </w:rPr>
              <w:t>100,00</w:t>
            </w:r>
          </w:p>
        </w:tc>
      </w:tr>
    </w:tbl>
    <w:p w:rsidR="009C21EC" w:rsidRPr="00272017" w:rsidRDefault="009C21EC" w:rsidP="009C21EC">
      <w:pPr>
        <w:spacing w:before="120" w:after="120" w:line="276" w:lineRule="auto"/>
        <w:ind w:firstLine="272"/>
        <w:jc w:val="both"/>
        <w:rPr>
          <w:rFonts w:ascii="Verdana" w:eastAsia="Calibri" w:hAnsi="Verdana" w:cs="Cambri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 w:cs="Cambria"/>
          <w:noProof/>
          <w:sz w:val="20"/>
          <w:szCs w:val="22"/>
          <w:lang w:val="sr-Cyrl-CS" w:eastAsia="en-US"/>
        </w:rPr>
        <w:t>Друштво се котира на берзи, цена акције на дан 30.06.2015. године износи 9.000 динара и једнака  је  номиналној вредности. Номинална вредност акције износи 9.000 динара. Тржишна капитализација Друштва износи 6.322.857 ЕУР.</w:t>
      </w:r>
    </w:p>
    <w:p w:rsidR="004767CA" w:rsidRPr="00272017" w:rsidRDefault="004767CA" w:rsidP="00114CA8">
      <w:pPr>
        <w:pStyle w:val="Heading1"/>
        <w:numPr>
          <w:ilvl w:val="0"/>
          <w:numId w:val="0"/>
        </w:numPr>
        <w:spacing w:before="200" w:after="200"/>
        <w:ind w:left="432" w:hanging="432"/>
        <w:jc w:val="left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7" w:name="_Toc433278675"/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Визија Друштва</w:t>
      </w:r>
      <w:bookmarkEnd w:id="7"/>
    </w:p>
    <w:p w:rsidR="004767CA" w:rsidRPr="00272017" w:rsidRDefault="004767CA" w:rsidP="00C65D23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60" w:line="276" w:lineRule="auto"/>
        <w:ind w:left="714" w:hanging="357"/>
        <w:contextualSpacing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Водећа позиција на домаћем тржишту.</w:t>
      </w:r>
    </w:p>
    <w:p w:rsidR="004767CA" w:rsidRPr="00272017" w:rsidRDefault="004767CA" w:rsidP="00C65D23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60" w:after="60" w:line="276" w:lineRule="auto"/>
        <w:ind w:left="714" w:hanging="357"/>
        <w:contextualSpacing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Aктивна улога на иностраном тржишту реосигурања.</w:t>
      </w:r>
    </w:p>
    <w:p w:rsidR="004767CA" w:rsidRPr="00272017" w:rsidRDefault="004767CA" w:rsidP="00C65D23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60" w:after="60" w:line="276" w:lineRule="auto"/>
        <w:ind w:left="714" w:hanging="357"/>
        <w:contextualSpacing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Партнерство са цедентима и реосигуравачима. </w:t>
      </w:r>
    </w:p>
    <w:p w:rsidR="004767CA" w:rsidRPr="00272017" w:rsidRDefault="004767CA" w:rsidP="00C65D23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60" w:after="60" w:line="276" w:lineRule="auto"/>
        <w:ind w:left="714" w:hanging="357"/>
        <w:contextualSpacing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Уважавање потреба и мишљењ</w:t>
      </w:r>
      <w:r w:rsidR="007266CC"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а</w:t>
      </w: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клијената.</w:t>
      </w:r>
    </w:p>
    <w:p w:rsidR="004767CA" w:rsidRPr="00272017" w:rsidRDefault="004767CA" w:rsidP="00C65D23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60" w:after="60" w:line="276" w:lineRule="auto"/>
        <w:ind w:left="714" w:hanging="357"/>
        <w:contextualSpacing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Континуирано побољшање услуга.</w:t>
      </w:r>
    </w:p>
    <w:p w:rsidR="004767CA" w:rsidRPr="00272017" w:rsidRDefault="004767CA" w:rsidP="00114CA8">
      <w:pPr>
        <w:pStyle w:val="Heading1"/>
        <w:numPr>
          <w:ilvl w:val="0"/>
          <w:numId w:val="0"/>
        </w:numPr>
        <w:spacing w:before="200" w:after="200"/>
        <w:ind w:left="432" w:hanging="432"/>
        <w:jc w:val="left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8" w:name="_Toc433278676"/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Мисија</w:t>
      </w:r>
      <w:bookmarkEnd w:id="8"/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 xml:space="preserve"> </w:t>
      </w:r>
    </w:p>
    <w:p w:rsidR="004767CA" w:rsidRPr="00272017" w:rsidRDefault="004767CA" w:rsidP="00114CA8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Као препознатљив и поуздан партнер „Дунав Ре“ адо тежи успостављању европских стандарда пословања и пружању најквалитетније услуге реосигурања на домаћем и иностраном тржишту кроз пружање конкретних решења за задовољење специфичних потреба цедената. У раду комбинујемо искуство стечено на глобалном тржишту, локално знање и доказану поузданост за решавање проблема са којима се суочавају наши клијенти у свом пословању.</w:t>
      </w:r>
    </w:p>
    <w:p w:rsidR="004767CA" w:rsidRPr="00272017" w:rsidRDefault="004767CA" w:rsidP="005A1B2F">
      <w:pPr>
        <w:spacing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Друштво успешно обавља функцију реосигуравајуће заштите својих цедената, партнера и сопственог капитала кроз:</w:t>
      </w:r>
    </w:p>
    <w:p w:rsidR="004767CA" w:rsidRPr="00272017" w:rsidRDefault="004767CA" w:rsidP="00C65D23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60" w:line="276" w:lineRule="auto"/>
        <w:ind w:left="714" w:hanging="357"/>
        <w:contextualSpacing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уважавање општих економских начела,</w:t>
      </w:r>
    </w:p>
    <w:p w:rsidR="004767CA" w:rsidRPr="00272017" w:rsidRDefault="004767CA" w:rsidP="00C65D23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60" w:line="276" w:lineRule="auto"/>
        <w:ind w:left="714" w:hanging="357"/>
        <w:contextualSpacing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уважавање начела струке реосигурања,</w:t>
      </w:r>
    </w:p>
    <w:p w:rsidR="004767CA" w:rsidRPr="00272017" w:rsidRDefault="004767CA" w:rsidP="00C65D23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60" w:line="276" w:lineRule="auto"/>
        <w:ind w:left="714" w:hanging="357"/>
        <w:contextualSpacing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благовремено идентификовање и процену преузетих ризика осигурања,</w:t>
      </w:r>
    </w:p>
    <w:p w:rsidR="004767CA" w:rsidRPr="00272017" w:rsidRDefault="004767CA" w:rsidP="00C65D23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60" w:line="276" w:lineRule="auto"/>
        <w:ind w:left="714" w:hanging="357"/>
        <w:contextualSpacing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реосигуравајућу заштиту преузетог порфеља,</w:t>
      </w:r>
    </w:p>
    <w:p w:rsidR="00D107FD" w:rsidRPr="00272017" w:rsidRDefault="00D107FD" w:rsidP="00C65D23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60" w:line="276" w:lineRule="auto"/>
        <w:contextualSpacing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сигурно и профитабилно улагање средстава,</w:t>
      </w:r>
    </w:p>
    <w:p w:rsidR="004767CA" w:rsidRPr="00272017" w:rsidRDefault="004767CA" w:rsidP="00C65D23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60" w:line="276" w:lineRule="auto"/>
        <w:ind w:left="714" w:hanging="357"/>
        <w:contextualSpacing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управљање ризицима у циљу заштите дугорочне сигурности, стабилности пословања и текућег сервисирања обавеза и</w:t>
      </w:r>
    </w:p>
    <w:p w:rsidR="004767CA" w:rsidRDefault="004767CA" w:rsidP="00C65D23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60" w:line="276" w:lineRule="auto"/>
        <w:ind w:left="714" w:hanging="357"/>
        <w:contextualSpacing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спровођење интерних контрола усмерених на очување интегритета средстава, спречавање и откривање оперативних грешака, тачност и потпуност рачуноводствених евиденција и благовремено састављање поузданих финансијских информација.</w:t>
      </w:r>
    </w:p>
    <w:p w:rsidR="00114CA8" w:rsidRDefault="00114CA8" w:rsidP="00114CA8">
      <w:pPr>
        <w:suppressAutoHyphens w:val="0"/>
        <w:autoSpaceDE w:val="0"/>
        <w:autoSpaceDN w:val="0"/>
        <w:adjustRightInd w:val="0"/>
        <w:spacing w:after="60" w:line="276" w:lineRule="auto"/>
        <w:contextualSpacing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</w:p>
    <w:p w:rsidR="00114CA8" w:rsidRPr="00114CA8" w:rsidRDefault="00114CA8" w:rsidP="00114CA8">
      <w:pPr>
        <w:pStyle w:val="Heading1"/>
        <w:numPr>
          <w:ilvl w:val="0"/>
          <w:numId w:val="3"/>
        </w:numPr>
        <w:tabs>
          <w:tab w:val="clear" w:pos="432"/>
        </w:tabs>
        <w:ind w:left="0" w:firstLine="0"/>
        <w:rPr>
          <w:rFonts w:ascii="Verdana" w:hAnsi="Verdana"/>
          <w:noProof/>
          <w:color w:val="365F91"/>
          <w:sz w:val="6"/>
          <w:lang w:val="sr-Cyrl-CS"/>
        </w:rPr>
      </w:pPr>
      <w:bookmarkStart w:id="9" w:name="_Toc433278677"/>
      <w:r w:rsidRPr="00114CA8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ОСНОВЕ ПОСЛОВНЕ ПОЛИТИКЕ</w:t>
      </w:r>
      <w:bookmarkEnd w:id="9"/>
      <w:r w:rsidRPr="00114CA8">
        <w:rPr>
          <w:rFonts w:ascii="Verdana" w:hAnsi="Verdana" w:cs="Tahoma"/>
          <w:noProof/>
          <w:color w:val="365F91"/>
          <w:sz w:val="24"/>
          <w:szCs w:val="18"/>
          <w:lang w:val="sr-Cyrl-CS"/>
        </w:rPr>
        <w:t xml:space="preserve">                                                           </w:t>
      </w:r>
    </w:p>
    <w:p w:rsidR="00114CA8" w:rsidRPr="00272017" w:rsidRDefault="00114CA8" w:rsidP="00114CA8">
      <w:pPr>
        <w:pStyle w:val="Heading1"/>
        <w:numPr>
          <w:ilvl w:val="1"/>
          <w:numId w:val="3"/>
        </w:numPr>
        <w:tabs>
          <w:tab w:val="clear" w:pos="336"/>
        </w:tabs>
        <w:spacing w:before="240" w:after="240"/>
        <w:ind w:left="1418" w:hanging="851"/>
        <w:jc w:val="left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10" w:name="_Toc433278678"/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Основе пословне политике Друштва</w:t>
      </w:r>
      <w:bookmarkEnd w:id="10"/>
    </w:p>
    <w:p w:rsidR="00114CA8" w:rsidRPr="00272017" w:rsidRDefault="00114CA8" w:rsidP="00114CA8">
      <w:pPr>
        <w:spacing w:before="120" w:after="120" w:line="276" w:lineRule="auto"/>
        <w:ind w:firstLine="360"/>
        <w:jc w:val="both"/>
        <w:rPr>
          <w:rFonts w:ascii="Verdana" w:hAnsi="Verdana"/>
          <w:noProof/>
          <w:sz w:val="20"/>
          <w:lang w:val="sr-Cyrl-CS"/>
        </w:rPr>
      </w:pPr>
      <w:r w:rsidRPr="00272017">
        <w:rPr>
          <w:rFonts w:ascii="Verdana" w:hAnsi="Verdana"/>
          <w:noProof/>
          <w:sz w:val="20"/>
          <w:lang w:val="sr-Cyrl-CS"/>
        </w:rPr>
        <w:t>Основе пословне политике Друштва су:</w:t>
      </w:r>
    </w:p>
    <w:p w:rsidR="00114CA8" w:rsidRPr="00272017" w:rsidRDefault="00114CA8" w:rsidP="00114CA8">
      <w:pPr>
        <w:pStyle w:val="BodyText"/>
        <w:numPr>
          <w:ilvl w:val="0"/>
          <w:numId w:val="8"/>
        </w:numPr>
        <w:spacing w:after="60" w:line="276" w:lineRule="auto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одржање адекватности капитала</w:t>
      </w:r>
    </w:p>
    <w:p w:rsidR="00114CA8" w:rsidRPr="00272017" w:rsidRDefault="00114CA8" w:rsidP="00114CA8">
      <w:pPr>
        <w:pStyle w:val="Subtitle"/>
        <w:keepNext w:val="0"/>
        <w:numPr>
          <w:ilvl w:val="0"/>
          <w:numId w:val="8"/>
        </w:numPr>
        <w:suppressAutoHyphens w:val="0"/>
        <w:spacing w:before="0" w:after="60" w:line="276" w:lineRule="auto"/>
        <w:jc w:val="both"/>
        <w:rPr>
          <w:rFonts w:ascii="Verdana" w:eastAsia="Calibri" w:hAnsi="Verdana" w:cs="Times New Roman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 w:cs="Times New Roman"/>
          <w:noProof/>
          <w:sz w:val="20"/>
          <w:szCs w:val="22"/>
          <w:lang w:val="sr-Cyrl-CS" w:eastAsia="en-US"/>
        </w:rPr>
        <w:t>одржање тржишне позиције и благи раст бруто премије уз задржавање квалитета портфеља као и одговарајућу контролу ризика,</w:t>
      </w:r>
    </w:p>
    <w:p w:rsidR="00114CA8" w:rsidRPr="00272017" w:rsidRDefault="00114CA8" w:rsidP="00114CA8">
      <w:pPr>
        <w:pStyle w:val="BodyText"/>
        <w:numPr>
          <w:ilvl w:val="0"/>
          <w:numId w:val="8"/>
        </w:numPr>
        <w:spacing w:after="60" w:line="276" w:lineRule="auto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инвестициона политика која обезбеђује добит и очување реалне вредности имовине,</w:t>
      </w:r>
    </w:p>
    <w:p w:rsidR="00114CA8" w:rsidRPr="00272017" w:rsidRDefault="00114CA8" w:rsidP="00114CA8">
      <w:pPr>
        <w:pStyle w:val="BodyText"/>
        <w:numPr>
          <w:ilvl w:val="0"/>
          <w:numId w:val="8"/>
        </w:numPr>
        <w:spacing w:after="60" w:line="276" w:lineRule="auto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унапређење система управљања и интерних контрола,</w:t>
      </w:r>
    </w:p>
    <w:p w:rsidR="00114CA8" w:rsidRPr="00272017" w:rsidRDefault="00114CA8" w:rsidP="00114CA8">
      <w:pPr>
        <w:pStyle w:val="BodyText"/>
        <w:numPr>
          <w:ilvl w:val="0"/>
          <w:numId w:val="8"/>
        </w:numPr>
        <w:spacing w:after="60" w:line="276" w:lineRule="auto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развој интегрисаног информационог система и континуирано унапређење система рада и</w:t>
      </w:r>
    </w:p>
    <w:p w:rsidR="00114CA8" w:rsidRPr="00272017" w:rsidRDefault="00114CA8" w:rsidP="00114CA8">
      <w:pPr>
        <w:pStyle w:val="BodyText"/>
        <w:numPr>
          <w:ilvl w:val="0"/>
          <w:numId w:val="8"/>
        </w:numPr>
        <w:spacing w:after="60" w:line="276" w:lineRule="auto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поверавање послова трећим лицима.</w:t>
      </w:r>
    </w:p>
    <w:p w:rsidR="00114CA8" w:rsidRPr="00272017" w:rsidRDefault="00114CA8" w:rsidP="00114CA8">
      <w:pPr>
        <w:pStyle w:val="Heading1"/>
        <w:numPr>
          <w:ilvl w:val="1"/>
          <w:numId w:val="3"/>
        </w:numPr>
        <w:tabs>
          <w:tab w:val="clear" w:pos="336"/>
        </w:tabs>
        <w:spacing w:before="240" w:after="240"/>
        <w:ind w:left="1418" w:hanging="851"/>
        <w:jc w:val="left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11" w:name="_Toc433278679"/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 xml:space="preserve">Дефинисање пословне политике </w:t>
      </w:r>
      <w:r>
        <w:rPr>
          <w:rFonts w:ascii="Verdana" w:hAnsi="Verdana" w:cs="Tahoma"/>
          <w:noProof/>
          <w:color w:val="365F91"/>
          <w:sz w:val="24"/>
          <w:szCs w:val="18"/>
          <w:lang w:val="sr-Cyrl-CS"/>
        </w:rPr>
        <w:t xml:space="preserve">                                              </w:t>
      </w:r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по сегментима пословања</w:t>
      </w:r>
      <w:bookmarkEnd w:id="11"/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 xml:space="preserve"> </w:t>
      </w:r>
    </w:p>
    <w:p w:rsidR="00114CA8" w:rsidRPr="00272017" w:rsidRDefault="00114CA8" w:rsidP="00114CA8">
      <w:pPr>
        <w:pStyle w:val="ListParagraph"/>
        <w:keepNext/>
        <w:numPr>
          <w:ilvl w:val="0"/>
          <w:numId w:val="2"/>
        </w:numPr>
        <w:jc w:val="center"/>
        <w:outlineLvl w:val="0"/>
        <w:rPr>
          <w:rStyle w:val="IntenseEmphasis"/>
          <w:rFonts w:ascii="Verdana" w:hAnsi="Verdana"/>
          <w:bCs w:val="0"/>
          <w:noProof/>
          <w:vanish/>
          <w:sz w:val="22"/>
          <w:szCs w:val="16"/>
          <w:lang w:val="sr-Cyrl-CS"/>
        </w:rPr>
      </w:pPr>
      <w:bookmarkStart w:id="12" w:name="_Toc430855199"/>
      <w:bookmarkStart w:id="13" w:name="_Toc430950736"/>
      <w:bookmarkStart w:id="14" w:name="_Toc431377780"/>
      <w:bookmarkStart w:id="15" w:name="_Toc432582063"/>
      <w:bookmarkStart w:id="16" w:name="_Toc432685573"/>
      <w:bookmarkStart w:id="17" w:name="_Toc432685651"/>
      <w:bookmarkStart w:id="18" w:name="_Toc432775041"/>
      <w:bookmarkStart w:id="19" w:name="_Toc433009528"/>
      <w:bookmarkStart w:id="20" w:name="_Toc433026488"/>
      <w:bookmarkStart w:id="21" w:name="_Toc433278680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114CA8" w:rsidRPr="00272017" w:rsidRDefault="00114CA8" w:rsidP="00114CA8">
      <w:pPr>
        <w:pStyle w:val="ListParagraph"/>
        <w:keepNext/>
        <w:numPr>
          <w:ilvl w:val="1"/>
          <w:numId w:val="2"/>
        </w:numPr>
        <w:outlineLvl w:val="1"/>
        <w:rPr>
          <w:rStyle w:val="IntenseEmphasis"/>
          <w:rFonts w:ascii="Verdana" w:hAnsi="Verdana"/>
          <w:bCs w:val="0"/>
          <w:noProof/>
          <w:vanish/>
          <w:sz w:val="22"/>
          <w:lang w:val="sr-Cyrl-CS"/>
        </w:rPr>
      </w:pPr>
      <w:bookmarkStart w:id="22" w:name="_Toc432582064"/>
      <w:bookmarkStart w:id="23" w:name="_Toc432685574"/>
      <w:bookmarkStart w:id="24" w:name="_Toc432685652"/>
      <w:bookmarkStart w:id="25" w:name="_Toc432775042"/>
      <w:bookmarkStart w:id="26" w:name="_Toc433009529"/>
      <w:bookmarkStart w:id="27" w:name="_Toc433026489"/>
      <w:bookmarkStart w:id="28" w:name="_Toc433278681"/>
      <w:bookmarkEnd w:id="22"/>
      <w:bookmarkEnd w:id="23"/>
      <w:bookmarkEnd w:id="24"/>
      <w:bookmarkEnd w:id="25"/>
      <w:bookmarkEnd w:id="26"/>
      <w:bookmarkEnd w:id="27"/>
      <w:bookmarkEnd w:id="28"/>
    </w:p>
    <w:p w:rsidR="00114CA8" w:rsidRPr="00272017" w:rsidRDefault="00114CA8" w:rsidP="00114CA8">
      <w:pPr>
        <w:pStyle w:val="ListParagraph"/>
        <w:keepNext/>
        <w:numPr>
          <w:ilvl w:val="1"/>
          <w:numId w:val="2"/>
        </w:numPr>
        <w:outlineLvl w:val="1"/>
        <w:rPr>
          <w:rStyle w:val="IntenseEmphasis"/>
          <w:rFonts w:ascii="Verdana" w:hAnsi="Verdana"/>
          <w:bCs w:val="0"/>
          <w:noProof/>
          <w:vanish/>
          <w:sz w:val="22"/>
          <w:lang w:val="sr-Cyrl-CS"/>
        </w:rPr>
      </w:pPr>
      <w:bookmarkStart w:id="29" w:name="_Toc432582065"/>
      <w:bookmarkStart w:id="30" w:name="_Toc432685575"/>
      <w:bookmarkStart w:id="31" w:name="_Toc432685653"/>
      <w:bookmarkStart w:id="32" w:name="_Toc432775043"/>
      <w:bookmarkStart w:id="33" w:name="_Toc433009530"/>
      <w:bookmarkStart w:id="34" w:name="_Toc433026490"/>
      <w:bookmarkStart w:id="35" w:name="_Toc433278682"/>
      <w:bookmarkEnd w:id="29"/>
      <w:bookmarkEnd w:id="30"/>
      <w:bookmarkEnd w:id="31"/>
      <w:bookmarkEnd w:id="32"/>
      <w:bookmarkEnd w:id="33"/>
      <w:bookmarkEnd w:id="34"/>
      <w:bookmarkEnd w:id="35"/>
    </w:p>
    <w:p w:rsidR="00114CA8" w:rsidRPr="00272017" w:rsidRDefault="00114CA8" w:rsidP="00114CA8">
      <w:pPr>
        <w:pStyle w:val="Heading3"/>
        <w:tabs>
          <w:tab w:val="clear" w:pos="6870"/>
          <w:tab w:val="num" w:pos="1004"/>
        </w:tabs>
        <w:spacing w:after="240"/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36" w:name="_Toc433278683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Пословна политика одржања адекватности капитала</w:t>
      </w:r>
      <w:bookmarkEnd w:id="36"/>
    </w:p>
    <w:p w:rsidR="00114CA8" w:rsidRPr="00272017" w:rsidRDefault="00114CA8" w:rsidP="00114CA8">
      <w:pPr>
        <w:pStyle w:val="BodyText"/>
        <w:rPr>
          <w:rFonts w:ascii="Verdana" w:hAnsi="Verdana"/>
          <w:noProof/>
          <w:sz w:val="2"/>
          <w:szCs w:val="2"/>
          <w:lang w:val="sr-Cyrl-CS"/>
        </w:rPr>
      </w:pPr>
    </w:p>
    <w:p w:rsidR="00114CA8" w:rsidRPr="00272017" w:rsidRDefault="00114CA8" w:rsidP="00114CA8">
      <w:pPr>
        <w:spacing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Друштво пословну политику одржања адекватности капитала спроводи на сатегијском и оперативном нивоу.</w:t>
      </w:r>
    </w:p>
    <w:p w:rsidR="00114CA8" w:rsidRPr="00272017" w:rsidRDefault="00114CA8" w:rsidP="00114CA8">
      <w:pPr>
        <w:spacing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Пословна политика одржања адекватности капитала на </w:t>
      </w:r>
      <w:r w:rsidRPr="00272017">
        <w:rPr>
          <w:rFonts w:ascii="Verdana" w:eastAsia="Calibri" w:hAnsi="Verdana"/>
          <w:b/>
          <w:i/>
          <w:noProof/>
          <w:sz w:val="20"/>
          <w:szCs w:val="22"/>
          <w:lang w:val="sr-Cyrl-CS" w:eastAsia="en-US"/>
        </w:rPr>
        <w:t xml:space="preserve">стратегијском нивоу </w:t>
      </w: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спроводи се са циљем да се обезбеди управљање капиталом на континуираној и дугорочној основи, узимајући у обзир макроекономско окружење, кретања на тржишту осигурања и реосигурања и стратешке пословне циљеве Друштва. У ту сврху Друштво је планирало потребе за капиталом на начин који обезбеђује реализацију стратешких циљева, са једне стране, и покриће свих очекиваних и потенцијалних губитака, посебно покрића обавеза по основу уговора о реосигурању, које нису покривене техичким резервама, са друге стране. </w:t>
      </w:r>
    </w:p>
    <w:p w:rsidR="00114CA8" w:rsidRPr="00272017" w:rsidRDefault="00114CA8" w:rsidP="00114CA8">
      <w:pPr>
        <w:spacing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Друштво ће, у циљу утврђивања индикатора за предузимање превентивних активности како би се спречила несолвентност Друштва, вршити процену обезбеђења континуиране испуњености услова који се односе на адекватност капитала и техничке резерве, а нарочито: </w:t>
      </w:r>
    </w:p>
    <w:p w:rsidR="00114CA8" w:rsidRPr="00272017" w:rsidRDefault="00114CA8" w:rsidP="00114CA8">
      <w:pPr>
        <w:pStyle w:val="ListParagraph"/>
        <w:numPr>
          <w:ilvl w:val="0"/>
          <w:numId w:val="20"/>
        </w:numPr>
        <w:spacing w:before="60" w:after="60" w:line="276" w:lineRule="auto"/>
        <w:ind w:left="885" w:hanging="318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анализу потенцијалне будуће значајне промене ризичног профила Друштва и њихов утицај на адекватност капитала, захтевану маргину солвентности, те износ, квалитет и структуру гарантне резерве и гарантног капитала током периода пословног планирања и</w:t>
      </w:r>
    </w:p>
    <w:p w:rsidR="00114CA8" w:rsidRPr="00272017" w:rsidRDefault="00114CA8" w:rsidP="00114CA8">
      <w:pPr>
        <w:pStyle w:val="ListParagraph"/>
        <w:numPr>
          <w:ilvl w:val="0"/>
          <w:numId w:val="20"/>
        </w:numPr>
        <w:spacing w:before="60" w:after="60" w:line="276" w:lineRule="auto"/>
        <w:ind w:left="885" w:hanging="318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оцену процеса и процедура којима се континуирано и адекватно обезбеђују праћење обрачуна техничких резерви, усклађеност тог обрачуна с прописима и идентификовање ризика у вези с неизвесношћу при обрачуну техничких резерви.</w:t>
      </w:r>
    </w:p>
    <w:p w:rsidR="00114CA8" w:rsidRPr="00272017" w:rsidRDefault="00114CA8" w:rsidP="00114CA8">
      <w:pPr>
        <w:spacing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Такође, посебну пажњу Друштво посвећује програму реосигурања, како би се минимизирали негативни ефекати на испуњавање захтева адекватности капитала, и то како са аспекта оцене преузетих ризика, максималног самопридржаја и типа уговора о реосигурању, тако и са акпекта оцене бонитета ретроцесионара.</w:t>
      </w:r>
    </w:p>
    <w:p w:rsidR="00114CA8" w:rsidRPr="00272017" w:rsidRDefault="00114CA8" w:rsidP="00114CA8">
      <w:pPr>
        <w:spacing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Пословна политика одржања адекватности капитала на </w:t>
      </w:r>
      <w:r w:rsidRPr="00272017">
        <w:rPr>
          <w:rFonts w:ascii="Verdana" w:eastAsia="Calibri" w:hAnsi="Verdana"/>
          <w:b/>
          <w:i/>
          <w:noProof/>
          <w:sz w:val="20"/>
          <w:szCs w:val="22"/>
          <w:lang w:val="sr-Cyrl-CS" w:eastAsia="en-US"/>
        </w:rPr>
        <w:t>оперативном нивоу</w:t>
      </w: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спроводи се кроз средњорочне и краткорочне пословне планове који обухватају: </w:t>
      </w:r>
    </w:p>
    <w:p w:rsidR="00114CA8" w:rsidRPr="00272017" w:rsidRDefault="00114CA8" w:rsidP="00114CA8">
      <w:pPr>
        <w:pStyle w:val="ListParagraph"/>
        <w:numPr>
          <w:ilvl w:val="0"/>
          <w:numId w:val="21"/>
        </w:numPr>
        <w:spacing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регулаторне захтеве за минималним капиталом, </w:t>
      </w:r>
    </w:p>
    <w:p w:rsidR="00114CA8" w:rsidRPr="00272017" w:rsidRDefault="00114CA8" w:rsidP="00114CA8">
      <w:pPr>
        <w:pStyle w:val="ListParagraph"/>
        <w:numPr>
          <w:ilvl w:val="0"/>
          <w:numId w:val="21"/>
        </w:numPr>
        <w:spacing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оцену утврђене адекватности капитала,</w:t>
      </w:r>
    </w:p>
    <w:p w:rsidR="00114CA8" w:rsidRPr="00272017" w:rsidRDefault="00114CA8" w:rsidP="00114CA8">
      <w:pPr>
        <w:pStyle w:val="ListParagraph"/>
        <w:numPr>
          <w:ilvl w:val="0"/>
          <w:numId w:val="21"/>
        </w:numPr>
        <w:spacing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анализу развојних планова Друштва и оптимални ниво капитала имајући у виду пословне планове и ризике којима је Друштво изложено или може бити изложено и</w:t>
      </w:r>
    </w:p>
    <w:p w:rsidR="00114CA8" w:rsidRPr="00272017" w:rsidRDefault="00114CA8" w:rsidP="00114CA8">
      <w:pPr>
        <w:pStyle w:val="ListParagraph"/>
        <w:numPr>
          <w:ilvl w:val="0"/>
          <w:numId w:val="21"/>
        </w:numPr>
        <w:spacing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план за достизање и одржавање адекватности капитала у случају настанка непредвиђених догађаја који могу да утичу на износ капитала Друштва.</w:t>
      </w:r>
    </w:p>
    <w:p w:rsidR="00114CA8" w:rsidRPr="00272017" w:rsidRDefault="00114CA8" w:rsidP="00114CA8">
      <w:pPr>
        <w:spacing w:before="120" w:after="6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Друштво ће, у оквиру система управљања ризицима, вршити сопствену процену ризика и солвентности како би се благовремено предузеле корективне мере уколико дође до повећања изложености ризику адекватности капитала који у сваком тренутку мора испуњавати следеће услове:</w:t>
      </w:r>
    </w:p>
    <w:p w:rsidR="00114CA8" w:rsidRPr="00272017" w:rsidRDefault="00114CA8" w:rsidP="00114CA8">
      <w:pPr>
        <w:pStyle w:val="ListParagraph"/>
        <w:numPr>
          <w:ilvl w:val="0"/>
          <w:numId w:val="22"/>
        </w:numPr>
        <w:spacing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регулаторне захтеве,</w:t>
      </w:r>
    </w:p>
    <w:p w:rsidR="00114CA8" w:rsidRPr="00272017" w:rsidRDefault="00114CA8" w:rsidP="00114CA8">
      <w:pPr>
        <w:pStyle w:val="ListParagraph"/>
        <w:numPr>
          <w:ilvl w:val="0"/>
          <w:numId w:val="22"/>
        </w:numPr>
        <w:spacing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циљну адекватност капитала,</w:t>
      </w:r>
    </w:p>
    <w:p w:rsidR="00114CA8" w:rsidRPr="00272017" w:rsidRDefault="00114CA8" w:rsidP="00114CA8">
      <w:pPr>
        <w:pStyle w:val="ListParagraph"/>
        <w:numPr>
          <w:ilvl w:val="0"/>
          <w:numId w:val="22"/>
        </w:numPr>
        <w:spacing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очување стабилности пословања Друштва,</w:t>
      </w:r>
    </w:p>
    <w:p w:rsidR="00114CA8" w:rsidRPr="00272017" w:rsidRDefault="00114CA8" w:rsidP="00114CA8">
      <w:pPr>
        <w:pStyle w:val="ListParagraph"/>
        <w:numPr>
          <w:ilvl w:val="0"/>
          <w:numId w:val="22"/>
        </w:numPr>
        <w:spacing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увећање учешћа на тржишту и обезбеђење дугорочног финансијског раста и</w:t>
      </w:r>
    </w:p>
    <w:p w:rsidR="00114CA8" w:rsidRPr="00272017" w:rsidRDefault="00114CA8" w:rsidP="00114CA8">
      <w:pPr>
        <w:pStyle w:val="ListParagraph"/>
        <w:numPr>
          <w:ilvl w:val="0"/>
          <w:numId w:val="22"/>
        </w:numPr>
        <w:spacing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спречавање развоја догађаја који могу да угрозе солвентност Друштва.</w:t>
      </w:r>
    </w:p>
    <w:p w:rsidR="00114CA8" w:rsidRPr="00272017" w:rsidRDefault="00114CA8" w:rsidP="00114CA8">
      <w:pPr>
        <w:pStyle w:val="Heading3"/>
        <w:tabs>
          <w:tab w:val="clear" w:pos="6870"/>
        </w:tabs>
        <w:spacing w:before="360" w:after="360"/>
        <w:ind w:left="993" w:hanging="709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37" w:name="_Toc430359871"/>
      <w:bookmarkStart w:id="38" w:name="_Toc433278684"/>
      <w:bookmarkEnd w:id="37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Пословна политика реосигурања</w:t>
      </w:r>
      <w:bookmarkEnd w:id="38"/>
    </w:p>
    <w:p w:rsidR="00114CA8" w:rsidRPr="00272017" w:rsidRDefault="00114CA8" w:rsidP="00114CA8">
      <w:pPr>
        <w:spacing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Један од основа пословне политике је одржање стабилности пословања и благи раст бруто премије. Како би се рализовала ова утврђена пословна политика Друштво је утврдило следеће дугорочне циљеве:</w:t>
      </w:r>
    </w:p>
    <w:p w:rsidR="00114CA8" w:rsidRPr="00272017" w:rsidRDefault="00114CA8" w:rsidP="00114CA8">
      <w:pPr>
        <w:pStyle w:val="ListParagraph"/>
        <w:numPr>
          <w:ilvl w:val="0"/>
          <w:numId w:val="4"/>
        </w:numPr>
        <w:suppressAutoHyphens w:val="0"/>
        <w:spacing w:before="60" w:after="60" w:line="276" w:lineRule="auto"/>
        <w:ind w:left="1049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Повећање обима реосигуравајућих покрића како кроз очекивани раст покрића оствареног преко постојећих цедената, тако и преузимањем ризика иностраних реосигуравајућих и осигуравајућих Друштава;</w:t>
      </w:r>
    </w:p>
    <w:p w:rsidR="00114CA8" w:rsidRPr="00272017" w:rsidRDefault="00114CA8" w:rsidP="00114CA8">
      <w:pPr>
        <w:pStyle w:val="ListParagraph"/>
        <w:numPr>
          <w:ilvl w:val="0"/>
          <w:numId w:val="4"/>
        </w:numPr>
        <w:suppressAutoHyphens w:val="0"/>
        <w:spacing w:before="60" w:after="60" w:line="276" w:lineRule="auto"/>
        <w:ind w:left="1049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Континуирана анализа самопридржаја и диференцирање истог по гранама уз сагледавање могућности за повећање самопридржаја по појединим врстама;</w:t>
      </w:r>
    </w:p>
    <w:p w:rsidR="00114CA8" w:rsidRPr="00272017" w:rsidRDefault="00114CA8" w:rsidP="00114CA8">
      <w:pPr>
        <w:pStyle w:val="ListParagraph"/>
        <w:numPr>
          <w:ilvl w:val="0"/>
          <w:numId w:val="4"/>
        </w:numPr>
        <w:suppressAutoHyphens w:val="0"/>
        <w:spacing w:before="60" w:after="60" w:line="276" w:lineRule="auto"/>
        <w:ind w:left="1049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Адекватна ретроцесија за све вишкове ризика преузете у реосигурање; </w:t>
      </w:r>
    </w:p>
    <w:p w:rsidR="00114CA8" w:rsidRPr="00272017" w:rsidRDefault="00114CA8" w:rsidP="00114CA8">
      <w:pPr>
        <w:pStyle w:val="ListParagraph"/>
        <w:numPr>
          <w:ilvl w:val="0"/>
          <w:numId w:val="4"/>
        </w:numPr>
        <w:suppressAutoHyphens w:val="0"/>
        <w:spacing w:before="60" w:after="60" w:line="276" w:lineRule="auto"/>
        <w:ind w:left="1049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Директно уговарање послова, без учешћа брокера, свуда где је то могуће;</w:t>
      </w:r>
    </w:p>
    <w:p w:rsidR="00114CA8" w:rsidRPr="00272017" w:rsidRDefault="00114CA8" w:rsidP="00114CA8">
      <w:pPr>
        <w:pStyle w:val="ListParagraph"/>
        <w:numPr>
          <w:ilvl w:val="0"/>
          <w:numId w:val="4"/>
        </w:numPr>
        <w:suppressAutoHyphens w:val="0"/>
        <w:spacing w:before="60" w:after="60" w:line="276" w:lineRule="auto"/>
        <w:ind w:left="1049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Уравнотежену расподелу ризика преко ино-брокера, како би избегло претерано ослањање на поједине посреднике;</w:t>
      </w:r>
    </w:p>
    <w:p w:rsidR="00114CA8" w:rsidRPr="00272017" w:rsidRDefault="00114CA8" w:rsidP="00114CA8">
      <w:pPr>
        <w:pStyle w:val="ListParagraph"/>
        <w:numPr>
          <w:ilvl w:val="0"/>
          <w:numId w:val="4"/>
        </w:numPr>
        <w:suppressAutoHyphens w:val="0"/>
        <w:spacing w:before="60" w:after="60" w:line="276" w:lineRule="auto"/>
        <w:ind w:left="1049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Унапређење сарадње са реосигуравајућим друштвима у земљи и региону.</w:t>
      </w:r>
    </w:p>
    <w:p w:rsidR="00114CA8" w:rsidRPr="00272017" w:rsidRDefault="00114CA8" w:rsidP="00114CA8">
      <w:pPr>
        <w:spacing w:before="200" w:after="20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Реосигуравајућа друштва које послују у Србији углавном су се бавили покрићима за своје матичне компаније, али су притисци на цеденте у земљи са циљем преузимања портфеља од Друштва све већи, а у наредном периоду  може очекивати појачани притисак конкуренције. У том смислу неопходно је уложити максималне напоре на очувању постојећег портфеља у земљи кроз проактивни приступ у формирању понуде нових производа реосигурања, развојем стратегије „квалитетан производ са правом ценом“ и кроз пружање конкретних решења за задовољење специфичних потреба цедената.</w:t>
      </w:r>
    </w:p>
    <w:p w:rsidR="00114CA8" w:rsidRPr="00272017" w:rsidRDefault="00114CA8" w:rsidP="00114CA8">
      <w:pPr>
        <w:spacing w:before="200" w:after="20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Како се раст премије у земљи може реализовати само очекиваним развојем тржишта и повећањем портфеља цедената који већ послују са Друштвом, неопходно је посебну пажњу посветити развоју постојећих и увођењу нових програма сарадње са реосигуравачима у региону.</w:t>
      </w:r>
    </w:p>
    <w:p w:rsidR="00114CA8" w:rsidRPr="00272017" w:rsidRDefault="00114CA8" w:rsidP="00114CA8">
      <w:pPr>
        <w:spacing w:before="200" w:after="20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Обезбеђењем покрића за вишкове ризика изнад самопридржаја код реномираних реосигуравача Друштво је максимално заштитило свој и портфеље својих цедената и омогућило уредну исплату штета клијентима у уговореним роковима, што ће бити приоритет и у наредном периоду.</w:t>
      </w:r>
    </w:p>
    <w:p w:rsidR="00114CA8" w:rsidRPr="00272017" w:rsidRDefault="00114CA8" w:rsidP="00114CA8">
      <w:pPr>
        <w:spacing w:before="120" w:after="120" w:line="276" w:lineRule="auto"/>
        <w:ind w:firstLine="270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Смернице за реализацију пословне политике Друштва везане за повећање обима реосигуравајућих покрића су:</w:t>
      </w:r>
    </w:p>
    <w:p w:rsidR="00114CA8" w:rsidRPr="00272017" w:rsidRDefault="00114CA8" w:rsidP="00114CA8">
      <w:pPr>
        <w:numPr>
          <w:ilvl w:val="0"/>
          <w:numId w:val="10"/>
        </w:numPr>
        <w:spacing w:before="120" w:after="120" w:line="276" w:lineRule="auto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Развој стратегије „квалитетан производ са правом ценом“, као јединим начином свеобухватне заштите крајњег корисника осигурања, а уједно и самих осигуравача.</w:t>
      </w:r>
    </w:p>
    <w:p w:rsidR="00114CA8" w:rsidRPr="00272017" w:rsidRDefault="00114CA8" w:rsidP="00114CA8">
      <w:pPr>
        <w:numPr>
          <w:ilvl w:val="0"/>
          <w:numId w:val="10"/>
        </w:numPr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Сарадња са друштвима за реосигурање на заједничким пословима (саосигурање) и/или размени послова, посебно са реосигуравачима са подручја “</w:t>
      </w:r>
      <w:r w:rsidRPr="00272017">
        <w:rPr>
          <w:rFonts w:ascii="Verdana" w:hAnsi="Verdana" w:cs="Tahoma"/>
          <w:i/>
          <w:noProof/>
          <w:sz w:val="20"/>
          <w:szCs w:val="14"/>
          <w:lang w:val="sr-Cyrl-CS"/>
        </w:rPr>
        <w:t>Ex Yu</w:t>
      </w:r>
      <w:r w:rsidRPr="00272017">
        <w:rPr>
          <w:rFonts w:ascii="Verdana" w:hAnsi="Verdana" w:cs="Tahoma"/>
          <w:noProof/>
          <w:sz w:val="20"/>
          <w:szCs w:val="14"/>
          <w:lang w:val="sr-Cyrl-CS"/>
        </w:rPr>
        <w:t>”;</w:t>
      </w:r>
    </w:p>
    <w:p w:rsidR="00114CA8" w:rsidRPr="00272017" w:rsidRDefault="00114CA8" w:rsidP="00114CA8">
      <w:pPr>
        <w:numPr>
          <w:ilvl w:val="0"/>
          <w:numId w:val="10"/>
        </w:numPr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Праћење тендера и нових пројеката и активно учешће на изради најоптималније понуде по односу квалитет/цена;</w:t>
      </w:r>
    </w:p>
    <w:p w:rsidR="00114CA8" w:rsidRPr="00272017" w:rsidRDefault="00114CA8" w:rsidP="00114CA8">
      <w:pPr>
        <w:numPr>
          <w:ilvl w:val="0"/>
          <w:numId w:val="10"/>
        </w:numPr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Истраживање и диференцирање потенцијалних атрактивних иностраних тржишта по гранама и врстама покрића;</w:t>
      </w:r>
    </w:p>
    <w:p w:rsidR="00114CA8" w:rsidRPr="00272017" w:rsidRDefault="00114CA8" w:rsidP="00114CA8">
      <w:pPr>
        <w:numPr>
          <w:ilvl w:val="0"/>
          <w:numId w:val="10"/>
        </w:numPr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Сарадња са инореосигуравачима на подручју контроле портфеља;</w:t>
      </w:r>
    </w:p>
    <w:p w:rsidR="00114CA8" w:rsidRPr="00272017" w:rsidRDefault="00114CA8" w:rsidP="00114CA8">
      <w:pPr>
        <w:pStyle w:val="ListParagraph"/>
        <w:numPr>
          <w:ilvl w:val="0"/>
          <w:numId w:val="10"/>
        </w:numPr>
        <w:spacing w:before="60" w:after="60" w:line="276" w:lineRule="auto"/>
        <w:ind w:left="714" w:hanging="357"/>
        <w:jc w:val="both"/>
        <w:rPr>
          <w:rFonts w:ascii="Verdana" w:hAnsi="Verdana"/>
          <w:noProof/>
          <w:sz w:val="20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атрактивне понуде по врстама реосигурања које нису биле предмет реосигуравајућег покрића у досадашњем периоду;</w:t>
      </w:r>
    </w:p>
    <w:p w:rsidR="00114CA8" w:rsidRPr="00272017" w:rsidRDefault="00114CA8" w:rsidP="00114CA8">
      <w:pPr>
        <w:pStyle w:val="ListParagraph"/>
        <w:numPr>
          <w:ilvl w:val="0"/>
          <w:numId w:val="10"/>
        </w:numPr>
        <w:spacing w:before="60" w:after="60" w:line="276" w:lineRule="auto"/>
        <w:ind w:left="714" w:hanging="357"/>
        <w:jc w:val="both"/>
        <w:rPr>
          <w:rFonts w:ascii="Verdana" w:hAnsi="Verdana"/>
          <w:noProof/>
          <w:sz w:val="20"/>
          <w:lang w:val="sr-Cyrl-CS"/>
        </w:rPr>
      </w:pPr>
      <w:r w:rsidRPr="00272017">
        <w:rPr>
          <w:rFonts w:ascii="Verdana" w:hAnsi="Verdana"/>
          <w:noProof/>
          <w:sz w:val="20"/>
          <w:lang w:val="sr-Cyrl-CS"/>
        </w:rPr>
        <w:t>формирање понуде за сва нова факултативна реосигуравајућа покрића у року од 24 часа.</w:t>
      </w:r>
    </w:p>
    <w:p w:rsidR="00114CA8" w:rsidRPr="00272017" w:rsidRDefault="00114CA8" w:rsidP="00114CA8">
      <w:pPr>
        <w:spacing w:before="120" w:after="120" w:line="276" w:lineRule="auto"/>
        <w:ind w:firstLine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У циљу унапређења тржишне позиције предузећа, Друштво ће:</w:t>
      </w:r>
    </w:p>
    <w:p w:rsidR="00114CA8" w:rsidRPr="00272017" w:rsidRDefault="00114CA8" w:rsidP="00114CA8">
      <w:pPr>
        <w:numPr>
          <w:ilvl w:val="0"/>
          <w:numId w:val="9"/>
        </w:numPr>
        <w:spacing w:before="60" w:after="60" w:line="276" w:lineRule="auto"/>
        <w:ind w:left="720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Учествовати искључиво у краткорочним (једногодишњим) активним аранжманима  (по могућности имовина/техника), уз избегавање послова са </w:t>
      </w:r>
      <w:r w:rsidRPr="00272017">
        <w:rPr>
          <w:rFonts w:ascii="Verdana" w:hAnsi="Verdana" w:cs="Tahoma"/>
          <w:i/>
          <w:noProof/>
          <w:sz w:val="20"/>
          <w:szCs w:val="14"/>
          <w:lang w:val="sr-Cyrl-CS"/>
        </w:rPr>
        <w:t>CAT</w:t>
      </w: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 елементима; </w:t>
      </w:r>
    </w:p>
    <w:p w:rsidR="00114CA8" w:rsidRPr="00272017" w:rsidRDefault="00114CA8" w:rsidP="00114CA8">
      <w:pPr>
        <w:numPr>
          <w:ilvl w:val="0"/>
          <w:numId w:val="9"/>
        </w:numPr>
        <w:spacing w:before="60" w:after="60" w:line="276" w:lineRule="auto"/>
        <w:ind w:left="720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Увећати реосигуравајуће покрића за </w:t>
      </w:r>
      <w:r w:rsidRPr="00272017">
        <w:rPr>
          <w:rFonts w:ascii="Verdana" w:hAnsi="Verdana" w:cs="Tahoma"/>
          <w:i/>
          <w:noProof/>
          <w:sz w:val="20"/>
          <w:szCs w:val="14"/>
          <w:lang w:val="sr-Cyrl-CS"/>
        </w:rPr>
        <w:t>Еx Yu</w:t>
      </w: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 тржиште, где постоји заинтересованост за послове аутоодговорности, транспорта новца, пољопривреде, живота, уз претходно адекватно обезбеђено инореосигуравајуће покриће за све вишкове ризика изнад самопридржаја Друштва;</w:t>
      </w:r>
    </w:p>
    <w:p w:rsidR="00114CA8" w:rsidRPr="00272017" w:rsidRDefault="00114CA8" w:rsidP="00114CA8">
      <w:pPr>
        <w:numPr>
          <w:ilvl w:val="0"/>
          <w:numId w:val="9"/>
        </w:numPr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Обезбедити реосигуравајуће покрића за животно осигурање за нове цеденте из Србије и проширење постојећих покрића за нове производе;</w:t>
      </w:r>
    </w:p>
    <w:p w:rsidR="00114CA8" w:rsidRPr="00272017" w:rsidRDefault="00114CA8" w:rsidP="00114CA8">
      <w:pPr>
        <w:numPr>
          <w:ilvl w:val="0"/>
          <w:numId w:val="9"/>
        </w:numPr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Акценат на развоју свих врста одговорности према трећим лицима и интензивна едукација локалног тржишта.</w:t>
      </w:r>
    </w:p>
    <w:p w:rsidR="00114CA8" w:rsidRPr="00272017" w:rsidRDefault="00114CA8" w:rsidP="00114CA8">
      <w:pPr>
        <w:pStyle w:val="Heading3"/>
        <w:tabs>
          <w:tab w:val="clear" w:pos="6870"/>
          <w:tab w:val="num" w:pos="1004"/>
        </w:tabs>
        <w:spacing w:before="360" w:after="360"/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39" w:name="_Toc433278685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Инвестициона политика</w:t>
      </w:r>
      <w:bookmarkEnd w:id="39"/>
    </w:p>
    <w:p w:rsidR="00114CA8" w:rsidRPr="00272017" w:rsidRDefault="00114CA8" w:rsidP="00114CA8">
      <w:pPr>
        <w:autoSpaceDE w:val="0"/>
        <w:autoSpaceDN w:val="0"/>
        <w:adjustRightInd w:val="0"/>
        <w:spacing w:before="120" w:after="120" w:line="276" w:lineRule="auto"/>
        <w:ind w:firstLine="288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Циљеви инвестиционе политике Друштва су:</w:t>
      </w:r>
    </w:p>
    <w:p w:rsidR="00114CA8" w:rsidRPr="00272017" w:rsidRDefault="00114CA8" w:rsidP="00114CA8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поштовање начела сигурности, диверсификације инвестиционог портфеља и одржавње високог степена ликвидности,</w:t>
      </w:r>
    </w:p>
    <w:p w:rsidR="00114CA8" w:rsidRPr="00272017" w:rsidRDefault="00114CA8" w:rsidP="00114CA8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пажљива политика инвестирања, која води рачуна о дугорочним могућностима покрића техничких и гарантних резерви у складу са прописима и интерним актима Друштва и</w:t>
      </w:r>
    </w:p>
    <w:p w:rsidR="00114CA8" w:rsidRPr="00272017" w:rsidRDefault="00114CA8" w:rsidP="00114CA8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инвестирање краткорочних и дугорочних извора средстава у складу са захтевима за хоризонталном и вертикалном усклађености активе и пасиве уз остваривање задовољавајућих приноса.</w:t>
      </w:r>
    </w:p>
    <w:p w:rsidR="00114CA8" w:rsidRPr="00272017" w:rsidRDefault="00114CA8" w:rsidP="00114CA8">
      <w:pPr>
        <w:spacing w:before="200" w:after="20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Друштво управља имовином и обавезама уз брижљиво  планирање </w:t>
      </w:r>
      <w:r w:rsidRPr="00272017">
        <w:rPr>
          <w:rFonts w:ascii="Verdana" w:eastAsia="Calibri" w:hAnsi="Verdana"/>
          <w:i/>
          <w:noProof/>
          <w:sz w:val="20"/>
          <w:szCs w:val="22"/>
          <w:lang w:val="sr-Cyrl-CS" w:eastAsia="en-US"/>
        </w:rPr>
        <w:t>cash flow</w:t>
      </w: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–a, који обезбеђује рочну усклађеност прилива и одлива средстава, као и депоновање и улагање према роковима доспећа. Управљање  инвестиционим портфолиом се врши уз поштовање структурне и динамичке дисперзије ризика депоновања средстава код пословних банака и улагања у хартије од вредности намењене трговању, као и сталног праћења тржишних кретања и предузимања мера како би се обезбедили максимални приноси и сигурност пласмана. </w:t>
      </w:r>
    </w:p>
    <w:p w:rsidR="00114CA8" w:rsidRPr="00272017" w:rsidRDefault="00114CA8" w:rsidP="00114CA8">
      <w:pPr>
        <w:spacing w:before="200" w:after="20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У циљу повећања сигурности Друштво је за поједине пласмане поред уобичајних инструмената обезбеђења обезбедило и додатне инструменте обезбеђења као што су залога на роби и хартијама од вредности за које гарантује Држава.</w:t>
      </w:r>
    </w:p>
    <w:p w:rsidR="00114CA8" w:rsidRPr="00272017" w:rsidRDefault="00114CA8" w:rsidP="00114CA8">
      <w:pPr>
        <w:spacing w:before="200" w:after="20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Инвестирање средстава техничких и гарантних резерви и осталих средстава вршено је уз поштовање критеријума прописаних од стране Народне банке Србије, уз релативно кратке рокове, као и депоновање средстава по виђењу уз високе каматне стопе.</w:t>
      </w:r>
    </w:p>
    <w:p w:rsidR="00114CA8" w:rsidRPr="00272017" w:rsidRDefault="00114CA8" w:rsidP="00114CA8">
      <w:pPr>
        <w:spacing w:before="120" w:after="120" w:line="276" w:lineRule="auto"/>
        <w:ind w:firstLine="360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Смернице за реализацију циљева инвестиционе политике Друштва су:</w:t>
      </w:r>
    </w:p>
    <w:p w:rsidR="00114CA8" w:rsidRPr="00272017" w:rsidRDefault="00114CA8" w:rsidP="00114CA8">
      <w:pPr>
        <w:numPr>
          <w:ilvl w:val="0"/>
          <w:numId w:val="11"/>
        </w:numPr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висок квалитет у планирању </w:t>
      </w:r>
      <w:r w:rsidRPr="00272017">
        <w:rPr>
          <w:rFonts w:ascii="Verdana" w:hAnsi="Verdana" w:cs="Tahoma"/>
          <w:i/>
          <w:noProof/>
          <w:sz w:val="20"/>
          <w:szCs w:val="14"/>
          <w:lang w:val="sr-Cyrl-CS"/>
        </w:rPr>
        <w:t>cash flow</w:t>
      </w:r>
      <w:r w:rsidRPr="00272017">
        <w:rPr>
          <w:rFonts w:ascii="Verdana" w:hAnsi="Verdana" w:cs="Tahoma"/>
          <w:noProof/>
          <w:sz w:val="20"/>
          <w:szCs w:val="14"/>
          <w:lang w:val="sr-Cyrl-CS"/>
        </w:rPr>
        <w:t>-a, које се врши на основу информација из годишњих и периодичних планова пословања који обухватају планиране приходе и расходе из пословне и инвестиционе активности, који обезбеђује рочну усклађеност прилива и одлива средстава, као и депоновање и улагање средстава према роковима доспећа обавеза,</w:t>
      </w:r>
    </w:p>
    <w:p w:rsidR="00114CA8" w:rsidRPr="00272017" w:rsidRDefault="00114CA8" w:rsidP="00114CA8">
      <w:pPr>
        <w:numPr>
          <w:ilvl w:val="0"/>
          <w:numId w:val="11"/>
        </w:numPr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одржавање усклађености валутне структуре имовине и обавеза Друштва,</w:t>
      </w:r>
    </w:p>
    <w:p w:rsidR="00114CA8" w:rsidRPr="00272017" w:rsidRDefault="00114CA8" w:rsidP="00114CA8">
      <w:pPr>
        <w:numPr>
          <w:ilvl w:val="0"/>
          <w:numId w:val="11"/>
        </w:numPr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избалансирани приступ инвестирању кроз максимизацију прихода водећи рачуна о односу сигурности улагања и стопи приноса на уложена средства,</w:t>
      </w:r>
    </w:p>
    <w:p w:rsidR="00114CA8" w:rsidRPr="00272017" w:rsidRDefault="00114CA8" w:rsidP="00114CA8">
      <w:pPr>
        <w:numPr>
          <w:ilvl w:val="0"/>
          <w:numId w:val="11"/>
        </w:numPr>
        <w:spacing w:before="60" w:after="60" w:line="276" w:lineRule="auto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дефинисање процедура за праћење бонитета банке, емитента или другог правног лица код кога су средства инвестирана,</w:t>
      </w:r>
    </w:p>
    <w:p w:rsidR="00114CA8" w:rsidRPr="00272017" w:rsidRDefault="00114CA8" w:rsidP="00114CA8">
      <w:pPr>
        <w:numPr>
          <w:ilvl w:val="0"/>
          <w:numId w:val="11"/>
        </w:numPr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у континуитету пројектовати, пратити и анализирати кретање висине техничких и гарантних резерви Друштва и извора за покриће ових резерви са циљем одржања солвентности Друштва,</w:t>
      </w:r>
    </w:p>
    <w:p w:rsidR="00114CA8" w:rsidRPr="00272017" w:rsidRDefault="00114CA8" w:rsidP="00114CA8">
      <w:pPr>
        <w:numPr>
          <w:ilvl w:val="0"/>
          <w:numId w:val="11"/>
        </w:numPr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редовно праћење кретања вредности ХоВ кроз сарадњу са корпоративним агентом и брокером Друштва и</w:t>
      </w:r>
    </w:p>
    <w:p w:rsidR="00114CA8" w:rsidRPr="00272017" w:rsidRDefault="00114CA8" w:rsidP="00114CA8">
      <w:pPr>
        <w:numPr>
          <w:ilvl w:val="0"/>
          <w:numId w:val="11"/>
        </w:numPr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редовно праћење тржишта инвестиционих некретнина, и других финансијских инстумената у циљу дисперзије улагања и максимизирања приноса,</w:t>
      </w:r>
    </w:p>
    <w:p w:rsidR="00114CA8" w:rsidRPr="00272017" w:rsidRDefault="00114CA8" w:rsidP="00114CA8">
      <w:pPr>
        <w:numPr>
          <w:ilvl w:val="0"/>
          <w:numId w:val="11"/>
        </w:numPr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редовно извештавање о стању инвестиционих средстава, реализацији плана, спровођењу инвестиционе политике са анализом евентуалних одступања и предлогом корективних мера уколико то буде потребно,</w:t>
      </w:r>
    </w:p>
    <w:p w:rsidR="00114CA8" w:rsidRPr="00272017" w:rsidRDefault="00114CA8" w:rsidP="00114CA8">
      <w:pPr>
        <w:numPr>
          <w:ilvl w:val="0"/>
          <w:numId w:val="11"/>
        </w:numPr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јасно дефинисање процедура, обавеза и одговорнисти свих запослених укључених у спровођење инвестиционе политике Друштва.</w:t>
      </w:r>
    </w:p>
    <w:p w:rsidR="00114CA8" w:rsidRPr="00272017" w:rsidRDefault="00114CA8" w:rsidP="00114CA8">
      <w:pPr>
        <w:pStyle w:val="Heading3"/>
        <w:tabs>
          <w:tab w:val="clear" w:pos="6870"/>
          <w:tab w:val="num" w:pos="1004"/>
        </w:tabs>
        <w:spacing w:before="360" w:after="360"/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40" w:name="_Toc433278686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Пословна политика система управљања                                                  и система интерних контрола</w:t>
      </w:r>
      <w:bookmarkEnd w:id="40"/>
    </w:p>
    <w:p w:rsidR="00114CA8" w:rsidRPr="00272017" w:rsidRDefault="00114CA8" w:rsidP="00114CA8">
      <w:pPr>
        <w:autoSpaceDE w:val="0"/>
        <w:autoSpaceDN w:val="0"/>
        <w:adjustRightInd w:val="0"/>
        <w:spacing w:before="48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Пословна политика система управљања обухвата:  </w:t>
      </w:r>
    </w:p>
    <w:p w:rsidR="00114CA8" w:rsidRPr="00272017" w:rsidRDefault="00114CA8" w:rsidP="00114CA8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редовно праћење усклађености пословања са прописима и интерним актима Друштва,</w:t>
      </w:r>
    </w:p>
    <w:p w:rsidR="00114CA8" w:rsidRPr="00272017" w:rsidRDefault="00114CA8" w:rsidP="00114CA8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континуирано унапређење постојећег и развијање нових модела управљања ризицима Друштва,</w:t>
      </w:r>
    </w:p>
    <w:p w:rsidR="00114CA8" w:rsidRPr="00272017" w:rsidRDefault="00114CA8" w:rsidP="00114CA8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континуирано унапређивање постојећих и развијање нових интерних контрола,</w:t>
      </w:r>
    </w:p>
    <w:p w:rsidR="00114CA8" w:rsidRPr="00272017" w:rsidRDefault="00114CA8" w:rsidP="00114CA8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професионално и одговорно руковођење ради повећања имовине и вредности Друштва и одржање адекватног нивоа капитала, </w:t>
      </w:r>
    </w:p>
    <w:p w:rsidR="00114CA8" w:rsidRPr="00272017" w:rsidRDefault="00114CA8" w:rsidP="00114CA8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политика управљања кадровима усмерена на остваривање успостављених пословних политика Друштва</w:t>
      </w:r>
    </w:p>
    <w:p w:rsidR="00114CA8" w:rsidRPr="00272017" w:rsidRDefault="00114CA8" w:rsidP="00114CA8">
      <w:pPr>
        <w:pStyle w:val="ListParagraph"/>
        <w:suppressAutoHyphens w:val="0"/>
        <w:autoSpaceDE w:val="0"/>
        <w:autoSpaceDN w:val="0"/>
        <w:adjustRightInd w:val="0"/>
        <w:spacing w:before="120" w:after="120" w:line="276" w:lineRule="auto"/>
        <w:ind w:left="71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и </w:t>
      </w:r>
    </w:p>
    <w:p w:rsidR="00114CA8" w:rsidRPr="00272017" w:rsidRDefault="00114CA8" w:rsidP="00114CA8">
      <w:pPr>
        <w:pStyle w:val="ListParagraph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висок ниво транспарентности и јавности у пословању Друштва.</w:t>
      </w:r>
    </w:p>
    <w:p w:rsidR="00114CA8" w:rsidRPr="00272017" w:rsidRDefault="00114CA8" w:rsidP="00114CA8">
      <w:pPr>
        <w:suppressAutoHyphens w:val="0"/>
        <w:autoSpaceDE w:val="0"/>
        <w:autoSpaceDN w:val="0"/>
        <w:adjustRightInd w:val="0"/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Друштво ће, у складу са Пословном политиком, усвојити Стратегију управљања ризицима којом ће дефинисати начине успостављања хоризонталне и вертикалне организације послова управљања ризицима, врсте ризика који су предмет праћења и управљања, као и процесе размене информација између функције управљања ризицима са једне стране и других организационих јединица и органа управљања и руковођења са друге стране.</w:t>
      </w:r>
    </w:p>
    <w:p w:rsidR="00114CA8" w:rsidRPr="00272017" w:rsidRDefault="00114CA8" w:rsidP="00114CA8">
      <w:pPr>
        <w:suppressAutoHyphens w:val="0"/>
        <w:autoSpaceDE w:val="0"/>
        <w:autoSpaceDN w:val="0"/>
        <w:adjustRightInd w:val="0"/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Пословне политике везане за управљање ризицима имају за циљ да обезбеде услове и претпоставке за минимизирање изложености ризику у дужем року, максимизирање способности друштва да апсорбује ризике (толеранција на ризик), реализацију пословних циљева, стратегија и оперативних планова, побољшање квалитета услуга и заштите интереса Цедената и осигураника, као и да обезбеде услове који ће информације о ризицима учинити доступним заинтересованој јавности.</w:t>
      </w:r>
    </w:p>
    <w:p w:rsidR="00114CA8" w:rsidRPr="00272017" w:rsidRDefault="00114CA8" w:rsidP="00114CA8">
      <w:pPr>
        <w:suppressAutoHyphens w:val="0"/>
        <w:autoSpaceDE w:val="0"/>
        <w:autoSpaceDN w:val="0"/>
        <w:adjustRightInd w:val="0"/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Друштво ће даље развијати систем интених контрола и управљања ризицима уз јасно дефинисање одговорности свих запослених, линија извештавања и кључних места интерних контрола.</w:t>
      </w:r>
    </w:p>
    <w:p w:rsidR="00114CA8" w:rsidRPr="00272017" w:rsidRDefault="00114CA8" w:rsidP="00114CA8">
      <w:pPr>
        <w:suppressAutoHyphens w:val="0"/>
        <w:autoSpaceDE w:val="0"/>
        <w:autoSpaceDN w:val="0"/>
        <w:adjustRightInd w:val="0"/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Друштво је успоставило систем интерних контрола који одговара сложености и ризичности посла, као и променама услова пословања који се могу предвидети, како би се спречила прекомерна изложеност ризицима, спречила незаконитост и неправилност у пословању, као и заштитили интереси цедената, корисника ино - партнера, трећих оштећених лица и других поверилаца.</w:t>
      </w:r>
    </w:p>
    <w:p w:rsidR="00114CA8" w:rsidRPr="00272017" w:rsidRDefault="00114CA8" w:rsidP="00114CA8">
      <w:pPr>
        <w:suppressAutoHyphens w:val="0"/>
        <w:autoSpaceDE w:val="0"/>
        <w:autoSpaceDN w:val="0"/>
        <w:adjustRightInd w:val="0"/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Даљи развој и унапређење система интерних контола обухватиће све сегмене пословних активности Друштва, а нарочито:</w:t>
      </w:r>
    </w:p>
    <w:p w:rsidR="00114CA8" w:rsidRPr="00272017" w:rsidRDefault="00114CA8" w:rsidP="00114CA8">
      <w:pPr>
        <w:pStyle w:val="ListParagraph"/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20" w:after="2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Праћење усклађености пословања Друштва са процедурама, усвојеним стратегијама, актима пословне политике и другим актима. </w:t>
      </w:r>
    </w:p>
    <w:p w:rsidR="00114CA8" w:rsidRPr="00272017" w:rsidRDefault="00114CA8" w:rsidP="00114CA8">
      <w:pPr>
        <w:pStyle w:val="ListParagraph"/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20" w:after="2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Процену остварених пословних резултата у односу на планове, као и анализу пословних резултата по врстама осигурања. У случају неочекиваних неповољних одступања, Друштво ће непрекидно спроводити мере које ће довести до испуњења пословног плана. </w:t>
      </w:r>
    </w:p>
    <w:p w:rsidR="00114CA8" w:rsidRPr="00272017" w:rsidRDefault="00114CA8" w:rsidP="00114CA8">
      <w:pPr>
        <w:pStyle w:val="ListParagraph"/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20" w:after="2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Контролу новчаних токова, пословних докумената и система обраде података о пословним променама.</w:t>
      </w:r>
    </w:p>
    <w:p w:rsidR="00114CA8" w:rsidRPr="00272017" w:rsidRDefault="00114CA8" w:rsidP="00114CA8">
      <w:pPr>
        <w:pStyle w:val="ListParagraph"/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20" w:after="2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Контролу поступака преузимања ризика и закључивања уговора о реосигурању. </w:t>
      </w:r>
    </w:p>
    <w:p w:rsidR="00114CA8" w:rsidRPr="00272017" w:rsidRDefault="00114CA8" w:rsidP="00114CA8">
      <w:pPr>
        <w:pStyle w:val="ListParagraph"/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20" w:after="2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Контролу поступака решавања одштетних захтева по основу исплате накнаде из реосигурања упућеним Друштву.</w:t>
      </w:r>
    </w:p>
    <w:p w:rsidR="00114CA8" w:rsidRPr="00272017" w:rsidRDefault="00114CA8" w:rsidP="00114CA8">
      <w:pPr>
        <w:pStyle w:val="ListParagraph"/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20" w:after="2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Праћење наплате потраживања, посебно потраживања по основу хартија од вредности, као и праћење бонитета правних лица у портфељу Друштва.</w:t>
      </w:r>
    </w:p>
    <w:p w:rsidR="00114CA8" w:rsidRPr="00272017" w:rsidRDefault="00114CA8" w:rsidP="00114CA8">
      <w:pPr>
        <w:pStyle w:val="ListParagraph"/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Контролу управљања имовином и обавезама. </w:t>
      </w:r>
    </w:p>
    <w:p w:rsidR="00114CA8" w:rsidRPr="00272017" w:rsidRDefault="00114CA8" w:rsidP="00114CA8">
      <w:pPr>
        <w:pStyle w:val="ListParagraph"/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Преиспитивање адекватности општих аката и аката пословне политике Друштва.</w:t>
      </w:r>
    </w:p>
    <w:p w:rsidR="00114CA8" w:rsidRPr="00272017" w:rsidRDefault="00114CA8" w:rsidP="00114CA8">
      <w:pPr>
        <w:pStyle w:val="ListParagraph"/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Контролу система одлучивања о појединим питањима и преношења овлашћења за ово одлучивање, спровођења одлука, спровођења правила о неспојивости одређених послова, спречавања сукоба интереса и сукоба делокруга организационих јединица Друштва.</w:t>
      </w:r>
    </w:p>
    <w:p w:rsidR="00114CA8" w:rsidRPr="00272017" w:rsidRDefault="00114CA8" w:rsidP="00114CA8">
      <w:pPr>
        <w:pStyle w:val="ListParagraph"/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Контролу поузданости информационог система и заштиту приступа подацима који се налазе у информационом систему.</w:t>
      </w:r>
    </w:p>
    <w:p w:rsidR="00114CA8" w:rsidRPr="00272017" w:rsidRDefault="00114CA8" w:rsidP="00114CA8">
      <w:pPr>
        <w:suppressAutoHyphens w:val="0"/>
        <w:autoSpaceDE w:val="0"/>
        <w:autoSpaceDN w:val="0"/>
        <w:adjustRightInd w:val="0"/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Професионално и одговорно руковођење ради повећања имовине и вредности и одржање адекватног нивоа капитала обухвата пажљиво планирање пословних активности усмерених на остварење пословних политика Друштва и континуирано праћење остварења у односу на планиране величине како би се благовремено предузеле корективне мере.</w:t>
      </w:r>
    </w:p>
    <w:p w:rsidR="00114CA8" w:rsidRPr="00272017" w:rsidRDefault="00114CA8" w:rsidP="00114CA8">
      <w:pPr>
        <w:suppressAutoHyphens w:val="0"/>
        <w:autoSpaceDE w:val="0"/>
        <w:autoSpaceDN w:val="0"/>
        <w:adjustRightInd w:val="0"/>
        <w:spacing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Друштво је успоставило организациону структуру и кадровску оспособљеност у складу са прописима на начин који у потпуности одговарају свим регулаторним захтевима и пословним процесима. Кадровска политика је усмерена на:</w:t>
      </w:r>
    </w:p>
    <w:p w:rsidR="00114CA8" w:rsidRPr="00272017" w:rsidRDefault="00114CA8" w:rsidP="00114CA8">
      <w:pPr>
        <w:pStyle w:val="ListParagraph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76" w:lineRule="auto"/>
        <w:ind w:left="1071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одржање високог нивоа стручности кроз развој људских потенцијала уз спровођење сталног стручног усавршавања запослених,</w:t>
      </w:r>
    </w:p>
    <w:p w:rsidR="00114CA8" w:rsidRPr="00272017" w:rsidRDefault="00114CA8" w:rsidP="00114CA8">
      <w:pPr>
        <w:pStyle w:val="ListParagraph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76" w:lineRule="auto"/>
        <w:ind w:left="1071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дефинисање јасне визије и мерљивих циљева запослених, као и улоге и одговорности сваког радног места и</w:t>
      </w:r>
    </w:p>
    <w:p w:rsidR="00114CA8" w:rsidRPr="00272017" w:rsidRDefault="00114CA8" w:rsidP="00114CA8">
      <w:pPr>
        <w:pStyle w:val="ListParagraph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 w:line="276" w:lineRule="auto"/>
        <w:ind w:left="1071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и успостављање подстицајног радног окружења кроз награђивање запослених у складу са оствареним резултатима рада.</w:t>
      </w:r>
    </w:p>
    <w:p w:rsidR="00114CA8" w:rsidRPr="00272017" w:rsidRDefault="00114CA8" w:rsidP="00114CA8">
      <w:pPr>
        <w:pStyle w:val="Heading3"/>
        <w:tabs>
          <w:tab w:val="clear" w:pos="6870"/>
          <w:tab w:val="num" w:pos="1004"/>
        </w:tabs>
        <w:spacing w:before="360" w:after="360"/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41" w:name="_Toc433278687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Пословна политика унапређења информационог система</w:t>
      </w:r>
      <w:bookmarkEnd w:id="41"/>
    </w:p>
    <w:p w:rsidR="00114CA8" w:rsidRPr="00272017" w:rsidRDefault="00114CA8" w:rsidP="00114CA8">
      <w:pPr>
        <w:pStyle w:val="BodyText"/>
        <w:spacing w:before="120" w:after="120" w:line="276" w:lineRule="auto"/>
        <w:ind w:firstLine="284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 </w:t>
      </w:r>
      <w:r w:rsidRPr="00272017">
        <w:rPr>
          <w:rFonts w:ascii="Verdana" w:hAnsi="Verdana" w:cs="Tahoma"/>
          <w:noProof/>
          <w:sz w:val="20"/>
          <w:szCs w:val="14"/>
          <w:lang w:val="sr-Cyrl-CS"/>
        </w:rPr>
        <w:t>Пословна политика унапређења информационог система базира се на:</w:t>
      </w:r>
    </w:p>
    <w:p w:rsidR="00114CA8" w:rsidRPr="00272017" w:rsidRDefault="00114CA8" w:rsidP="00114CA8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120" w:after="120" w:line="276" w:lineRule="auto"/>
        <w:ind w:left="986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повезивању и усклађивању пословног и информационог система кроз увођење нових решења као подршке унапређењу пословних система, </w:t>
      </w:r>
    </w:p>
    <w:p w:rsidR="00114CA8" w:rsidRPr="00272017" w:rsidRDefault="00114CA8" w:rsidP="00114CA8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120" w:after="120" w:line="276" w:lineRule="auto"/>
        <w:ind w:left="986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унапређењу хардверске и мрежне инфраструктуре и</w:t>
      </w:r>
    </w:p>
    <w:p w:rsidR="00114CA8" w:rsidRPr="00272017" w:rsidRDefault="00114CA8" w:rsidP="00114CA8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120" w:after="120" w:line="276" w:lineRule="auto"/>
        <w:ind w:left="986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успостављању сервисно оријентисане архитектуре. </w:t>
      </w:r>
    </w:p>
    <w:p w:rsidR="00114CA8" w:rsidRPr="00272017" w:rsidRDefault="00114CA8" w:rsidP="00114CA8">
      <w:pPr>
        <w:autoSpaceDE w:val="0"/>
        <w:autoSpaceDN w:val="0"/>
        <w:adjustRightInd w:val="0"/>
        <w:spacing w:before="120" w:after="120" w:line="276" w:lineRule="auto"/>
        <w:ind w:firstLine="284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Улагање у сервисе који подржавају пословне процесе омогућиће оптимизацију и искоришћење постојећих ресурса као и креирање трендова који ће временом резултовати уштедом капитала.</w:t>
      </w:r>
    </w:p>
    <w:p w:rsidR="00114CA8" w:rsidRPr="00272017" w:rsidRDefault="00114CA8" w:rsidP="00114CA8">
      <w:pPr>
        <w:autoSpaceDE w:val="0"/>
        <w:autoSpaceDN w:val="0"/>
        <w:adjustRightInd w:val="0"/>
        <w:spacing w:before="120" w:after="120" w:line="276" w:lineRule="auto"/>
        <w:ind w:firstLine="284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Као најважнију подршку спровођењу Пословне политике, Друштво је као један од најзначајнијих циљева дефинисало развој интегрисаног информационог система. </w:t>
      </w:r>
    </w:p>
    <w:p w:rsidR="00114CA8" w:rsidRPr="00272017" w:rsidRDefault="00114CA8" w:rsidP="00114CA8">
      <w:pPr>
        <w:autoSpaceDE w:val="0"/>
        <w:autoSpaceDN w:val="0"/>
        <w:adjustRightInd w:val="0"/>
        <w:spacing w:before="120" w:after="120" w:line="276" w:lineRule="auto"/>
        <w:ind w:firstLine="284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Друштво је поред реализације интегрисаног информационог система као кључне ИТ циљеве и доприносе остварењу пословних циљева идентификовало следеће:</w:t>
      </w:r>
    </w:p>
    <w:p w:rsidR="00114CA8" w:rsidRDefault="00114CA8" w:rsidP="00114CA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FD6BBF">
        <w:rPr>
          <w:rFonts w:ascii="Verdana" w:hAnsi="Verdana" w:cs="Tahoma"/>
          <w:noProof/>
          <w:sz w:val="20"/>
          <w:szCs w:val="14"/>
          <w:lang w:val="sr-Cyrl-CS"/>
        </w:rPr>
        <w:t>унапређење безбедности</w:t>
      </w:r>
      <w:r>
        <w:rPr>
          <w:rFonts w:ascii="Verdana" w:hAnsi="Verdana" w:cs="Tahoma"/>
          <w:noProof/>
          <w:sz w:val="20"/>
          <w:szCs w:val="14"/>
          <w:lang w:val="sr-Cyrl-CS"/>
        </w:rPr>
        <w:t xml:space="preserve"> информација</w:t>
      </w:r>
      <w:r w:rsidRPr="00FD6BBF">
        <w:rPr>
          <w:rFonts w:ascii="Verdana" w:hAnsi="Verdana" w:cs="Tahoma"/>
          <w:noProof/>
          <w:sz w:val="20"/>
          <w:szCs w:val="14"/>
          <w:lang w:val="sr-Cyrl-CS"/>
        </w:rPr>
        <w:t xml:space="preserve">, </w:t>
      </w:r>
    </w:p>
    <w:p w:rsidR="00114CA8" w:rsidRDefault="00114CA8" w:rsidP="00114CA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>
        <w:rPr>
          <w:rFonts w:ascii="Verdana" w:hAnsi="Verdana" w:cs="Tahoma"/>
          <w:noProof/>
          <w:sz w:val="20"/>
          <w:szCs w:val="14"/>
          <w:lang w:val="sr-Cyrl-CS"/>
        </w:rPr>
        <w:t>управљање планом континуитета пословања,</w:t>
      </w:r>
    </w:p>
    <w:p w:rsidR="00114CA8" w:rsidRPr="00272017" w:rsidRDefault="00114CA8" w:rsidP="00114CA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Развијање корпорацијског </w:t>
      </w:r>
      <w:r w:rsidRPr="00272017">
        <w:rPr>
          <w:rFonts w:ascii="Verdana" w:hAnsi="Verdana" w:cs="Tahoma"/>
          <w:i/>
          <w:noProof/>
          <w:sz w:val="20"/>
          <w:szCs w:val="14"/>
          <w:lang w:val="sr-Cyrl-CS"/>
        </w:rPr>
        <w:t>Web</w:t>
      </w: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 портала којим се остварује повезивање са пословним партнерима и корисницима на нивоу електронског пословања и испуњавање и последњег услова да Друштво настави раст и  подигне  квалитет услуга у складу са светским стандардима. Друштву је потребан </w:t>
      </w:r>
      <w:r w:rsidRPr="00272017">
        <w:rPr>
          <w:rFonts w:ascii="Verdana" w:hAnsi="Verdana" w:cs="Tahoma"/>
          <w:i/>
          <w:noProof/>
          <w:sz w:val="20"/>
          <w:szCs w:val="14"/>
          <w:lang w:val="sr-Cyrl-CS"/>
        </w:rPr>
        <w:t>Web</w:t>
      </w: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 портал који је функционалан и једноставан за  коришћење како би се повећала транспарентност, конкуретност и подизање нивоа квалитета услуга ка клијентима. Друштво ће обезбедити интеграцију </w:t>
      </w:r>
      <w:r w:rsidRPr="00272017">
        <w:rPr>
          <w:rFonts w:ascii="Verdana" w:hAnsi="Verdana" w:cs="Tahoma"/>
          <w:i/>
          <w:noProof/>
          <w:sz w:val="20"/>
          <w:szCs w:val="14"/>
          <w:lang w:val="sr-Cyrl-CS"/>
        </w:rPr>
        <w:t>Web</w:t>
      </w: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 портала Друштва  са подсистемима интегрисаног информационог система.</w:t>
      </w:r>
    </w:p>
    <w:p w:rsidR="00114CA8" w:rsidRPr="00272017" w:rsidRDefault="00114CA8" w:rsidP="00114CA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Развијање Интранет портала Друштва који је намењен запосленима у Друштву. Његова основна намена је да омогући повећање продуктивности рада запослених на једној интегрисаној платформи, убрзање размене знања и информација и доношење бржих и квалитетнијих одлука.</w:t>
      </w:r>
    </w:p>
    <w:p w:rsidR="00114CA8" w:rsidRPr="00272017" w:rsidRDefault="00114CA8" w:rsidP="00114CA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Поред развоја интегрисаног информационог система у наредном периоду биће неопходно остварити одговарајући ниво сарадње са екстерним добављачем новог информационог система који ће морати да пружи адекватни ниво апликативне подршке како би унапредио систем унутрашњих контрола и омогућио несметано одвијање кључних пословних процеса Друштва.</w:t>
      </w:r>
    </w:p>
    <w:p w:rsidR="00114CA8" w:rsidRPr="00272017" w:rsidRDefault="00114CA8" w:rsidP="00114CA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Друштво ће тежити даљем унапређењу ИТ процеса како би постигло потпуну усаглашеност са одредбама Одлуке НБС о минималним стандардима управљања информационим системом финансијске институције. </w:t>
      </w:r>
    </w:p>
    <w:p w:rsidR="00114CA8" w:rsidRPr="00272017" w:rsidRDefault="00114CA8" w:rsidP="00114CA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На плану ИТ инфраструктуре Друштво ће се понашати у складу са најновијим технолошким стандардима и тежити обнављању ИТ ресурса кад год буде било потребно, водећи рачуна да основне активности Друштва не буду угрожене.</w:t>
      </w:r>
    </w:p>
    <w:p w:rsidR="00114CA8" w:rsidRPr="00272017" w:rsidRDefault="00114CA8" w:rsidP="00114CA8">
      <w:pPr>
        <w:pStyle w:val="Heading3"/>
        <w:tabs>
          <w:tab w:val="clear" w:pos="6870"/>
          <w:tab w:val="num" w:pos="1004"/>
        </w:tabs>
        <w:spacing w:before="280" w:after="280"/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42" w:name="_Toc433278688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Пословна политика поверавања послова трећим лицима</w:t>
      </w:r>
      <w:bookmarkEnd w:id="42"/>
    </w:p>
    <w:p w:rsidR="00114CA8" w:rsidRPr="00272017" w:rsidRDefault="00114CA8" w:rsidP="00114CA8">
      <w:pPr>
        <w:autoSpaceDE w:val="0"/>
        <w:autoSpaceDN w:val="0"/>
        <w:adjustRightInd w:val="0"/>
        <w:spacing w:before="120" w:after="120" w:line="276" w:lineRule="auto"/>
        <w:ind w:firstLine="284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Друштво ће поверавање услуга трећим лицима вршити у ситуацији када се квалитет пружених услуга не може постићи интерним ресурсима и/или када је анализе упућују на то да је то економски оправдано.</w:t>
      </w:r>
    </w:p>
    <w:p w:rsidR="00114CA8" w:rsidRPr="00272017" w:rsidRDefault="00114CA8" w:rsidP="00114CA8">
      <w:pPr>
        <w:autoSpaceDE w:val="0"/>
        <w:autoSpaceDN w:val="0"/>
        <w:adjustRightInd w:val="0"/>
        <w:spacing w:before="120" w:after="120" w:line="276" w:lineRule="auto"/>
        <w:ind w:firstLine="284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Друштво ће поверити послове трећим лицима искључино уколико овакав ангажман не може довести до следећих последица: </w:t>
      </w:r>
    </w:p>
    <w:p w:rsidR="00114CA8" w:rsidRPr="00272017" w:rsidRDefault="00114CA8" w:rsidP="00114CA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неиспуњавања обавеза према корисницима услуге осигурања или угрожавања њихових права и интереса; </w:t>
      </w:r>
    </w:p>
    <w:p w:rsidR="00114CA8" w:rsidRPr="00272017" w:rsidRDefault="00114CA8" w:rsidP="00114CA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угрожавања пословања друштва; </w:t>
      </w:r>
    </w:p>
    <w:p w:rsidR="00114CA8" w:rsidRPr="00272017" w:rsidRDefault="00114CA8" w:rsidP="00114CA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значајног погоршања квалитета система управљања; </w:t>
      </w:r>
    </w:p>
    <w:p w:rsidR="00114CA8" w:rsidRPr="00272017" w:rsidRDefault="00114CA8" w:rsidP="00114CA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неоправданог повећања оперативног ризика; </w:t>
      </w:r>
    </w:p>
    <w:p w:rsidR="00114CA8" w:rsidRPr="00272017" w:rsidRDefault="00114CA8" w:rsidP="00114CA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онемогућавања или отежавања вршења надзора над пословањем друштва; </w:t>
      </w:r>
    </w:p>
    <w:p w:rsidR="00114CA8" w:rsidRPr="00272017" w:rsidRDefault="00114CA8" w:rsidP="00114CA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60" w:after="60" w:line="276" w:lineRule="auto"/>
        <w:ind w:left="714" w:hanging="35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сукоба интереса друштва и пружаоца услуга.</w:t>
      </w:r>
    </w:p>
    <w:p w:rsidR="00114CA8" w:rsidRPr="00272017" w:rsidRDefault="00114CA8" w:rsidP="00114CA8">
      <w:pPr>
        <w:autoSpaceDE w:val="0"/>
        <w:autoSpaceDN w:val="0"/>
        <w:adjustRightInd w:val="0"/>
        <w:spacing w:before="120" w:after="120" w:line="276" w:lineRule="auto"/>
        <w:ind w:firstLine="284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Приликом поверавања услуга трећим лицима, Друштво ће:</w:t>
      </w:r>
    </w:p>
    <w:p w:rsidR="00114CA8" w:rsidRPr="00272017" w:rsidRDefault="00114CA8" w:rsidP="00114CA8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извршити детаљну анализу потенцијалног пружаоца услуга која се односи на његову способност пружања услуга, финансијско стање и пословну репутацију; </w:t>
      </w:r>
    </w:p>
    <w:p w:rsidR="00114CA8" w:rsidRPr="00272017" w:rsidRDefault="00114CA8" w:rsidP="00114CA8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утврдити да ли прописи државе или држава у којима потенцијални пружалац услуга послује омогућују Народној банци Србије несметано вршење непосредне контроле тог пословања у делу који се односи на обављање поверених активности или је у вези с тим активностима и</w:t>
      </w:r>
    </w:p>
    <w:p w:rsidR="00114CA8" w:rsidRPr="00272017" w:rsidRDefault="00114CA8" w:rsidP="00114CA8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проценити могуће потешкоће и време потребно за избор другог пружаоца услуга, или могућност наставка обављања тих активности унутар финансијске институције у случају престанка пружања уговорених услуга, као и да с тим у вези донесе одговарајућу излазну стратегију.</w:t>
      </w:r>
    </w:p>
    <w:p w:rsidR="00114CA8" w:rsidRPr="00114CA8" w:rsidRDefault="00114CA8" w:rsidP="00114CA8">
      <w:pPr>
        <w:autoSpaceDE w:val="0"/>
        <w:autoSpaceDN w:val="0"/>
        <w:adjustRightInd w:val="0"/>
        <w:spacing w:before="120" w:after="120" w:line="276" w:lineRule="auto"/>
        <w:ind w:firstLine="284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Друштво ће активности поверавања послова трећим лицима спроводити уз поштовање прописа и интерних аката.</w:t>
      </w:r>
    </w:p>
    <w:p w:rsidR="00114CA8" w:rsidRDefault="00114CA8" w:rsidP="00114CA8">
      <w:pPr>
        <w:suppressAutoHyphens w:val="0"/>
        <w:autoSpaceDE w:val="0"/>
        <w:autoSpaceDN w:val="0"/>
        <w:adjustRightInd w:val="0"/>
        <w:spacing w:after="60" w:line="276" w:lineRule="auto"/>
        <w:contextualSpacing/>
        <w:jc w:val="both"/>
        <w:rPr>
          <w:rFonts w:ascii="Verdana" w:eastAsia="Calibri" w:hAnsi="Verdana"/>
          <w:noProof/>
          <w:sz w:val="20"/>
          <w:szCs w:val="22"/>
          <w:lang w:val="sr-Latn-RS" w:eastAsia="en-US"/>
        </w:rPr>
      </w:pPr>
    </w:p>
    <w:p w:rsidR="00114CA8" w:rsidRPr="00272017" w:rsidRDefault="00114CA8" w:rsidP="00114CA8">
      <w:pPr>
        <w:pStyle w:val="Heading1"/>
        <w:numPr>
          <w:ilvl w:val="0"/>
          <w:numId w:val="3"/>
        </w:numPr>
        <w:tabs>
          <w:tab w:val="clear" w:pos="432"/>
        </w:tabs>
        <w:spacing w:after="360"/>
        <w:ind w:left="0" w:firstLine="0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43" w:name="_Toc433278689"/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ДЕЛАТНОСТ У СКЛАДУ СА ИЗДАТОМ ДОЗВОЛОМ ЗА РАД</w:t>
      </w:r>
      <w:bookmarkEnd w:id="43"/>
    </w:p>
    <w:p w:rsidR="00114CA8" w:rsidRPr="00272017" w:rsidRDefault="00114CA8" w:rsidP="00114CA8">
      <w:pPr>
        <w:autoSpaceDE w:val="0"/>
        <w:autoSpaceDN w:val="0"/>
        <w:adjustRightInd w:val="0"/>
        <w:spacing w:before="120" w:after="120" w:line="276" w:lineRule="auto"/>
        <w:ind w:firstLine="284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Акционарско друштво за реосигурање „Дунав Ре“ регистровано је у Агенцији за регистрацију привредних субјеката под бројем 43206 дана 22.07.2005. године као акционарско друштво за послове реосигурања (шифра делатности: 6520; назив делатности: Реосигурање).</w:t>
      </w:r>
    </w:p>
    <w:p w:rsidR="00114CA8" w:rsidRPr="00272017" w:rsidRDefault="00114CA8" w:rsidP="00114CA8">
      <w:pPr>
        <w:autoSpaceDE w:val="0"/>
        <w:autoSpaceDN w:val="0"/>
        <w:adjustRightInd w:val="0"/>
        <w:spacing w:before="120" w:after="120" w:line="276" w:lineRule="auto"/>
        <w:ind w:firstLine="284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Друштво се бави преузимањем у реосигурање, односно ретроцесију, ризика домаћих и иностраних осигуравајућих друштава (активни послови) и предајом у ретроцесију домаћим и иностраним реосигуравајућим друштвима вишкова ризика преузетих у реосигурање (пасивни послови). </w:t>
      </w:r>
    </w:p>
    <w:p w:rsidR="00114CA8" w:rsidRPr="00272017" w:rsidRDefault="00114CA8" w:rsidP="00114CA8">
      <w:pPr>
        <w:autoSpaceDE w:val="0"/>
        <w:autoSpaceDN w:val="0"/>
        <w:adjustRightInd w:val="0"/>
        <w:spacing w:before="120" w:after="120" w:line="276" w:lineRule="auto"/>
        <w:ind w:firstLine="284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Друштво успешно обавља функцију реосигуравајуће заштите осигураних ризика својих цедената уз уважавање општих економских начела и начела струке реосигурања и има дугогодишњу традицију обезбеђења реосигуравајућих покрића највећих ризика домаће привреде.</w:t>
      </w:r>
    </w:p>
    <w:p w:rsidR="00114CA8" w:rsidRPr="00272017" w:rsidRDefault="00114CA8" w:rsidP="00114CA8">
      <w:pPr>
        <w:autoSpaceDE w:val="0"/>
        <w:autoSpaceDN w:val="0"/>
        <w:adjustRightInd w:val="0"/>
        <w:spacing w:before="120" w:after="120" w:line="276" w:lineRule="auto"/>
        <w:ind w:firstLine="284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Друштво је током претходном периоду преузимало ризике како са домаћег, тако и са међународног тржишта. Преузимање ризика из иностранства првенствено је сведено на учешће у реосигуравајућим покрићима компанија са теријорије </w:t>
      </w:r>
      <w:r w:rsidRPr="00272017">
        <w:rPr>
          <w:rFonts w:ascii="Verdana" w:hAnsi="Verdana" w:cs="Tahoma"/>
          <w:i/>
          <w:noProof/>
          <w:sz w:val="20"/>
          <w:szCs w:val="14"/>
          <w:lang w:val="sr-Cyrl-CS"/>
        </w:rPr>
        <w:t>ех YU</w:t>
      </w: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 региона. Територија </w:t>
      </w:r>
      <w:r w:rsidRPr="00272017">
        <w:rPr>
          <w:rFonts w:ascii="Verdana" w:hAnsi="Verdana" w:cs="Tahoma"/>
          <w:i/>
          <w:noProof/>
          <w:sz w:val="20"/>
          <w:szCs w:val="14"/>
          <w:lang w:val="sr-Cyrl-CS"/>
        </w:rPr>
        <w:t>ех YU</w:t>
      </w:r>
      <w:r w:rsidRPr="00272017">
        <w:rPr>
          <w:rFonts w:ascii="Verdana" w:hAnsi="Verdana" w:cs="Tahoma"/>
          <w:noProof/>
          <w:sz w:val="20"/>
          <w:szCs w:val="14"/>
          <w:lang w:val="sr-Cyrl-CS"/>
        </w:rPr>
        <w:t xml:space="preserve"> региона, као један од критеријума преузимања ризика, је примењивана обзиром на могућност провере података, једнакост критеријума оцене ризика, сличност утицаја макро-економских елемената. За непокривене вишкове ризика обезбеђена је адекватна заштита, кроз програме ретроцесије.</w:t>
      </w:r>
    </w:p>
    <w:p w:rsidR="00114CA8" w:rsidRPr="00272017" w:rsidRDefault="00114CA8" w:rsidP="00114CA8">
      <w:pPr>
        <w:autoSpaceDE w:val="0"/>
        <w:autoSpaceDN w:val="0"/>
        <w:adjustRightInd w:val="0"/>
        <w:spacing w:before="240" w:after="240" w:line="276" w:lineRule="auto"/>
        <w:ind w:firstLine="284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rFonts w:ascii="Verdana" w:hAnsi="Verdana" w:cs="Tahoma"/>
          <w:noProof/>
          <w:sz w:val="20"/>
          <w:szCs w:val="14"/>
          <w:lang w:val="sr-Cyrl-CS"/>
        </w:rPr>
        <w:t>Праћењем трендова нашег и светског тржишта реосигурања и захваљујући својим стручним тимовима Друштво дуги низ година одржава репутацију поузданог реосигуравача.</w:t>
      </w:r>
    </w:p>
    <w:p w:rsidR="00114CA8" w:rsidRPr="00272017" w:rsidRDefault="00114CA8" w:rsidP="00114CA8">
      <w:pPr>
        <w:pStyle w:val="Heading1"/>
        <w:numPr>
          <w:ilvl w:val="0"/>
          <w:numId w:val="3"/>
        </w:numPr>
        <w:tabs>
          <w:tab w:val="clear" w:pos="432"/>
        </w:tabs>
        <w:spacing w:before="360" w:after="480"/>
        <w:ind w:left="0" w:firstLine="0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44" w:name="_Toc433278690"/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ПРОГРАМ</w:t>
      </w:r>
      <w:r>
        <w:rPr>
          <w:rFonts w:ascii="Verdana" w:hAnsi="Verdana" w:cs="Tahoma"/>
          <w:noProof/>
          <w:color w:val="365F91"/>
          <w:sz w:val="24"/>
          <w:szCs w:val="18"/>
          <w:lang w:val="sr-Latn-RS"/>
        </w:rPr>
        <w:t xml:space="preserve"> </w:t>
      </w:r>
      <w:r>
        <w:rPr>
          <w:rFonts w:ascii="Verdana" w:hAnsi="Verdana" w:cs="Tahoma"/>
          <w:noProof/>
          <w:color w:val="365F91"/>
          <w:sz w:val="24"/>
          <w:szCs w:val="18"/>
          <w:lang w:val="sr-Cyrl-RS"/>
        </w:rPr>
        <w:t>ПРЕДВИЂЕНЕ РЕТРОЦЕСИЈЕ</w:t>
      </w:r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 xml:space="preserve"> РЕТРОЦЕСИЈЕ</w:t>
      </w:r>
      <w:bookmarkEnd w:id="44"/>
    </w:p>
    <w:p w:rsidR="00114CA8" w:rsidRPr="00272017" w:rsidRDefault="00114CA8" w:rsidP="00114CA8">
      <w:pPr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Друштво спроводи политику ретроцесије поштујући пословну политику одржања стабилности пословања. Поред законске обавезе да ретроцедира ризике преко масималног самопридржаја, Друштво спроводи анализе преузетих ризика и утврђује оптималан однос како у погледу висине задржаног ризика, тако и у погледу врсте уговора о ретроцесији којим би се обезбедила најадекватнија заштита и структура портфеља.</w:t>
      </w:r>
    </w:p>
    <w:p w:rsidR="00114CA8" w:rsidRPr="00272017" w:rsidRDefault="00114CA8" w:rsidP="00114CA8">
      <w:pPr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Адекватна ретроцесија пружа могућност управљања преузетим ризицима кроз лимитирање одговорности на посебним ризицима, стабилизацију резултата и побољшање комбинованог рација, обезбеђује заштиту од катастрофа и повећа обухват, односно портфељ реосигурања. У зависности од спроведене анализе преузетих ризика Друштво склапа све врсте уговора о ретроцесији.  </w:t>
      </w:r>
    </w:p>
    <w:p w:rsidR="00114CA8" w:rsidRPr="00272017" w:rsidRDefault="00114CA8" w:rsidP="00114CA8">
      <w:pPr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Поред законске обавезе, при одређивању услова и начина спровођења програма ретроцесије Друштво се руководи следећим принципима: </w:t>
      </w:r>
    </w:p>
    <w:p w:rsidR="00114CA8" w:rsidRPr="00272017" w:rsidRDefault="00114CA8" w:rsidP="00114CA8">
      <w:pPr>
        <w:pStyle w:val="ListParagraph"/>
        <w:numPr>
          <w:ilvl w:val="0"/>
          <w:numId w:val="16"/>
        </w:numPr>
        <w:spacing w:before="240" w:after="24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сигурност и заштита имовине Цедената;</w:t>
      </w:r>
    </w:p>
    <w:p w:rsidR="00114CA8" w:rsidRPr="00272017" w:rsidRDefault="00114CA8" w:rsidP="00114CA8">
      <w:pPr>
        <w:pStyle w:val="ListParagraph"/>
        <w:numPr>
          <w:ilvl w:val="0"/>
          <w:numId w:val="16"/>
        </w:numPr>
        <w:spacing w:before="240" w:after="24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заштита капитала Друштва и њихових акционара, </w:t>
      </w:r>
    </w:p>
    <w:p w:rsidR="00114CA8" w:rsidRPr="00272017" w:rsidRDefault="00114CA8" w:rsidP="00114CA8">
      <w:pPr>
        <w:pStyle w:val="ListParagraph"/>
        <w:numPr>
          <w:ilvl w:val="0"/>
          <w:numId w:val="16"/>
        </w:numPr>
        <w:spacing w:before="240" w:after="24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стабилизација и ограничавање годишњих флуктуација у штетама, </w:t>
      </w:r>
    </w:p>
    <w:p w:rsidR="00114CA8" w:rsidRPr="00272017" w:rsidRDefault="00114CA8" w:rsidP="00114CA8">
      <w:pPr>
        <w:pStyle w:val="ListParagraph"/>
        <w:numPr>
          <w:ilvl w:val="0"/>
          <w:numId w:val="16"/>
        </w:numPr>
        <w:spacing w:before="240" w:after="24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повећање властитих капацитета за прихватање већих и сложенијих ризика, </w:t>
      </w:r>
    </w:p>
    <w:p w:rsidR="00114CA8" w:rsidRPr="00272017" w:rsidRDefault="00114CA8" w:rsidP="00114CA8">
      <w:pPr>
        <w:pStyle w:val="ListParagraph"/>
        <w:numPr>
          <w:ilvl w:val="0"/>
          <w:numId w:val="16"/>
        </w:numPr>
        <w:spacing w:before="240" w:after="24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одржавање солвентности и сигурности како Цедената тако и самог Друштва.</w:t>
      </w:r>
    </w:p>
    <w:p w:rsidR="00114CA8" w:rsidRPr="00272017" w:rsidRDefault="00114CA8" w:rsidP="00114CA8">
      <w:pPr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У досадашњем периоду Друштво је стекло углед реосигуравача са дугом традицијом пословања на ино тржишту и поседује јаке пословне везe. Приликом пласирања ризика у иностранство, Друштво нарочито води рачуна о бонитету и досадашњем искуству у сарадњи са ино партнерима, па сарадњу остварује са реосигуравачима високог рејтинга </w:t>
      </w:r>
      <w:r w:rsidRPr="00272017">
        <w:rPr>
          <w:rFonts w:ascii="Verdana" w:eastAsia="Calibri" w:hAnsi="Verdana"/>
          <w:i/>
          <w:noProof/>
          <w:sz w:val="20"/>
          <w:szCs w:val="22"/>
          <w:lang w:val="sr-Cyrl-CS" w:eastAsia="en-US"/>
        </w:rPr>
        <w:t>Standard &amp; Poor's</w:t>
      </w: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.</w:t>
      </w:r>
    </w:p>
    <w:p w:rsidR="00114CA8" w:rsidRPr="00272017" w:rsidRDefault="00114CA8" w:rsidP="00114CA8">
      <w:pPr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У складу са дефинисаном пословном политиком, Друштво врши директно уговарање послова, без учешћа брокера, свуда где је то могуће, док услуге ино-брокера користи са циљем постизања конкурентније цене, веће диверсификације и обезбеђења нових производа.</w:t>
      </w:r>
    </w:p>
    <w:p w:rsidR="00114CA8" w:rsidRDefault="00114CA8" w:rsidP="00114CA8">
      <w:pPr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Друштво ће и у наредном периоду наставити са унапређењем сарадње са реосигуавајућим друштвима у земљи и региону.</w:t>
      </w:r>
    </w:p>
    <w:p w:rsidR="00114CA8" w:rsidRDefault="00114CA8" w:rsidP="00114CA8">
      <w:pPr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</w:p>
    <w:p w:rsidR="00114CA8" w:rsidRPr="00272017" w:rsidRDefault="00114CA8" w:rsidP="00114CA8">
      <w:pPr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</w:p>
    <w:p w:rsidR="00114CA8" w:rsidRPr="00272017" w:rsidRDefault="00114CA8" w:rsidP="00114CA8">
      <w:pPr>
        <w:spacing w:line="276" w:lineRule="auto"/>
        <w:ind w:firstLine="284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Учешће вишкова ризика пренетих у ретроцесију                                                  у укупно преузетим ризицима реосигурања</w:t>
      </w:r>
    </w:p>
    <w:p w:rsidR="00114CA8" w:rsidRPr="00272017" w:rsidRDefault="00114CA8" w:rsidP="00114CA8">
      <w:pPr>
        <w:spacing w:line="276" w:lineRule="auto"/>
        <w:ind w:firstLine="284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>
        <w:rPr>
          <w:rFonts w:ascii="Verdana" w:eastAsia="Calibri" w:hAnsi="Verdana"/>
          <w:b/>
          <w:bCs/>
          <w:i/>
          <w:iCs/>
          <w:noProof/>
          <w:color w:val="4F81BD"/>
          <w:sz w:val="2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97754D" wp14:editId="027BCC3D">
                <wp:simplePos x="0" y="0"/>
                <wp:positionH relativeFrom="column">
                  <wp:posOffset>14605</wp:posOffset>
                </wp:positionH>
                <wp:positionV relativeFrom="paragraph">
                  <wp:posOffset>185420</wp:posOffset>
                </wp:positionV>
                <wp:extent cx="850900" cy="170180"/>
                <wp:effectExtent l="0" t="0" r="25400" b="2032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0900" cy="1701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.15pt;margin-top:14.6pt;width:67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" fillcolor="#dbe5f1 [660]" strokecolor="#243f60 [1604]" strokeweight="2pt">
                <v:path arrowok="t"/>
              </v:rect>
            </w:pict>
          </mc:Fallback>
        </mc:AlternateContent>
      </w: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на дан 31.12.2014. године</w:t>
      </w:r>
    </w:p>
    <w:p w:rsidR="00114CA8" w:rsidRPr="00272017" w:rsidRDefault="00114CA8" w:rsidP="00114CA8">
      <w:pPr>
        <w:ind w:left="1418" w:firstLine="22"/>
        <w:rPr>
          <w:noProof/>
          <w:lang w:val="sr-Cyrl-CS"/>
        </w:rPr>
      </w:pPr>
      <w:r>
        <w:rPr>
          <w:rFonts w:ascii="Verdana" w:eastAsia="Calibri" w:hAnsi="Verdana"/>
          <w:b/>
          <w:bCs/>
          <w:i/>
          <w:iCs/>
          <w:noProof/>
          <w:color w:val="4F81BD"/>
          <w:sz w:val="2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56FBA7" wp14:editId="3E01180D">
                <wp:simplePos x="0" y="0"/>
                <wp:positionH relativeFrom="column">
                  <wp:posOffset>3204845</wp:posOffset>
                </wp:positionH>
                <wp:positionV relativeFrom="paragraph">
                  <wp:posOffset>12700</wp:posOffset>
                </wp:positionV>
                <wp:extent cx="850265" cy="169545"/>
                <wp:effectExtent l="0" t="0" r="26035" b="2095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0265" cy="16954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52.35pt;margin-top:1pt;width:66.95pt;height:13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" fillcolor="#4f81bd [3204]" strokecolor="#243f60 [1604]" strokeweight="2pt">
                <v:path arrowok="t"/>
              </v:rect>
            </w:pict>
          </mc:Fallback>
        </mc:AlternateContent>
      </w:r>
      <w:r w:rsidRPr="00272017">
        <w:rPr>
          <w:noProof/>
          <w:lang w:val="sr-Cyrl-CS"/>
        </w:rPr>
        <w:t xml:space="preserve">- </w:t>
      </w: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ризици задржани </w:t>
      </w:r>
      <w:r w:rsidRPr="00272017">
        <w:rPr>
          <w:noProof/>
          <w:lang w:val="sr-Cyrl-CS"/>
        </w:rPr>
        <w:t xml:space="preserve"> </w:t>
      </w:r>
      <w:r w:rsidRPr="00272017">
        <w:rPr>
          <w:noProof/>
          <w:lang w:val="sr-Cyrl-CS"/>
        </w:rPr>
        <w:tab/>
      </w:r>
      <w:r w:rsidRPr="00272017">
        <w:rPr>
          <w:noProof/>
          <w:lang w:val="sr-Cyrl-CS"/>
        </w:rPr>
        <w:tab/>
      </w:r>
      <w:r w:rsidRPr="00272017">
        <w:rPr>
          <w:noProof/>
          <w:lang w:val="sr-Cyrl-CS"/>
        </w:rPr>
        <w:tab/>
      </w:r>
      <w:r w:rsidRPr="00272017">
        <w:rPr>
          <w:noProof/>
          <w:lang w:val="sr-Cyrl-CS"/>
        </w:rPr>
        <w:tab/>
      </w:r>
      <w:r w:rsidRPr="00272017">
        <w:rPr>
          <w:noProof/>
          <w:lang w:val="sr-Cyrl-CS"/>
        </w:rPr>
        <w:tab/>
      </w: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– вишкови ризика пренети  </w:t>
      </w:r>
      <w:r w:rsidRPr="00272017">
        <w:rPr>
          <w:rFonts w:ascii="Verdana" w:eastAsia="Calibri" w:hAnsi="Verdana"/>
          <w:noProof/>
          <w:sz w:val="2"/>
          <w:szCs w:val="2"/>
          <w:lang w:val="sr-Cyrl-CS" w:eastAsia="en-US"/>
        </w:rPr>
        <w:t xml:space="preserve">.  </w:t>
      </w:r>
      <w:r w:rsidRPr="00272017">
        <w:rPr>
          <w:rFonts w:ascii="Verdana" w:eastAsia="Calibri" w:hAnsi="Verdana"/>
          <w:noProof/>
          <w:sz w:val="22"/>
          <w:szCs w:val="22"/>
          <w:lang w:val="sr-Cyrl-CS" w:eastAsia="en-US"/>
        </w:rPr>
        <w:t xml:space="preserve">  </w:t>
      </w: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у самопридржају</w:t>
      </w:r>
      <w:r w:rsidRPr="00272017">
        <w:rPr>
          <w:rFonts w:ascii="Verdana" w:eastAsia="Calibri" w:hAnsi="Verdana"/>
          <w:noProof/>
          <w:sz w:val="2"/>
          <w:szCs w:val="2"/>
          <w:lang w:val="sr-Cyrl-CS" w:eastAsia="en-US"/>
        </w:rPr>
        <w:t xml:space="preserve">.      </w:t>
      </w:r>
      <w:r w:rsidRPr="00272017">
        <w:rPr>
          <w:rFonts w:ascii="Verdana" w:eastAsia="Calibri" w:hAnsi="Verdana"/>
          <w:noProof/>
          <w:sz w:val="22"/>
          <w:szCs w:val="22"/>
          <w:lang w:val="sr-Cyrl-CS" w:eastAsia="en-US"/>
        </w:rPr>
        <w:t xml:space="preserve">  </w:t>
      </w:r>
      <w:r w:rsidRPr="00272017">
        <w:rPr>
          <w:rFonts w:ascii="Verdana" w:eastAsia="Calibri" w:hAnsi="Verdana"/>
          <w:noProof/>
          <w:sz w:val="22"/>
          <w:szCs w:val="22"/>
          <w:lang w:val="sr-Cyrl-CS" w:eastAsia="en-US"/>
        </w:rPr>
        <w:tab/>
      </w:r>
      <w:r w:rsidRPr="00272017">
        <w:rPr>
          <w:rFonts w:ascii="Verdana" w:eastAsia="Calibri" w:hAnsi="Verdana"/>
          <w:noProof/>
          <w:sz w:val="22"/>
          <w:szCs w:val="22"/>
          <w:lang w:val="sr-Cyrl-CS" w:eastAsia="en-US"/>
        </w:rPr>
        <w:tab/>
      </w:r>
      <w:r w:rsidRPr="00272017">
        <w:rPr>
          <w:rFonts w:ascii="Verdana" w:eastAsia="Calibri" w:hAnsi="Verdana"/>
          <w:noProof/>
          <w:sz w:val="22"/>
          <w:szCs w:val="22"/>
          <w:lang w:val="sr-Cyrl-CS" w:eastAsia="en-US"/>
        </w:rPr>
        <w:tab/>
      </w:r>
      <w:r w:rsidRPr="00272017">
        <w:rPr>
          <w:rFonts w:ascii="Verdana" w:eastAsia="Calibri" w:hAnsi="Verdana"/>
          <w:noProof/>
          <w:sz w:val="22"/>
          <w:szCs w:val="22"/>
          <w:lang w:val="sr-Cyrl-CS" w:eastAsia="en-US"/>
        </w:rPr>
        <w:tab/>
      </w:r>
      <w:r w:rsidRPr="00272017">
        <w:rPr>
          <w:rFonts w:ascii="Verdana" w:eastAsia="Calibri" w:hAnsi="Verdana"/>
          <w:noProof/>
          <w:sz w:val="22"/>
          <w:szCs w:val="22"/>
          <w:lang w:val="sr-Cyrl-CS" w:eastAsia="en-US"/>
        </w:rPr>
        <w:tab/>
        <w:t xml:space="preserve">   </w:t>
      </w: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у реторцесију</w:t>
      </w:r>
    </w:p>
    <w:p w:rsidR="00114CA8" w:rsidRPr="00272017" w:rsidRDefault="00114CA8" w:rsidP="00114CA8">
      <w:pPr>
        <w:autoSpaceDE w:val="0"/>
        <w:autoSpaceDN w:val="0"/>
        <w:adjustRightInd w:val="0"/>
        <w:spacing w:before="120" w:after="120" w:line="276" w:lineRule="auto"/>
        <w:ind w:hanging="567"/>
        <w:jc w:val="both"/>
        <w:rPr>
          <w:rFonts w:ascii="Verdana" w:hAnsi="Verdana" w:cs="Tahoma"/>
          <w:noProof/>
          <w:sz w:val="20"/>
          <w:szCs w:val="14"/>
          <w:lang w:val="sr-Cyrl-CS"/>
        </w:rPr>
      </w:pPr>
      <w:r w:rsidRPr="00272017">
        <w:rPr>
          <w:noProof/>
          <w:lang w:val="sr-Latn-RS" w:eastAsia="sr-Latn-RS"/>
        </w:rPr>
        <w:drawing>
          <wp:inline distT="0" distB="0" distL="0" distR="0" wp14:anchorId="4B048828" wp14:editId="07E853C8">
            <wp:extent cx="6750996" cy="5418306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14CA8" w:rsidRPr="00272017" w:rsidRDefault="00114CA8" w:rsidP="00114CA8">
      <w:pPr>
        <w:autoSpaceDE w:val="0"/>
        <w:autoSpaceDN w:val="0"/>
        <w:adjustRightInd w:val="0"/>
        <w:spacing w:line="276" w:lineRule="auto"/>
        <w:ind w:hanging="567"/>
        <w:jc w:val="both"/>
        <w:rPr>
          <w:rFonts w:ascii="Verdana" w:hAnsi="Verdana" w:cs="Tahoma"/>
          <w:noProof/>
          <w:sz w:val="16"/>
          <w:szCs w:val="14"/>
          <w:lang w:val="sr-Cyrl-CS"/>
        </w:rPr>
      </w:pPr>
      <w:r w:rsidRPr="00272017">
        <w:rPr>
          <w:rFonts w:ascii="Verdana" w:hAnsi="Verdana" w:cs="Tahoma"/>
          <w:noProof/>
          <w:sz w:val="16"/>
          <w:szCs w:val="14"/>
          <w:lang w:val="sr-Cyrl-CS"/>
        </w:rPr>
        <w:t xml:space="preserve">Легенда: </w:t>
      </w:r>
    </w:p>
    <w:p w:rsidR="00114CA8" w:rsidRDefault="00114CA8" w:rsidP="00114CA8">
      <w:pPr>
        <w:autoSpaceDE w:val="0"/>
        <w:autoSpaceDN w:val="0"/>
        <w:adjustRightInd w:val="0"/>
        <w:spacing w:line="276" w:lineRule="auto"/>
        <w:ind w:hanging="567"/>
        <w:jc w:val="both"/>
        <w:rPr>
          <w:rFonts w:ascii="Verdana" w:hAnsi="Verdana" w:cs="Tahoma"/>
          <w:noProof/>
          <w:sz w:val="16"/>
          <w:szCs w:val="14"/>
          <w:lang w:val="sr-Latn-RS"/>
        </w:rPr>
      </w:pPr>
      <w:r w:rsidRPr="00272017">
        <w:rPr>
          <w:noProof/>
          <w:lang w:val="sr-Latn-RS" w:eastAsia="sr-Latn-RS"/>
        </w:rPr>
        <w:drawing>
          <wp:inline distT="0" distB="0" distL="0" distR="0" wp14:anchorId="76E2CCAF" wp14:editId="75D35C24">
            <wp:extent cx="6838545" cy="1118681"/>
            <wp:effectExtent l="0" t="0" r="635" b="5715"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 preferRelativeResize="0"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46143" cy="1119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4CA8" w:rsidRDefault="00114CA8" w:rsidP="00114CA8">
      <w:pPr>
        <w:suppressAutoHyphens w:val="0"/>
        <w:autoSpaceDE w:val="0"/>
        <w:autoSpaceDN w:val="0"/>
        <w:adjustRightInd w:val="0"/>
        <w:spacing w:after="60" w:line="276" w:lineRule="auto"/>
        <w:contextualSpacing/>
        <w:jc w:val="both"/>
        <w:rPr>
          <w:rFonts w:ascii="Verdana" w:eastAsia="Calibri" w:hAnsi="Verdana"/>
          <w:noProof/>
          <w:sz w:val="20"/>
          <w:szCs w:val="22"/>
          <w:lang w:val="sr-Latn-RS" w:eastAsia="en-US"/>
        </w:rPr>
      </w:pPr>
    </w:p>
    <w:p w:rsidR="00114CA8" w:rsidRDefault="00114CA8" w:rsidP="00114CA8">
      <w:pPr>
        <w:suppressAutoHyphens w:val="0"/>
        <w:autoSpaceDE w:val="0"/>
        <w:autoSpaceDN w:val="0"/>
        <w:adjustRightInd w:val="0"/>
        <w:spacing w:after="60" w:line="276" w:lineRule="auto"/>
        <w:contextualSpacing/>
        <w:jc w:val="both"/>
        <w:rPr>
          <w:rFonts w:ascii="Verdana" w:eastAsia="Calibri" w:hAnsi="Verdana"/>
          <w:noProof/>
          <w:sz w:val="20"/>
          <w:szCs w:val="22"/>
          <w:lang w:val="sr-Latn-RS" w:eastAsia="en-US"/>
        </w:rPr>
      </w:pPr>
    </w:p>
    <w:p w:rsidR="002560FB" w:rsidRPr="00272017" w:rsidRDefault="002560FB" w:rsidP="002560FB">
      <w:pPr>
        <w:pStyle w:val="Heading1"/>
        <w:numPr>
          <w:ilvl w:val="0"/>
          <w:numId w:val="3"/>
        </w:numPr>
        <w:tabs>
          <w:tab w:val="clear" w:pos="432"/>
        </w:tabs>
        <w:spacing w:before="360" w:after="480"/>
        <w:ind w:left="0" w:firstLine="0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45" w:name="_Toc433278691"/>
      <w:r>
        <w:rPr>
          <w:rFonts w:ascii="Verdana" w:hAnsi="Verdana" w:cs="Tahoma"/>
          <w:noProof/>
          <w:color w:val="365F91"/>
          <w:sz w:val="24"/>
          <w:szCs w:val="18"/>
          <w:lang w:val="sr-Cyrl-CS"/>
        </w:rPr>
        <w:t>ПРОЦЕНА ЗАХТЕВАНЕ МАРГИНЕ СОЛВЕНТНОСТИ</w:t>
      </w:r>
      <w:bookmarkEnd w:id="45"/>
      <w:r>
        <w:rPr>
          <w:rFonts w:ascii="Verdana" w:hAnsi="Verdana" w:cs="Tahoma"/>
          <w:noProof/>
          <w:color w:val="365F91"/>
          <w:sz w:val="24"/>
          <w:szCs w:val="18"/>
          <w:lang w:val="sr-Cyrl-CS"/>
        </w:rPr>
        <w:t xml:space="preserve"> </w:t>
      </w:r>
    </w:p>
    <w:p w:rsidR="002560FB" w:rsidRPr="002560FB" w:rsidRDefault="002560FB" w:rsidP="002560FB">
      <w:pPr>
        <w:pStyle w:val="ListParagraph"/>
        <w:keepNext/>
        <w:numPr>
          <w:ilvl w:val="0"/>
          <w:numId w:val="48"/>
        </w:numPr>
        <w:spacing w:before="240" w:after="240"/>
        <w:outlineLvl w:val="0"/>
        <w:rPr>
          <w:rFonts w:ascii="Verdana" w:hAnsi="Verdana" w:cs="Tahoma"/>
          <w:b/>
          <w:bCs/>
          <w:noProof/>
          <w:vanish/>
          <w:color w:val="365F91"/>
          <w:szCs w:val="18"/>
          <w:lang w:val="sr-Cyrl-CS"/>
        </w:rPr>
      </w:pPr>
      <w:bookmarkStart w:id="46" w:name="_Toc433009540"/>
      <w:bookmarkStart w:id="47" w:name="_Toc433026500"/>
      <w:bookmarkStart w:id="48" w:name="_Toc433278692"/>
      <w:bookmarkEnd w:id="46"/>
      <w:bookmarkEnd w:id="47"/>
      <w:bookmarkEnd w:id="48"/>
    </w:p>
    <w:p w:rsidR="002560FB" w:rsidRPr="002560FB" w:rsidRDefault="002560FB" w:rsidP="002560FB">
      <w:pPr>
        <w:pStyle w:val="ListParagraph"/>
        <w:keepNext/>
        <w:numPr>
          <w:ilvl w:val="0"/>
          <w:numId w:val="48"/>
        </w:numPr>
        <w:spacing w:before="240" w:after="240"/>
        <w:outlineLvl w:val="0"/>
        <w:rPr>
          <w:rFonts w:ascii="Verdana" w:hAnsi="Verdana" w:cs="Tahoma"/>
          <w:b/>
          <w:bCs/>
          <w:noProof/>
          <w:vanish/>
          <w:color w:val="365F91"/>
          <w:szCs w:val="18"/>
          <w:lang w:val="sr-Cyrl-CS"/>
        </w:rPr>
      </w:pPr>
      <w:bookmarkStart w:id="49" w:name="_Toc433009541"/>
      <w:bookmarkStart w:id="50" w:name="_Toc433026501"/>
      <w:bookmarkStart w:id="51" w:name="_Toc433278693"/>
      <w:bookmarkEnd w:id="49"/>
      <w:bookmarkEnd w:id="50"/>
      <w:bookmarkEnd w:id="51"/>
    </w:p>
    <w:p w:rsidR="002560FB" w:rsidRPr="002560FB" w:rsidRDefault="002560FB" w:rsidP="002560FB">
      <w:pPr>
        <w:pStyle w:val="ListParagraph"/>
        <w:keepNext/>
        <w:numPr>
          <w:ilvl w:val="0"/>
          <w:numId w:val="48"/>
        </w:numPr>
        <w:spacing w:before="240" w:after="240"/>
        <w:outlineLvl w:val="0"/>
        <w:rPr>
          <w:rFonts w:ascii="Verdana" w:hAnsi="Verdana" w:cs="Tahoma"/>
          <w:b/>
          <w:bCs/>
          <w:noProof/>
          <w:vanish/>
          <w:color w:val="365F91"/>
          <w:szCs w:val="18"/>
          <w:lang w:val="sr-Cyrl-CS"/>
        </w:rPr>
      </w:pPr>
      <w:bookmarkStart w:id="52" w:name="_Toc433009542"/>
      <w:bookmarkStart w:id="53" w:name="_Toc433026502"/>
      <w:bookmarkStart w:id="54" w:name="_Toc433278694"/>
      <w:bookmarkEnd w:id="52"/>
      <w:bookmarkEnd w:id="53"/>
      <w:bookmarkEnd w:id="54"/>
    </w:p>
    <w:p w:rsidR="002560FB" w:rsidRPr="002560FB" w:rsidRDefault="002560FB" w:rsidP="002560FB">
      <w:pPr>
        <w:pStyle w:val="ListParagraph"/>
        <w:keepNext/>
        <w:numPr>
          <w:ilvl w:val="0"/>
          <w:numId w:val="48"/>
        </w:numPr>
        <w:spacing w:before="240" w:after="240"/>
        <w:outlineLvl w:val="0"/>
        <w:rPr>
          <w:rFonts w:ascii="Verdana" w:hAnsi="Verdana" w:cs="Tahoma"/>
          <w:b/>
          <w:bCs/>
          <w:noProof/>
          <w:vanish/>
          <w:color w:val="365F91"/>
          <w:szCs w:val="18"/>
          <w:lang w:val="sr-Cyrl-CS"/>
        </w:rPr>
      </w:pPr>
      <w:bookmarkStart w:id="55" w:name="_Toc433009543"/>
      <w:bookmarkStart w:id="56" w:name="_Toc433026503"/>
      <w:bookmarkStart w:id="57" w:name="_Toc433278695"/>
      <w:bookmarkEnd w:id="55"/>
      <w:bookmarkEnd w:id="56"/>
      <w:bookmarkEnd w:id="57"/>
    </w:p>
    <w:p w:rsidR="002560FB" w:rsidRDefault="002560FB" w:rsidP="002560FB">
      <w:pPr>
        <w:pStyle w:val="Heading1"/>
        <w:numPr>
          <w:ilvl w:val="1"/>
          <w:numId w:val="48"/>
        </w:numPr>
        <w:tabs>
          <w:tab w:val="clear" w:pos="336"/>
          <w:tab w:val="num" w:pos="1143"/>
        </w:tabs>
        <w:spacing w:before="240" w:after="240"/>
        <w:ind w:left="1143"/>
        <w:jc w:val="left"/>
        <w:rPr>
          <w:rFonts w:ascii="Verdana" w:hAnsi="Verdana" w:cs="Tahoma"/>
          <w:noProof/>
          <w:color w:val="365F91"/>
          <w:sz w:val="24"/>
          <w:szCs w:val="18"/>
          <w:lang w:val="sr-Latn-RS"/>
        </w:rPr>
      </w:pPr>
      <w:bookmarkStart w:id="58" w:name="_Toc433278696"/>
      <w:r w:rsidRPr="003C0310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Процена захтеване маргине солвентности</w:t>
      </w:r>
      <w:bookmarkEnd w:id="58"/>
    </w:p>
    <w:p w:rsidR="002560FB" w:rsidRDefault="002560FB" w:rsidP="002560FB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3C0310">
        <w:rPr>
          <w:rFonts w:ascii="Verdana" w:eastAsia="Calibri" w:hAnsi="Verdana"/>
          <w:noProof/>
          <w:sz w:val="20"/>
          <w:szCs w:val="22"/>
          <w:lang w:val="sr-Cyrl-CS" w:eastAsia="en-US"/>
        </w:rPr>
        <w:t>Друштво је планирало захтеван</w:t>
      </w:r>
      <w:r>
        <w:rPr>
          <w:rFonts w:ascii="Verdana" w:eastAsia="Calibri" w:hAnsi="Verdana"/>
          <w:noProof/>
          <w:sz w:val="20"/>
          <w:szCs w:val="22"/>
          <w:lang w:val="sr-Cyrl-RS" w:eastAsia="en-US"/>
        </w:rPr>
        <w:t>у</w:t>
      </w:r>
      <w:r w:rsidRPr="003C0310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маргин</w:t>
      </w:r>
      <w:r>
        <w:rPr>
          <w:rFonts w:ascii="Verdana" w:eastAsia="Calibri" w:hAnsi="Verdana"/>
          <w:noProof/>
          <w:sz w:val="20"/>
          <w:szCs w:val="22"/>
          <w:lang w:val="sr-Cyrl-RS" w:eastAsia="en-US"/>
        </w:rPr>
        <w:t>у</w:t>
      </w:r>
      <w:r w:rsidRPr="003C0310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солвентности на основу претходно утврђеног плана свих категорија 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за утврђивање маргине солвентности</w:t>
      </w:r>
      <w:r w:rsidRPr="003C0310">
        <w:rPr>
          <w:rFonts w:ascii="Verdana" w:eastAsia="Calibri" w:hAnsi="Verdana"/>
          <w:noProof/>
          <w:sz w:val="20"/>
          <w:szCs w:val="22"/>
          <w:lang w:val="sr-Cyrl-CS" w:eastAsia="en-US"/>
        </w:rPr>
        <w:t>, Закона о осигурању ("Службени гласник РС", бр.139/2014) и Одлуке о техничким резервама („Службени гласник РС“, бр. 42/2015).</w:t>
      </w:r>
    </w:p>
    <w:p w:rsidR="002560FB" w:rsidRDefault="002560FB" w:rsidP="002560FB">
      <w:pPr>
        <w:spacing w:before="12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Пројек</w:t>
      </w:r>
      <w:r>
        <w:rPr>
          <w:rStyle w:val="IntenseEmphasis"/>
          <w:rFonts w:ascii="Verdana" w:eastAsia="Calibri" w:hAnsi="Verdana"/>
          <w:noProof/>
          <w:sz w:val="22"/>
          <w:lang w:val="sr-Cyrl-CS"/>
        </w:rPr>
        <w:t xml:space="preserve">ција захтеване маргине солвентности </w:t>
      </w:r>
      <w:r w:rsidRPr="003C0310">
        <w:rPr>
          <w:rStyle w:val="IntenseEmphasis"/>
          <w:rFonts w:ascii="Verdana" w:eastAsia="Calibri" w:hAnsi="Verdana"/>
          <w:noProof/>
          <w:sz w:val="22"/>
          <w:lang w:val="sr-Cyrl-CS"/>
        </w:rPr>
        <w:t>за реосигурање и</w:t>
      </w:r>
      <w:r>
        <w:rPr>
          <w:rStyle w:val="IntenseEmphasis"/>
          <w:rFonts w:ascii="Verdana" w:eastAsia="Calibri" w:hAnsi="Verdana"/>
          <w:noProof/>
          <w:sz w:val="22"/>
          <w:lang w:val="sr-Cyrl-CS"/>
        </w:rPr>
        <w:t xml:space="preserve"> </w:t>
      </w:r>
      <w:r w:rsidRPr="003C0310">
        <w:rPr>
          <w:rStyle w:val="IntenseEmphasis"/>
          <w:rFonts w:ascii="Verdana" w:eastAsia="Calibri" w:hAnsi="Verdana"/>
          <w:noProof/>
          <w:sz w:val="22"/>
          <w:lang w:val="sr-Cyrl-CS"/>
        </w:rPr>
        <w:t>допунско осигурање уз осигурање живота</w:t>
      </w:r>
    </w:p>
    <w:p w:rsidR="002560FB" w:rsidRDefault="002560FB" w:rsidP="002560FB">
      <w:pPr>
        <w:spacing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>
        <w:rPr>
          <w:rStyle w:val="IntenseEmphasis"/>
          <w:rFonts w:ascii="Verdana" w:eastAsia="Calibri" w:hAnsi="Verdana"/>
          <w:noProof/>
          <w:sz w:val="22"/>
          <w:lang w:val="sr-Cyrl-CS"/>
        </w:rPr>
        <w:t xml:space="preserve">Образац </w:t>
      </w:r>
      <w:r w:rsidRPr="004270A8">
        <w:rPr>
          <w:rStyle w:val="IntenseEmphasis"/>
          <w:rFonts w:ascii="Verdana" w:eastAsia="Calibri" w:hAnsi="Verdana"/>
          <w:noProof/>
          <w:sz w:val="22"/>
          <w:lang w:val="sr-Cyrl-CS"/>
        </w:rPr>
        <w:t>ЗМС-НО/РЕ</w:t>
      </w:r>
    </w:p>
    <w:p w:rsidR="002560FB" w:rsidRPr="004270A8" w:rsidRDefault="002560FB" w:rsidP="002560FB">
      <w:pPr>
        <w:spacing w:line="276" w:lineRule="auto"/>
        <w:jc w:val="right"/>
        <w:rPr>
          <w:rFonts w:ascii="Verdana" w:eastAsia="Calibri" w:hAnsi="Verdana"/>
          <w:bCs/>
          <w:iCs/>
          <w:sz w:val="20"/>
          <w:szCs w:val="22"/>
          <w:lang w:eastAsia="en-US"/>
        </w:rPr>
      </w:pPr>
      <w:r w:rsidRPr="004270A8">
        <w:rPr>
          <w:rFonts w:ascii="Verdana" w:eastAsia="Calibri" w:hAnsi="Verdana"/>
          <w:bCs/>
          <w:iCs/>
          <w:sz w:val="20"/>
          <w:szCs w:val="22"/>
          <w:lang w:eastAsia="en-US"/>
        </w:rPr>
        <w:t>у 000 РСД</w:t>
      </w:r>
    </w:p>
    <w:tbl>
      <w:tblPr>
        <w:tblW w:w="9412" w:type="dxa"/>
        <w:jc w:val="center"/>
        <w:tblInd w:w="101" w:type="dxa"/>
        <w:tblLayout w:type="fixed"/>
        <w:tblLook w:val="04A0" w:firstRow="1" w:lastRow="0" w:firstColumn="1" w:lastColumn="0" w:noHBand="0" w:noVBand="1"/>
      </w:tblPr>
      <w:tblGrid>
        <w:gridCol w:w="436"/>
        <w:gridCol w:w="5103"/>
        <w:gridCol w:w="896"/>
        <w:gridCol w:w="992"/>
        <w:gridCol w:w="992"/>
        <w:gridCol w:w="993"/>
      </w:tblGrid>
      <w:tr w:rsidR="00D51543" w:rsidRPr="00802A7E" w:rsidTr="00D51543">
        <w:trPr>
          <w:trHeight w:val="227"/>
          <w:jc w:val="center"/>
        </w:trPr>
        <w:tc>
          <w:tcPr>
            <w:tcW w:w="5539" w:type="dxa"/>
            <w:gridSpan w:val="2"/>
            <w:tcBorders>
              <w:bottom w:val="single" w:sz="4" w:space="0" w:color="FFFFFF" w:themeColor="background1"/>
            </w:tcBorders>
            <w:shd w:val="clear" w:color="auto" w:fill="4F81BD" w:themeFill="accent1"/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Latn-RS"/>
              </w:rPr>
            </w:pPr>
          </w:p>
        </w:tc>
        <w:tc>
          <w:tcPr>
            <w:tcW w:w="896" w:type="dxa"/>
            <w:tcBorders>
              <w:bottom w:val="single" w:sz="4" w:space="0" w:color="FFFFFF" w:themeColor="background1"/>
            </w:tcBorders>
            <w:shd w:val="clear" w:color="auto" w:fill="4F81BD" w:themeFill="accent1"/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</w:pPr>
            <w:r w:rsidRPr="004270A8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  <w:t>2016.</w:t>
            </w:r>
          </w:p>
        </w:tc>
        <w:tc>
          <w:tcPr>
            <w:tcW w:w="992" w:type="dxa"/>
            <w:tcBorders>
              <w:bottom w:val="single" w:sz="4" w:space="0" w:color="FFFFFF" w:themeColor="background1"/>
            </w:tcBorders>
            <w:shd w:val="clear" w:color="auto" w:fill="4F81BD" w:themeFill="accent1"/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</w:pPr>
            <w:r w:rsidRPr="004270A8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  <w:t>2017.</w:t>
            </w:r>
          </w:p>
        </w:tc>
        <w:tc>
          <w:tcPr>
            <w:tcW w:w="992" w:type="dxa"/>
            <w:tcBorders>
              <w:bottom w:val="single" w:sz="4" w:space="0" w:color="FFFFFF" w:themeColor="background1"/>
            </w:tcBorders>
            <w:shd w:val="clear" w:color="auto" w:fill="4F81BD" w:themeFill="accent1"/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</w:pPr>
            <w:r w:rsidRPr="004270A8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  <w:t>2018</w:t>
            </w:r>
          </w:p>
        </w:tc>
        <w:tc>
          <w:tcPr>
            <w:tcW w:w="993" w:type="dxa"/>
            <w:tcBorders>
              <w:bottom w:val="single" w:sz="4" w:space="0" w:color="FFFFFF" w:themeColor="background1"/>
            </w:tcBorders>
            <w:shd w:val="clear" w:color="auto" w:fill="4F81BD" w:themeFill="accent1"/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</w:pPr>
            <w:r w:rsidRPr="004270A8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  <w:t>2019</w:t>
            </w:r>
          </w:p>
        </w:tc>
      </w:tr>
      <w:tr w:rsidR="00D51543" w:rsidRPr="00802A7E" w:rsidTr="00D51543">
        <w:trPr>
          <w:trHeight w:val="454"/>
          <w:jc w:val="center"/>
        </w:trPr>
        <w:tc>
          <w:tcPr>
            <w:tcW w:w="9412" w:type="dxa"/>
            <w:gridSpan w:val="6"/>
            <w:tcBorders>
              <w:top w:val="single" w:sz="4" w:space="0" w:color="FFFFFF" w:themeColor="background1"/>
            </w:tcBorders>
            <w:shd w:val="clear" w:color="auto" w:fill="4F81BD" w:themeFill="accent1"/>
            <w:vAlign w:val="center"/>
            <w:hideMark/>
          </w:tcPr>
          <w:p w:rsidR="00D51543" w:rsidRPr="004270A8" w:rsidRDefault="00D51543" w:rsidP="00D51543">
            <w:pPr>
              <w:pStyle w:val="NoSpacing"/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Latn-RS"/>
              </w:rPr>
            </w:pPr>
            <w:r w:rsidRPr="004270A8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Latn-RS"/>
              </w:rPr>
              <w:t xml:space="preserve">НЕЖИВОТНО ОСИГУРАЊЕ ОСИМ ДОБРОВОЉНОГ ЗДРАВСТВЕНОГ ОСИГУРАЊА </w:t>
            </w:r>
            <w:r w:rsidRPr="004270A8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  <w:t xml:space="preserve">                                                        </w:t>
            </w:r>
            <w:r w:rsidRPr="004270A8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Latn-RS"/>
              </w:rPr>
              <w:t>У СКЛАДУ СА ЧЛАНОМ 126. СТАВ 6. ЗАКОНА</w:t>
            </w:r>
          </w:p>
        </w:tc>
      </w:tr>
      <w:tr w:rsidR="00D51543" w:rsidRPr="00802A7E" w:rsidTr="00D51543">
        <w:trPr>
          <w:trHeight w:val="510"/>
          <w:jc w:val="center"/>
        </w:trPr>
        <w:tc>
          <w:tcPr>
            <w:tcW w:w="436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802A7E" w:rsidRDefault="00D51543" w:rsidP="00D51543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1</w:t>
            </w:r>
          </w:p>
        </w:tc>
        <w:tc>
          <w:tcPr>
            <w:tcW w:w="5103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802A7E" w:rsidRDefault="00D51543" w:rsidP="00D51543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Захтевана маргина солвентности на основу премија – члан 126. став 2. Закона (Образац ЗМС-П а15)</w:t>
            </w:r>
          </w:p>
        </w:tc>
        <w:tc>
          <w:tcPr>
            <w:tcW w:w="896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253,304</w:t>
            </w:r>
          </w:p>
        </w:tc>
        <w:tc>
          <w:tcPr>
            <w:tcW w:w="992" w:type="dxa"/>
            <w:tcBorders>
              <w:bottom w:val="single" w:sz="4" w:space="0" w:color="DBE5F1" w:themeColor="accent1" w:themeTint="33"/>
            </w:tcBorders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802A7E">
              <w:rPr>
                <w:rFonts w:ascii="Verdana" w:hAnsi="Verdana"/>
                <w:sz w:val="16"/>
                <w:szCs w:val="16"/>
              </w:rPr>
              <w:t>267,968</w:t>
            </w:r>
          </w:p>
        </w:tc>
        <w:tc>
          <w:tcPr>
            <w:tcW w:w="992" w:type="dxa"/>
            <w:tcBorders>
              <w:bottom w:val="single" w:sz="4" w:space="0" w:color="DBE5F1" w:themeColor="accent1" w:themeTint="33"/>
            </w:tcBorders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802A7E">
              <w:rPr>
                <w:rFonts w:ascii="Verdana" w:hAnsi="Verdana"/>
                <w:sz w:val="16"/>
                <w:szCs w:val="16"/>
              </w:rPr>
              <w:t>275,276</w:t>
            </w:r>
          </w:p>
        </w:tc>
        <w:tc>
          <w:tcPr>
            <w:tcW w:w="993" w:type="dxa"/>
            <w:tcBorders>
              <w:bottom w:val="single" w:sz="4" w:space="0" w:color="DBE5F1" w:themeColor="accent1" w:themeTint="33"/>
            </w:tcBorders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802A7E">
              <w:rPr>
                <w:rFonts w:ascii="Verdana" w:hAnsi="Verdana"/>
                <w:sz w:val="16"/>
                <w:szCs w:val="16"/>
              </w:rPr>
              <w:t>312,576</w:t>
            </w:r>
          </w:p>
        </w:tc>
      </w:tr>
      <w:tr w:rsidR="00D51543" w:rsidRPr="00802A7E" w:rsidTr="00D51543">
        <w:trPr>
          <w:trHeight w:val="510"/>
          <w:jc w:val="center"/>
        </w:trPr>
        <w:tc>
          <w:tcPr>
            <w:tcW w:w="436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802A7E" w:rsidRDefault="00D51543" w:rsidP="00D51543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2</w:t>
            </w:r>
          </w:p>
        </w:tc>
        <w:tc>
          <w:tcPr>
            <w:tcW w:w="5103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802A7E" w:rsidRDefault="00D51543" w:rsidP="00D51543">
            <w:pPr>
              <w:pStyle w:val="NoSpacing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Захтевана маргина солвентности на основу штета –</w:t>
            </w:r>
            <w:r>
              <w:rPr>
                <w:rFonts w:ascii="Verdana" w:hAnsi="Verdana"/>
                <w:sz w:val="16"/>
                <w:szCs w:val="16"/>
                <w:lang w:val="sr-Cyrl-RS"/>
              </w:rPr>
              <w:t xml:space="preserve">   </w:t>
            </w: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члан 126. став 3. Закона (Образац ЗМС-Ш а12)</w:t>
            </w:r>
          </w:p>
        </w:tc>
        <w:tc>
          <w:tcPr>
            <w:tcW w:w="896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189,401</w:t>
            </w:r>
          </w:p>
        </w:tc>
        <w:tc>
          <w:tcPr>
            <w:tcW w:w="992" w:type="dxa"/>
            <w:tcBorders>
              <w:top w:val="single" w:sz="4" w:space="0" w:color="DBE5F1" w:themeColor="accent1" w:themeTint="33"/>
            </w:tcBorders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802A7E">
              <w:rPr>
                <w:rFonts w:ascii="Verdana" w:hAnsi="Verdana"/>
                <w:sz w:val="16"/>
                <w:szCs w:val="16"/>
              </w:rPr>
              <w:t>156,998</w:t>
            </w:r>
          </w:p>
        </w:tc>
        <w:tc>
          <w:tcPr>
            <w:tcW w:w="992" w:type="dxa"/>
            <w:tcBorders>
              <w:top w:val="single" w:sz="4" w:space="0" w:color="DBE5F1" w:themeColor="accent1" w:themeTint="33"/>
            </w:tcBorders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802A7E">
              <w:rPr>
                <w:rFonts w:ascii="Verdana" w:hAnsi="Verdana"/>
                <w:sz w:val="16"/>
                <w:szCs w:val="16"/>
              </w:rPr>
              <w:t>54,266</w:t>
            </w:r>
          </w:p>
        </w:tc>
        <w:tc>
          <w:tcPr>
            <w:tcW w:w="993" w:type="dxa"/>
            <w:tcBorders>
              <w:top w:val="single" w:sz="4" w:space="0" w:color="DBE5F1" w:themeColor="accent1" w:themeTint="33"/>
            </w:tcBorders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802A7E">
              <w:rPr>
                <w:rFonts w:ascii="Verdana" w:hAnsi="Verdana"/>
                <w:sz w:val="16"/>
                <w:szCs w:val="16"/>
              </w:rPr>
              <w:t>66,541</w:t>
            </w:r>
          </w:p>
        </w:tc>
      </w:tr>
      <w:tr w:rsidR="00D51543" w:rsidRPr="00802A7E" w:rsidTr="00D51543">
        <w:trPr>
          <w:trHeight w:val="510"/>
          <w:jc w:val="center"/>
        </w:trPr>
        <w:tc>
          <w:tcPr>
            <w:tcW w:w="436" w:type="dxa"/>
            <w:shd w:val="clear" w:color="auto" w:fill="DBE5F1" w:themeFill="accent1" w:themeFillTint="33"/>
            <w:vAlign w:val="center"/>
            <w:hideMark/>
          </w:tcPr>
          <w:p w:rsidR="00D51543" w:rsidRPr="00802A7E" w:rsidRDefault="00D51543" w:rsidP="00D51543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3</w:t>
            </w:r>
          </w:p>
        </w:tc>
        <w:tc>
          <w:tcPr>
            <w:tcW w:w="5103" w:type="dxa"/>
            <w:shd w:val="clear" w:color="auto" w:fill="DBE5F1" w:themeFill="accent1" w:themeFillTint="33"/>
            <w:vAlign w:val="center"/>
            <w:hideMark/>
          </w:tcPr>
          <w:p w:rsidR="00D51543" w:rsidRPr="00802A7E" w:rsidRDefault="00D51543" w:rsidP="00D51543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Захтевана маргина солвентности (max(а1,а2))</w:t>
            </w:r>
          </w:p>
        </w:tc>
        <w:tc>
          <w:tcPr>
            <w:tcW w:w="896" w:type="dxa"/>
            <w:shd w:val="clear" w:color="auto" w:fill="DBE5F1" w:themeFill="accent1" w:themeFillTint="33"/>
            <w:vAlign w:val="center"/>
            <w:hideMark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253,304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267,968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275,276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D51543" w:rsidRPr="004270A8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802A7E">
              <w:rPr>
                <w:rFonts w:ascii="Verdana" w:hAnsi="Verdana"/>
                <w:sz w:val="16"/>
                <w:szCs w:val="16"/>
              </w:rPr>
              <w:t>312,576</w:t>
            </w:r>
          </w:p>
        </w:tc>
      </w:tr>
      <w:tr w:rsidR="00D51543" w:rsidRPr="00802A7E" w:rsidTr="00D51543">
        <w:trPr>
          <w:trHeight w:val="454"/>
          <w:jc w:val="center"/>
        </w:trPr>
        <w:tc>
          <w:tcPr>
            <w:tcW w:w="9412" w:type="dxa"/>
            <w:gridSpan w:val="6"/>
            <w:shd w:val="clear" w:color="auto" w:fill="4F81BD" w:themeFill="accent1"/>
            <w:vAlign w:val="center"/>
            <w:hideMark/>
          </w:tcPr>
          <w:p w:rsidR="00D51543" w:rsidRPr="004270A8" w:rsidRDefault="00D51543" w:rsidP="00D5154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sr-Latn-RS"/>
              </w:rPr>
            </w:pPr>
            <w:r w:rsidRPr="004270A8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Latn-RS"/>
              </w:rPr>
              <w:t>ДОБРОВОЉНО ЗДРАВСТВЕНО ОСИГУРАЊЕ У СКЛАДУ СА ЧЛАНОМ 126. СТАВ 6. ЗАКОНА</w:t>
            </w:r>
          </w:p>
        </w:tc>
      </w:tr>
      <w:tr w:rsidR="00D51543" w:rsidRPr="00802A7E" w:rsidTr="00D51543">
        <w:trPr>
          <w:trHeight w:val="510"/>
          <w:jc w:val="center"/>
        </w:trPr>
        <w:tc>
          <w:tcPr>
            <w:tcW w:w="436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802A7E" w:rsidRDefault="00D51543" w:rsidP="00D51543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4</w:t>
            </w:r>
          </w:p>
        </w:tc>
        <w:tc>
          <w:tcPr>
            <w:tcW w:w="5103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802A7E" w:rsidRDefault="00D51543" w:rsidP="00D51543">
            <w:pPr>
              <w:pStyle w:val="NoSpacing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Захтевана маргина солвентности на основу премија –</w:t>
            </w:r>
            <w:r>
              <w:rPr>
                <w:rFonts w:ascii="Verdana" w:hAnsi="Verdana"/>
                <w:sz w:val="16"/>
                <w:szCs w:val="16"/>
                <w:lang w:val="sr-Cyrl-RS"/>
              </w:rPr>
              <w:t xml:space="preserve"> </w:t>
            </w: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члан 126. став 2. Закона (Образац ЗМС-П а30)</w:t>
            </w:r>
          </w:p>
        </w:tc>
        <w:tc>
          <w:tcPr>
            <w:tcW w:w="896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DBE5F1" w:themeColor="accent1" w:themeTint="33"/>
            </w:tcBorders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DBE5F1" w:themeColor="accent1" w:themeTint="33"/>
            </w:tcBorders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993" w:type="dxa"/>
            <w:tcBorders>
              <w:bottom w:val="single" w:sz="4" w:space="0" w:color="DBE5F1" w:themeColor="accent1" w:themeTint="33"/>
            </w:tcBorders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</w:tr>
      <w:tr w:rsidR="00D51543" w:rsidRPr="00802A7E" w:rsidTr="00D51543">
        <w:trPr>
          <w:trHeight w:val="510"/>
          <w:jc w:val="center"/>
        </w:trPr>
        <w:tc>
          <w:tcPr>
            <w:tcW w:w="436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802A7E" w:rsidRDefault="00D51543" w:rsidP="00D51543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5</w:t>
            </w:r>
          </w:p>
        </w:tc>
        <w:tc>
          <w:tcPr>
            <w:tcW w:w="5103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802A7E" w:rsidRDefault="00D51543" w:rsidP="00D51543">
            <w:pPr>
              <w:pStyle w:val="NoSpacing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Захтевана маргина солвентности на основу штета –</w:t>
            </w:r>
            <w:r>
              <w:rPr>
                <w:rFonts w:ascii="Verdana" w:hAnsi="Verdana"/>
                <w:sz w:val="16"/>
                <w:szCs w:val="16"/>
                <w:lang w:val="sr-Cyrl-RS"/>
              </w:rPr>
              <w:t xml:space="preserve">   </w:t>
            </w: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члан 126. став 3. Закона (Образац ЗМС-Ш а20)</w:t>
            </w:r>
          </w:p>
        </w:tc>
        <w:tc>
          <w:tcPr>
            <w:tcW w:w="896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30</w:t>
            </w:r>
          </w:p>
        </w:tc>
        <w:tc>
          <w:tcPr>
            <w:tcW w:w="992" w:type="dxa"/>
            <w:tcBorders>
              <w:top w:val="single" w:sz="4" w:space="0" w:color="DBE5F1" w:themeColor="accent1" w:themeTint="33"/>
            </w:tcBorders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992" w:type="dxa"/>
            <w:tcBorders>
              <w:top w:val="single" w:sz="4" w:space="0" w:color="DBE5F1" w:themeColor="accent1" w:themeTint="33"/>
            </w:tcBorders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993" w:type="dxa"/>
            <w:tcBorders>
              <w:top w:val="single" w:sz="4" w:space="0" w:color="DBE5F1" w:themeColor="accent1" w:themeTint="33"/>
            </w:tcBorders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</w:tr>
      <w:tr w:rsidR="00D51543" w:rsidRPr="00802A7E" w:rsidTr="00D51543">
        <w:trPr>
          <w:trHeight w:val="510"/>
          <w:jc w:val="center"/>
        </w:trPr>
        <w:tc>
          <w:tcPr>
            <w:tcW w:w="436" w:type="dxa"/>
            <w:shd w:val="clear" w:color="auto" w:fill="DBE5F1" w:themeFill="accent1" w:themeFillTint="33"/>
            <w:vAlign w:val="center"/>
            <w:hideMark/>
          </w:tcPr>
          <w:p w:rsidR="00D51543" w:rsidRPr="00802A7E" w:rsidRDefault="00D51543" w:rsidP="00D51543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6</w:t>
            </w:r>
          </w:p>
        </w:tc>
        <w:tc>
          <w:tcPr>
            <w:tcW w:w="5103" w:type="dxa"/>
            <w:shd w:val="clear" w:color="auto" w:fill="DBE5F1" w:themeFill="accent1" w:themeFillTint="33"/>
            <w:vAlign w:val="center"/>
            <w:hideMark/>
          </w:tcPr>
          <w:p w:rsidR="00D51543" w:rsidRPr="00802A7E" w:rsidRDefault="00D51543" w:rsidP="00D51543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 xml:space="preserve">Захтевана маргина солвентности – </w:t>
            </w:r>
            <w:r>
              <w:rPr>
                <w:rFonts w:ascii="Verdana" w:hAnsi="Verdana"/>
                <w:sz w:val="16"/>
                <w:szCs w:val="16"/>
                <w:lang w:val="sr-Cyrl-RS"/>
              </w:rPr>
              <w:t xml:space="preserve">                              </w:t>
            </w: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члан 126. став 6. Закона (max(a4,a5))</w:t>
            </w:r>
          </w:p>
        </w:tc>
        <w:tc>
          <w:tcPr>
            <w:tcW w:w="896" w:type="dxa"/>
            <w:shd w:val="clear" w:color="auto" w:fill="DBE5F1" w:themeFill="accent1" w:themeFillTint="33"/>
            <w:vAlign w:val="center"/>
            <w:hideMark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30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</w:tr>
      <w:tr w:rsidR="00D51543" w:rsidRPr="00802A7E" w:rsidTr="00D51543">
        <w:trPr>
          <w:trHeight w:val="454"/>
          <w:jc w:val="center"/>
        </w:trPr>
        <w:tc>
          <w:tcPr>
            <w:tcW w:w="9412" w:type="dxa"/>
            <w:gridSpan w:val="6"/>
            <w:shd w:val="clear" w:color="auto" w:fill="4F81BD" w:themeFill="accent1"/>
            <w:vAlign w:val="center"/>
            <w:hideMark/>
          </w:tcPr>
          <w:p w:rsidR="00D51543" w:rsidRPr="004270A8" w:rsidRDefault="00D51543" w:rsidP="00D5154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sr-Latn-RS"/>
              </w:rPr>
            </w:pPr>
            <w:r w:rsidRPr="004270A8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Latn-RS"/>
              </w:rPr>
              <w:t>НЕЖИВОТНО ОСИГУРАЊЕ</w:t>
            </w:r>
          </w:p>
        </w:tc>
      </w:tr>
      <w:tr w:rsidR="00D51543" w:rsidRPr="00802A7E" w:rsidTr="00D51543">
        <w:trPr>
          <w:trHeight w:val="510"/>
          <w:jc w:val="center"/>
        </w:trPr>
        <w:tc>
          <w:tcPr>
            <w:tcW w:w="436" w:type="dxa"/>
            <w:shd w:val="clear" w:color="auto" w:fill="DBE5F1" w:themeFill="accent1" w:themeFillTint="33"/>
            <w:vAlign w:val="center"/>
            <w:hideMark/>
          </w:tcPr>
          <w:p w:rsidR="00D51543" w:rsidRPr="00802A7E" w:rsidRDefault="00D51543" w:rsidP="00D51543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7</w:t>
            </w:r>
          </w:p>
        </w:tc>
        <w:tc>
          <w:tcPr>
            <w:tcW w:w="5103" w:type="dxa"/>
            <w:shd w:val="clear" w:color="auto" w:fill="DBE5F1" w:themeFill="accent1" w:themeFillTint="33"/>
            <w:vAlign w:val="center"/>
            <w:hideMark/>
          </w:tcPr>
          <w:p w:rsidR="00D51543" w:rsidRPr="00802A7E" w:rsidRDefault="00D51543" w:rsidP="00D51543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 xml:space="preserve">Захтевана маргина солвентности у складу с </w:t>
            </w:r>
            <w:r>
              <w:rPr>
                <w:rFonts w:ascii="Verdana" w:hAnsi="Verdana"/>
                <w:sz w:val="16"/>
                <w:szCs w:val="16"/>
                <w:lang w:val="sr-Cyrl-RS"/>
              </w:rPr>
              <w:t xml:space="preserve">                         </w:t>
            </w: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чланом 126. Закона (a3+a6)</w:t>
            </w:r>
          </w:p>
        </w:tc>
        <w:tc>
          <w:tcPr>
            <w:tcW w:w="896" w:type="dxa"/>
            <w:shd w:val="clear" w:color="auto" w:fill="DBE5F1" w:themeFill="accent1" w:themeFillTint="33"/>
            <w:vAlign w:val="center"/>
            <w:hideMark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253,333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802A7E">
              <w:rPr>
                <w:rFonts w:ascii="Verdana" w:hAnsi="Verdana"/>
                <w:sz w:val="16"/>
                <w:szCs w:val="16"/>
              </w:rPr>
              <w:t>267,967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802A7E">
              <w:rPr>
                <w:rFonts w:ascii="Verdana" w:hAnsi="Verdana"/>
                <w:sz w:val="16"/>
                <w:szCs w:val="16"/>
              </w:rPr>
              <w:t>275,276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802A7E">
              <w:rPr>
                <w:rFonts w:ascii="Verdana" w:hAnsi="Verdana"/>
                <w:sz w:val="16"/>
                <w:szCs w:val="16"/>
              </w:rPr>
              <w:t>312,576</w:t>
            </w:r>
          </w:p>
        </w:tc>
      </w:tr>
      <w:tr w:rsidR="00D51543" w:rsidRPr="00802A7E" w:rsidTr="00D51543">
        <w:trPr>
          <w:trHeight w:val="510"/>
          <w:jc w:val="center"/>
        </w:trPr>
        <w:tc>
          <w:tcPr>
            <w:tcW w:w="436" w:type="dxa"/>
            <w:shd w:val="clear" w:color="auto" w:fill="DBE5F1" w:themeFill="accent1" w:themeFillTint="33"/>
            <w:vAlign w:val="center"/>
            <w:hideMark/>
          </w:tcPr>
          <w:p w:rsidR="00D51543" w:rsidRPr="00802A7E" w:rsidRDefault="00D51543" w:rsidP="00D51543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8</w:t>
            </w:r>
          </w:p>
        </w:tc>
        <w:tc>
          <w:tcPr>
            <w:tcW w:w="5103" w:type="dxa"/>
            <w:shd w:val="clear" w:color="auto" w:fill="DBE5F1" w:themeFill="accent1" w:themeFillTint="33"/>
            <w:vAlign w:val="center"/>
            <w:hideMark/>
          </w:tcPr>
          <w:p w:rsidR="00D51543" w:rsidRPr="00802A7E" w:rsidRDefault="00D51543" w:rsidP="00D51543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Захтевана маргина солвентности истог периода претходне године</w:t>
            </w:r>
          </w:p>
        </w:tc>
        <w:tc>
          <w:tcPr>
            <w:tcW w:w="896" w:type="dxa"/>
            <w:shd w:val="clear" w:color="auto" w:fill="DBE5F1" w:themeFill="accent1" w:themeFillTint="33"/>
            <w:vAlign w:val="center"/>
            <w:hideMark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802A7E">
              <w:rPr>
                <w:rFonts w:ascii="Verdana" w:hAnsi="Verdana"/>
                <w:sz w:val="16"/>
                <w:szCs w:val="16"/>
                <w:lang w:val="sr-Latn-RS"/>
              </w:rPr>
              <w:t>236,541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802A7E">
              <w:rPr>
                <w:rFonts w:ascii="Verdana" w:hAnsi="Verdana"/>
                <w:sz w:val="16"/>
                <w:szCs w:val="16"/>
              </w:rPr>
              <w:t>253,333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802A7E">
              <w:rPr>
                <w:rFonts w:ascii="Verdana" w:hAnsi="Verdana"/>
                <w:sz w:val="16"/>
                <w:szCs w:val="16"/>
              </w:rPr>
              <w:t>267,967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D51543" w:rsidRPr="00802A7E" w:rsidRDefault="00D51543" w:rsidP="00D51543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802A7E">
              <w:rPr>
                <w:rFonts w:ascii="Verdana" w:hAnsi="Verdana"/>
                <w:sz w:val="16"/>
                <w:szCs w:val="16"/>
              </w:rPr>
              <w:t>275,276</w:t>
            </w:r>
          </w:p>
        </w:tc>
      </w:tr>
      <w:tr w:rsidR="00D51543" w:rsidRPr="00802A7E" w:rsidTr="00D51543">
        <w:trPr>
          <w:trHeight w:val="283"/>
          <w:jc w:val="center"/>
        </w:trPr>
        <w:tc>
          <w:tcPr>
            <w:tcW w:w="9412" w:type="dxa"/>
            <w:gridSpan w:val="6"/>
            <w:shd w:val="clear" w:color="auto" w:fill="4F81BD" w:themeFill="accent1"/>
            <w:vAlign w:val="center"/>
            <w:hideMark/>
          </w:tcPr>
          <w:p w:rsidR="00D51543" w:rsidRPr="004270A8" w:rsidRDefault="00D51543" w:rsidP="00D51543">
            <w:pPr>
              <w:pStyle w:val="NoSpacing"/>
              <w:rPr>
                <w:rFonts w:ascii="Verdana" w:hAnsi="Verdana"/>
                <w:b/>
                <w:sz w:val="14"/>
                <w:szCs w:val="14"/>
                <w:lang w:val="sr-Latn-RS"/>
              </w:rPr>
            </w:pPr>
            <w:r w:rsidRPr="004270A8">
              <w:rPr>
                <w:rFonts w:ascii="Verdana" w:hAnsi="Verdana"/>
                <w:b/>
                <w:color w:val="FFFFFF" w:themeColor="background1"/>
                <w:sz w:val="14"/>
                <w:szCs w:val="14"/>
                <w:lang w:val="sr-Latn-RS"/>
              </w:rPr>
              <w:t>Ако је a7&lt;a8, попунити редове од a9 до а13</w:t>
            </w:r>
          </w:p>
        </w:tc>
      </w:tr>
      <w:tr w:rsidR="00D51543" w:rsidRPr="00802A7E" w:rsidTr="00D51543">
        <w:trPr>
          <w:trHeight w:val="397"/>
          <w:jc w:val="center"/>
        </w:trPr>
        <w:tc>
          <w:tcPr>
            <w:tcW w:w="436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  <w:r w:rsidRPr="004270A8">
              <w:rPr>
                <w:rFonts w:ascii="Verdana" w:hAnsi="Verdana"/>
                <w:sz w:val="14"/>
                <w:szCs w:val="14"/>
                <w:lang w:val="sr-Latn-RS"/>
              </w:rPr>
              <w:t>9</w:t>
            </w:r>
          </w:p>
        </w:tc>
        <w:tc>
          <w:tcPr>
            <w:tcW w:w="5103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4270A8" w:rsidRDefault="00D51543" w:rsidP="00D51543">
            <w:pPr>
              <w:pStyle w:val="NoSpacing"/>
              <w:rPr>
                <w:rFonts w:ascii="Verdana" w:hAnsi="Verdana"/>
                <w:sz w:val="14"/>
                <w:szCs w:val="14"/>
                <w:lang w:val="sr-Latn-RS"/>
              </w:rPr>
            </w:pPr>
            <w:r w:rsidRPr="004270A8">
              <w:rPr>
                <w:rFonts w:ascii="Verdana" w:hAnsi="Verdana"/>
                <w:sz w:val="14"/>
                <w:szCs w:val="14"/>
                <w:lang w:val="sr-Latn-RS"/>
              </w:rPr>
              <w:t>Резервисане штете на крају периода умањене за износ који покрива реосигурање</w:t>
            </w:r>
          </w:p>
        </w:tc>
        <w:tc>
          <w:tcPr>
            <w:tcW w:w="896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  <w:tc>
          <w:tcPr>
            <w:tcW w:w="992" w:type="dxa"/>
            <w:tcBorders>
              <w:bottom w:val="single" w:sz="4" w:space="0" w:color="DBE5F1" w:themeColor="accent1" w:themeTint="33"/>
            </w:tcBorders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  <w:tc>
          <w:tcPr>
            <w:tcW w:w="992" w:type="dxa"/>
            <w:tcBorders>
              <w:bottom w:val="single" w:sz="4" w:space="0" w:color="DBE5F1" w:themeColor="accent1" w:themeTint="33"/>
            </w:tcBorders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  <w:tc>
          <w:tcPr>
            <w:tcW w:w="993" w:type="dxa"/>
            <w:tcBorders>
              <w:bottom w:val="single" w:sz="4" w:space="0" w:color="DBE5F1" w:themeColor="accent1" w:themeTint="33"/>
            </w:tcBorders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</w:tr>
      <w:tr w:rsidR="00D51543" w:rsidRPr="00802A7E" w:rsidTr="00D51543">
        <w:trPr>
          <w:trHeight w:val="397"/>
          <w:jc w:val="center"/>
        </w:trPr>
        <w:tc>
          <w:tcPr>
            <w:tcW w:w="436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  <w:r w:rsidRPr="004270A8">
              <w:rPr>
                <w:rFonts w:ascii="Verdana" w:hAnsi="Verdana"/>
                <w:sz w:val="14"/>
                <w:szCs w:val="14"/>
                <w:lang w:val="sr-Latn-RS"/>
              </w:rPr>
              <w:t>10</w:t>
            </w:r>
          </w:p>
        </w:tc>
        <w:tc>
          <w:tcPr>
            <w:tcW w:w="5103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4270A8" w:rsidRDefault="00D51543" w:rsidP="00D51543">
            <w:pPr>
              <w:pStyle w:val="NoSpacing"/>
              <w:rPr>
                <w:rFonts w:ascii="Verdana" w:hAnsi="Verdana"/>
                <w:sz w:val="14"/>
                <w:szCs w:val="14"/>
                <w:lang w:val="sr-Latn-RS"/>
              </w:rPr>
            </w:pPr>
            <w:r w:rsidRPr="004270A8">
              <w:rPr>
                <w:rFonts w:ascii="Verdana" w:hAnsi="Verdana"/>
                <w:sz w:val="14"/>
                <w:szCs w:val="14"/>
                <w:lang w:val="sr-Latn-RS"/>
              </w:rPr>
              <w:t>Резервисане штете на крају истог периода претходне године умањене за износ који покрива реосигурање</w:t>
            </w:r>
          </w:p>
        </w:tc>
        <w:tc>
          <w:tcPr>
            <w:tcW w:w="896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  <w:tc>
          <w:tcPr>
            <w:tcW w:w="992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  <w:tc>
          <w:tcPr>
            <w:tcW w:w="992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  <w:tc>
          <w:tcPr>
            <w:tcW w:w="993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</w:tr>
      <w:tr w:rsidR="00D51543" w:rsidRPr="00802A7E" w:rsidTr="00D51543">
        <w:trPr>
          <w:trHeight w:val="397"/>
          <w:jc w:val="center"/>
        </w:trPr>
        <w:tc>
          <w:tcPr>
            <w:tcW w:w="436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  <w:r w:rsidRPr="004270A8">
              <w:rPr>
                <w:rFonts w:ascii="Verdana" w:hAnsi="Verdana"/>
                <w:sz w:val="14"/>
                <w:szCs w:val="14"/>
                <w:lang w:val="sr-Latn-RS"/>
              </w:rPr>
              <w:t>11</w:t>
            </w:r>
          </w:p>
        </w:tc>
        <w:tc>
          <w:tcPr>
            <w:tcW w:w="5103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4270A8" w:rsidRDefault="00D51543" w:rsidP="00D51543">
            <w:pPr>
              <w:pStyle w:val="NoSpacing"/>
              <w:rPr>
                <w:rFonts w:ascii="Verdana" w:hAnsi="Verdana"/>
                <w:sz w:val="14"/>
                <w:szCs w:val="14"/>
                <w:lang w:val="sr-Latn-RS"/>
              </w:rPr>
            </w:pPr>
            <w:r w:rsidRPr="004270A8">
              <w:rPr>
                <w:rFonts w:ascii="Verdana" w:hAnsi="Verdana"/>
                <w:sz w:val="14"/>
                <w:szCs w:val="14"/>
                <w:lang w:val="sr-Latn-RS"/>
              </w:rPr>
              <w:t>Коефицијент из члана 126. став 8. Закона (а9/а10)</w:t>
            </w:r>
          </w:p>
        </w:tc>
        <w:tc>
          <w:tcPr>
            <w:tcW w:w="896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  <w:tc>
          <w:tcPr>
            <w:tcW w:w="992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  <w:tc>
          <w:tcPr>
            <w:tcW w:w="992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  <w:tc>
          <w:tcPr>
            <w:tcW w:w="993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</w:tr>
      <w:tr w:rsidR="00D51543" w:rsidRPr="00802A7E" w:rsidTr="00D51543">
        <w:trPr>
          <w:trHeight w:val="397"/>
          <w:jc w:val="center"/>
        </w:trPr>
        <w:tc>
          <w:tcPr>
            <w:tcW w:w="436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  <w:r w:rsidRPr="004270A8">
              <w:rPr>
                <w:rFonts w:ascii="Verdana" w:hAnsi="Verdana"/>
                <w:sz w:val="14"/>
                <w:szCs w:val="14"/>
                <w:lang w:val="sr-Latn-RS"/>
              </w:rPr>
              <w:t>12</w:t>
            </w:r>
          </w:p>
        </w:tc>
        <w:tc>
          <w:tcPr>
            <w:tcW w:w="5103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4270A8" w:rsidRDefault="00D51543" w:rsidP="00D51543">
            <w:pPr>
              <w:pStyle w:val="NoSpacing"/>
              <w:rPr>
                <w:rFonts w:ascii="Verdana" w:hAnsi="Verdana"/>
                <w:sz w:val="14"/>
                <w:szCs w:val="14"/>
                <w:lang w:val="sr-Latn-RS"/>
              </w:rPr>
            </w:pPr>
            <w:r w:rsidRPr="004270A8">
              <w:rPr>
                <w:rFonts w:ascii="Verdana" w:hAnsi="Verdana"/>
                <w:sz w:val="14"/>
                <w:szCs w:val="14"/>
                <w:lang w:val="sr-Latn-RS"/>
              </w:rPr>
              <w:t>Коефицијент из члана 126. став 8. Закона (min(a11,1))</w:t>
            </w:r>
          </w:p>
        </w:tc>
        <w:tc>
          <w:tcPr>
            <w:tcW w:w="896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  <w:tc>
          <w:tcPr>
            <w:tcW w:w="992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  <w:tc>
          <w:tcPr>
            <w:tcW w:w="992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  <w:tc>
          <w:tcPr>
            <w:tcW w:w="993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</w:tr>
      <w:tr w:rsidR="00D51543" w:rsidRPr="00802A7E" w:rsidTr="00D51543">
        <w:trPr>
          <w:trHeight w:val="397"/>
          <w:jc w:val="center"/>
        </w:trPr>
        <w:tc>
          <w:tcPr>
            <w:tcW w:w="436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  <w:r w:rsidRPr="004270A8">
              <w:rPr>
                <w:rFonts w:ascii="Verdana" w:hAnsi="Verdana"/>
                <w:sz w:val="14"/>
                <w:szCs w:val="14"/>
                <w:lang w:val="sr-Latn-RS"/>
              </w:rPr>
              <w:t>13</w:t>
            </w:r>
          </w:p>
        </w:tc>
        <w:tc>
          <w:tcPr>
            <w:tcW w:w="5103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4270A8" w:rsidRDefault="00D51543" w:rsidP="00D51543">
            <w:pPr>
              <w:pStyle w:val="NoSpacing"/>
              <w:rPr>
                <w:rFonts w:ascii="Verdana" w:hAnsi="Verdana"/>
                <w:sz w:val="14"/>
                <w:szCs w:val="14"/>
                <w:lang w:val="sr-Latn-RS"/>
              </w:rPr>
            </w:pPr>
            <w:r w:rsidRPr="004270A8">
              <w:rPr>
                <w:rFonts w:ascii="Verdana" w:hAnsi="Verdana"/>
                <w:sz w:val="14"/>
                <w:szCs w:val="14"/>
                <w:lang w:val="sr-Latn-RS"/>
              </w:rPr>
              <w:t xml:space="preserve">Захтевана маргина солвентности </w:t>
            </w:r>
            <w:r w:rsidRPr="004270A8">
              <w:rPr>
                <w:rFonts w:ascii="Verdana" w:hAnsi="Verdana"/>
                <w:sz w:val="14"/>
                <w:szCs w:val="14"/>
                <w:lang w:val="sr-Cyrl-RS"/>
              </w:rPr>
              <w:t xml:space="preserve">                                                    </w:t>
            </w:r>
            <w:r w:rsidRPr="004270A8">
              <w:rPr>
                <w:rFonts w:ascii="Verdana" w:hAnsi="Verdana"/>
                <w:sz w:val="14"/>
                <w:szCs w:val="14"/>
                <w:lang w:val="sr-Latn-RS"/>
              </w:rPr>
              <w:t>из члана 126. став 8. Закона (а8*а12)</w:t>
            </w:r>
          </w:p>
        </w:tc>
        <w:tc>
          <w:tcPr>
            <w:tcW w:w="896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  <w:tc>
          <w:tcPr>
            <w:tcW w:w="992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  <w:tc>
          <w:tcPr>
            <w:tcW w:w="992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  <w:tc>
          <w:tcPr>
            <w:tcW w:w="993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</w:tr>
      <w:tr w:rsidR="00D51543" w:rsidRPr="00802A7E" w:rsidTr="00D51543">
        <w:trPr>
          <w:trHeight w:val="397"/>
          <w:jc w:val="center"/>
        </w:trPr>
        <w:tc>
          <w:tcPr>
            <w:tcW w:w="436" w:type="dxa"/>
            <w:tcBorders>
              <w:top w:val="single" w:sz="4" w:space="0" w:color="DBE5F1" w:themeColor="accent1" w:themeTint="33"/>
              <w:bottom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  <w:r w:rsidRPr="004270A8">
              <w:rPr>
                <w:rFonts w:ascii="Verdana" w:hAnsi="Verdana"/>
                <w:sz w:val="14"/>
                <w:szCs w:val="14"/>
                <w:lang w:val="sr-Latn-RS"/>
              </w:rPr>
              <w:t>14</w:t>
            </w:r>
          </w:p>
        </w:tc>
        <w:tc>
          <w:tcPr>
            <w:tcW w:w="5103" w:type="dxa"/>
            <w:tcBorders>
              <w:top w:val="single" w:sz="4" w:space="0" w:color="DBE5F1" w:themeColor="accent1" w:themeTint="33"/>
              <w:bottom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D51543" w:rsidRPr="004270A8" w:rsidRDefault="00D51543" w:rsidP="00D51543">
            <w:pPr>
              <w:pStyle w:val="NoSpacing"/>
              <w:rPr>
                <w:rFonts w:ascii="Verdana" w:hAnsi="Verdana"/>
                <w:sz w:val="14"/>
                <w:szCs w:val="14"/>
                <w:lang w:val="sr-Latn-RS"/>
              </w:rPr>
            </w:pPr>
            <w:r w:rsidRPr="004270A8">
              <w:rPr>
                <w:rFonts w:ascii="Verdana" w:hAnsi="Verdana"/>
                <w:sz w:val="14"/>
                <w:szCs w:val="14"/>
                <w:lang w:val="sr-Latn-RS"/>
              </w:rPr>
              <w:t>Захтевана маргина солвентности периода</w:t>
            </w:r>
            <w:r w:rsidRPr="004270A8">
              <w:rPr>
                <w:rFonts w:ascii="Verdana" w:hAnsi="Verdana"/>
                <w:sz w:val="14"/>
                <w:szCs w:val="14"/>
                <w:lang w:val="sr-Cyrl-RS"/>
              </w:rPr>
              <w:t xml:space="preserve">                                      </w:t>
            </w:r>
            <w:r w:rsidRPr="004270A8">
              <w:rPr>
                <w:rFonts w:ascii="Verdana" w:hAnsi="Verdana"/>
                <w:sz w:val="14"/>
                <w:szCs w:val="14"/>
                <w:lang w:val="sr-Latn-RS"/>
              </w:rPr>
              <w:t xml:space="preserve"> (а7 ако је а7≥а8, у супротном а13)</w:t>
            </w:r>
          </w:p>
        </w:tc>
        <w:tc>
          <w:tcPr>
            <w:tcW w:w="896" w:type="dxa"/>
            <w:tcBorders>
              <w:top w:val="single" w:sz="4" w:space="0" w:color="DBE5F1" w:themeColor="accent1" w:themeTint="33"/>
              <w:bottom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  <w:tc>
          <w:tcPr>
            <w:tcW w:w="992" w:type="dxa"/>
            <w:tcBorders>
              <w:top w:val="single" w:sz="4" w:space="0" w:color="DBE5F1" w:themeColor="accent1" w:themeTint="33"/>
              <w:bottom w:val="single" w:sz="4" w:space="0" w:color="4F81BD" w:themeColor="accent1"/>
            </w:tcBorders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  <w:tc>
          <w:tcPr>
            <w:tcW w:w="992" w:type="dxa"/>
            <w:tcBorders>
              <w:top w:val="single" w:sz="4" w:space="0" w:color="DBE5F1" w:themeColor="accent1" w:themeTint="33"/>
              <w:bottom w:val="single" w:sz="4" w:space="0" w:color="4F81BD" w:themeColor="accent1"/>
            </w:tcBorders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  <w:tc>
          <w:tcPr>
            <w:tcW w:w="993" w:type="dxa"/>
            <w:tcBorders>
              <w:top w:val="single" w:sz="4" w:space="0" w:color="DBE5F1" w:themeColor="accent1" w:themeTint="33"/>
              <w:bottom w:val="single" w:sz="4" w:space="0" w:color="4F81BD" w:themeColor="accent1"/>
            </w:tcBorders>
            <w:vAlign w:val="center"/>
          </w:tcPr>
          <w:p w:rsidR="00D51543" w:rsidRPr="004270A8" w:rsidRDefault="00D51543" w:rsidP="00D51543">
            <w:pPr>
              <w:pStyle w:val="NoSpacing"/>
              <w:jc w:val="center"/>
              <w:rPr>
                <w:rFonts w:ascii="Verdana" w:hAnsi="Verdana"/>
                <w:sz w:val="14"/>
                <w:szCs w:val="14"/>
                <w:lang w:val="sr-Latn-RS"/>
              </w:rPr>
            </w:pPr>
          </w:p>
        </w:tc>
      </w:tr>
    </w:tbl>
    <w:p w:rsidR="002560FB" w:rsidRPr="003C0310" w:rsidRDefault="002560FB" w:rsidP="00D51543">
      <w:pPr>
        <w:spacing w:before="120" w:after="120" w:line="276" w:lineRule="auto"/>
        <w:jc w:val="center"/>
        <w:rPr>
          <w:rFonts w:ascii="Verdana" w:eastAsia="Calibri" w:hAnsi="Verdana"/>
          <w:noProof/>
          <w:sz w:val="20"/>
          <w:szCs w:val="22"/>
          <w:lang w:val="sr-Cyrl-CS" w:eastAsia="en-US"/>
        </w:rPr>
      </w:pPr>
    </w:p>
    <w:p w:rsidR="002560FB" w:rsidRPr="00272017" w:rsidRDefault="002560FB" w:rsidP="002560FB">
      <w:pPr>
        <w:pStyle w:val="Heading1"/>
        <w:numPr>
          <w:ilvl w:val="0"/>
          <w:numId w:val="3"/>
        </w:numPr>
        <w:tabs>
          <w:tab w:val="clear" w:pos="432"/>
        </w:tabs>
        <w:spacing w:before="360" w:after="240"/>
        <w:ind w:left="0" w:firstLine="0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59" w:name="_Toc433278697"/>
      <w:r>
        <w:rPr>
          <w:rFonts w:ascii="Verdana" w:hAnsi="Verdana" w:cs="Tahoma"/>
          <w:noProof/>
          <w:color w:val="365F91"/>
          <w:sz w:val="24"/>
          <w:szCs w:val="18"/>
          <w:lang w:val="sr-Cyrl-CS"/>
        </w:rPr>
        <w:t xml:space="preserve">ПРОЦЕНА </w:t>
      </w:r>
      <w:r w:rsidRPr="003C0310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АДЕКВАТНОСТ КАПИТАЛА</w:t>
      </w:r>
      <w:bookmarkEnd w:id="59"/>
    </w:p>
    <w:p w:rsidR="002560FB" w:rsidRPr="002560FB" w:rsidRDefault="002560FB" w:rsidP="002560FB">
      <w:pPr>
        <w:pStyle w:val="ListParagraph"/>
        <w:keepNext/>
        <w:numPr>
          <w:ilvl w:val="0"/>
          <w:numId w:val="48"/>
        </w:numPr>
        <w:spacing w:before="240" w:after="240"/>
        <w:outlineLvl w:val="0"/>
        <w:rPr>
          <w:rFonts w:ascii="Verdana" w:hAnsi="Verdana" w:cs="Tahoma"/>
          <w:b/>
          <w:bCs/>
          <w:noProof/>
          <w:vanish/>
          <w:color w:val="365F91"/>
          <w:szCs w:val="18"/>
          <w:lang w:val="sr-Cyrl-CS"/>
        </w:rPr>
      </w:pPr>
      <w:bookmarkStart w:id="60" w:name="_Toc433009546"/>
      <w:bookmarkStart w:id="61" w:name="_Toc433026506"/>
      <w:bookmarkStart w:id="62" w:name="_Toc433278698"/>
      <w:bookmarkEnd w:id="60"/>
      <w:bookmarkEnd w:id="61"/>
      <w:bookmarkEnd w:id="62"/>
    </w:p>
    <w:p w:rsidR="002560FB" w:rsidRPr="003C0310" w:rsidRDefault="002560FB" w:rsidP="002560FB">
      <w:pPr>
        <w:pStyle w:val="Heading1"/>
        <w:numPr>
          <w:ilvl w:val="1"/>
          <w:numId w:val="48"/>
        </w:numPr>
        <w:tabs>
          <w:tab w:val="clear" w:pos="336"/>
          <w:tab w:val="num" w:pos="1143"/>
        </w:tabs>
        <w:spacing w:before="240" w:after="240"/>
        <w:ind w:left="1143"/>
        <w:jc w:val="left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63" w:name="_Toc433278699"/>
      <w:r w:rsidRPr="003C0310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Процена испуњености услова који се односе на адекватност капитала</w:t>
      </w:r>
      <w:bookmarkEnd w:id="63"/>
    </w:p>
    <w:p w:rsidR="002560FB" w:rsidRDefault="002560FB" w:rsidP="002560FB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3C0310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Друштво је планирало 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адекватност</w:t>
      </w:r>
      <w:r w:rsidRPr="003C0310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капитала </w:t>
      </w:r>
      <w:r w:rsidRPr="003C0310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на основу претходно утврђеног плана свих категорија 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за утврђивање адекватности капитала</w:t>
      </w:r>
      <w:r w:rsidRPr="003C0310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, Закона о осигурању ("Службени гласник РС", бр.139/2014) и </w:t>
      </w:r>
      <w:r w:rsidRPr="00442178">
        <w:rPr>
          <w:rFonts w:ascii="Verdana" w:eastAsia="Calibri" w:hAnsi="Verdana"/>
          <w:noProof/>
          <w:sz w:val="20"/>
          <w:szCs w:val="22"/>
          <w:lang w:val="sr-Cyrl-CS" w:eastAsia="en-US"/>
        </w:rPr>
        <w:t>Одлук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е</w:t>
      </w:r>
      <w:r w:rsidRPr="00442178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о адекватности капитала друштва за осигурање/реосигурање "Службени гласник РС", бр. 51/2015</w:t>
      </w:r>
      <w:r w:rsidRPr="003C0310">
        <w:rPr>
          <w:rFonts w:ascii="Verdana" w:eastAsia="Calibri" w:hAnsi="Verdana"/>
          <w:noProof/>
          <w:sz w:val="20"/>
          <w:szCs w:val="22"/>
          <w:lang w:val="sr-Cyrl-CS" w:eastAsia="en-US"/>
        </w:rPr>
        <w:t>.</w:t>
      </w:r>
    </w:p>
    <w:p w:rsidR="002560FB" w:rsidRDefault="002560FB" w:rsidP="002560FB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Планирана д</w:t>
      </w:r>
      <w:r w:rsidRPr="00442178">
        <w:rPr>
          <w:rFonts w:ascii="Verdana" w:eastAsia="Calibri" w:hAnsi="Verdana"/>
          <w:noProof/>
          <w:sz w:val="20"/>
          <w:szCs w:val="22"/>
          <w:lang w:val="sr-Cyrl-CS" w:eastAsia="en-US"/>
        </w:rPr>
        <w:t>обит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из претходне године, умањена за 10% колико се очекује да ће износити порез на добит, евидентирана је у оквиру обрачуна адекватнсти капитала једним делом као </w:t>
      </w:r>
      <w:r w:rsidRPr="00442178">
        <w:rPr>
          <w:rFonts w:ascii="Verdana" w:eastAsia="Calibri" w:hAnsi="Verdana"/>
          <w:noProof/>
          <w:sz w:val="20"/>
          <w:szCs w:val="22"/>
          <w:lang w:val="sr-Cyrl-CS" w:eastAsia="en-US"/>
        </w:rPr>
        <w:t>нераспоређена из претходних година,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док је разлика пренета </w:t>
      </w:r>
      <w:r w:rsidRPr="00442178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на резерве 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Д</w:t>
      </w:r>
      <w:r w:rsidRPr="00442178">
        <w:rPr>
          <w:rFonts w:ascii="Verdana" w:eastAsia="Calibri" w:hAnsi="Verdana"/>
          <w:noProof/>
          <w:sz w:val="20"/>
          <w:szCs w:val="22"/>
          <w:lang w:val="sr-Cyrl-CS" w:eastAsia="en-US"/>
        </w:rPr>
        <w:t>руштва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у складу са </w:t>
      </w:r>
      <w:r w:rsidRPr="00442178">
        <w:rPr>
          <w:rFonts w:ascii="Verdana" w:eastAsia="Calibri" w:hAnsi="Verdana"/>
          <w:noProof/>
          <w:sz w:val="20"/>
          <w:szCs w:val="22"/>
          <w:lang w:val="sr-Cyrl-CS" w:eastAsia="en-US"/>
        </w:rPr>
        <w:t>услов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има</w:t>
      </w:r>
      <w:r w:rsidRPr="00442178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из 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О</w:t>
      </w:r>
      <w:r w:rsidRPr="00442178">
        <w:rPr>
          <w:rFonts w:ascii="Verdana" w:eastAsia="Calibri" w:hAnsi="Verdana"/>
          <w:noProof/>
          <w:sz w:val="20"/>
          <w:szCs w:val="22"/>
          <w:lang w:val="sr-Cyrl-CS" w:eastAsia="en-US"/>
        </w:rPr>
        <w:t>длука НБС о ограничењима појединих врста улагања у к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а</w:t>
      </w:r>
      <w:r w:rsidRPr="00442178">
        <w:rPr>
          <w:rFonts w:ascii="Verdana" w:eastAsia="Calibri" w:hAnsi="Verdana"/>
          <w:noProof/>
          <w:sz w:val="20"/>
          <w:szCs w:val="22"/>
          <w:lang w:val="sr-Cyrl-CS" w:eastAsia="en-US"/>
        </w:rPr>
        <w:t>питалу у Гарантној резерви.</w:t>
      </w:r>
    </w:p>
    <w:p w:rsidR="002560FB" w:rsidRDefault="002560FB" w:rsidP="002560FB">
      <w:pPr>
        <w:spacing w:before="12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Пројек</w:t>
      </w:r>
      <w:r>
        <w:rPr>
          <w:rStyle w:val="IntenseEmphasis"/>
          <w:rFonts w:ascii="Verdana" w:eastAsia="Calibri" w:hAnsi="Verdana"/>
          <w:noProof/>
          <w:sz w:val="22"/>
          <w:lang w:val="sr-Cyrl-CS"/>
        </w:rPr>
        <w:t>ција а</w:t>
      </w:r>
      <w:r w:rsidRPr="00442178">
        <w:rPr>
          <w:rStyle w:val="IntenseEmphasis"/>
          <w:rFonts w:ascii="Verdana" w:eastAsia="Calibri" w:hAnsi="Verdana"/>
          <w:noProof/>
          <w:sz w:val="22"/>
          <w:lang w:val="sr-Cyrl-CS"/>
        </w:rPr>
        <w:t>декватност</w:t>
      </w:r>
      <w:r>
        <w:rPr>
          <w:rStyle w:val="IntenseEmphasis"/>
          <w:rFonts w:ascii="Verdana" w:eastAsia="Calibri" w:hAnsi="Verdana"/>
          <w:noProof/>
          <w:sz w:val="22"/>
          <w:lang w:val="sr-Cyrl-CS"/>
        </w:rPr>
        <w:t>и</w:t>
      </w:r>
      <w:r w:rsidRPr="00442178">
        <w:rPr>
          <w:rStyle w:val="IntenseEmphasis"/>
          <w:rFonts w:ascii="Verdana" w:eastAsia="Calibri" w:hAnsi="Verdana"/>
          <w:noProof/>
          <w:sz w:val="22"/>
          <w:lang w:val="sr-Cyrl-CS"/>
        </w:rPr>
        <w:t xml:space="preserve"> капитала за реосигурање</w:t>
      </w:r>
    </w:p>
    <w:p w:rsidR="002560FB" w:rsidRDefault="002560FB" w:rsidP="002560FB">
      <w:pPr>
        <w:spacing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>
        <w:rPr>
          <w:rStyle w:val="IntenseEmphasis"/>
          <w:rFonts w:ascii="Verdana" w:eastAsia="Calibri" w:hAnsi="Verdana"/>
          <w:noProof/>
          <w:sz w:val="22"/>
          <w:lang w:val="sr-Cyrl-CS"/>
        </w:rPr>
        <w:t xml:space="preserve">Образац </w:t>
      </w:r>
      <w:r w:rsidRPr="00442178">
        <w:rPr>
          <w:rStyle w:val="IntenseEmphasis"/>
          <w:rFonts w:ascii="Verdana" w:eastAsia="Calibri" w:hAnsi="Verdana"/>
          <w:noProof/>
          <w:sz w:val="22"/>
          <w:lang w:val="sr-Cyrl-CS"/>
        </w:rPr>
        <w:t>АК-НО/РЕ</w:t>
      </w:r>
    </w:p>
    <w:p w:rsidR="002560FB" w:rsidRDefault="002560FB" w:rsidP="002560FB">
      <w:pPr>
        <w:spacing w:line="276" w:lineRule="auto"/>
        <w:jc w:val="right"/>
        <w:rPr>
          <w:rFonts w:ascii="Verdana" w:eastAsia="Calibri" w:hAnsi="Verdana"/>
          <w:bCs/>
          <w:iCs/>
          <w:sz w:val="20"/>
          <w:szCs w:val="22"/>
          <w:lang w:val="sr-Latn-RS" w:eastAsia="en-US"/>
        </w:rPr>
      </w:pPr>
      <w:r w:rsidRPr="004270A8">
        <w:rPr>
          <w:rFonts w:ascii="Verdana" w:eastAsia="Calibri" w:hAnsi="Verdana"/>
          <w:bCs/>
          <w:iCs/>
          <w:sz w:val="20"/>
          <w:szCs w:val="22"/>
          <w:lang w:eastAsia="en-US"/>
        </w:rPr>
        <w:t xml:space="preserve">у 000 </w:t>
      </w:r>
      <w:r w:rsidRPr="00550BB7">
        <w:rPr>
          <w:rFonts w:ascii="Verdana" w:eastAsia="Calibri" w:hAnsi="Verdana"/>
          <w:bCs/>
          <w:iCs/>
          <w:noProof/>
          <w:sz w:val="20"/>
          <w:szCs w:val="22"/>
          <w:lang w:val="sr-Latn-RS" w:eastAsia="en-US"/>
        </w:rPr>
        <w:t>РСД</w:t>
      </w:r>
      <w:r>
        <w:rPr>
          <w:rFonts w:ascii="Verdana" w:eastAsia="Calibri" w:hAnsi="Verdana"/>
          <w:bCs/>
          <w:iCs/>
          <w:sz w:val="20"/>
          <w:szCs w:val="22"/>
          <w:lang w:val="sr-Cyrl-RS" w:eastAsia="en-US"/>
        </w:rPr>
        <w:t xml:space="preserve"> </w:t>
      </w:r>
      <w:r w:rsidRPr="00550BB7">
        <w:rPr>
          <w:rFonts w:ascii="Verdana" w:eastAsia="Calibri" w:hAnsi="Verdana"/>
          <w:bCs/>
          <w:iCs/>
          <w:sz w:val="20"/>
          <w:szCs w:val="22"/>
          <w:lang w:val="sr-Cyrl-RS" w:eastAsia="en-US"/>
        </w:rPr>
        <w:t>(осим под X)</w:t>
      </w:r>
    </w:p>
    <w:tbl>
      <w:tblPr>
        <w:tblW w:w="997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24"/>
        <w:gridCol w:w="3231"/>
        <w:gridCol w:w="1531"/>
        <w:gridCol w:w="1531"/>
        <w:gridCol w:w="1531"/>
        <w:gridCol w:w="1531"/>
      </w:tblGrid>
      <w:tr w:rsidR="00D51543" w:rsidRPr="00550BB7" w:rsidTr="00574B77">
        <w:trPr>
          <w:trHeight w:val="283"/>
        </w:trPr>
        <w:tc>
          <w:tcPr>
            <w:tcW w:w="624" w:type="dxa"/>
            <w:shd w:val="clear" w:color="auto" w:fill="4F81BD" w:themeFill="accent1"/>
            <w:vAlign w:val="center"/>
            <w:hideMark/>
          </w:tcPr>
          <w:p w:rsidR="00D51543" w:rsidRPr="00550BB7" w:rsidRDefault="00D51543" w:rsidP="00574B77">
            <w:pPr>
              <w:pStyle w:val="NoSpacing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Latn-RS"/>
              </w:rPr>
            </w:pPr>
          </w:p>
        </w:tc>
        <w:tc>
          <w:tcPr>
            <w:tcW w:w="3231" w:type="dxa"/>
            <w:shd w:val="clear" w:color="auto" w:fill="4F81BD" w:themeFill="accent1"/>
            <w:vAlign w:val="center"/>
            <w:hideMark/>
          </w:tcPr>
          <w:p w:rsidR="00D51543" w:rsidRPr="00550BB7" w:rsidRDefault="00D51543" w:rsidP="00574B77">
            <w:pPr>
              <w:pStyle w:val="NoSpacing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Latn-RS"/>
              </w:rPr>
              <w:t>ОПИС</w:t>
            </w:r>
          </w:p>
        </w:tc>
        <w:tc>
          <w:tcPr>
            <w:tcW w:w="1531" w:type="dxa"/>
            <w:shd w:val="clear" w:color="auto" w:fill="4F81BD" w:themeFill="accent1"/>
            <w:vAlign w:val="center"/>
          </w:tcPr>
          <w:p w:rsidR="00D51543" w:rsidRPr="00550BB7" w:rsidRDefault="00D51543" w:rsidP="00574B77">
            <w:pPr>
              <w:pStyle w:val="NoSpacing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</w:pPr>
            <w:r w:rsidRPr="00550BB7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  <w:t>2016</w:t>
            </w:r>
          </w:p>
        </w:tc>
        <w:tc>
          <w:tcPr>
            <w:tcW w:w="1531" w:type="dxa"/>
            <w:shd w:val="clear" w:color="auto" w:fill="4F81BD" w:themeFill="accent1"/>
            <w:vAlign w:val="center"/>
          </w:tcPr>
          <w:p w:rsidR="00D51543" w:rsidRPr="00550BB7" w:rsidRDefault="00D51543" w:rsidP="00574B77">
            <w:pPr>
              <w:pStyle w:val="NoSpacing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</w:pPr>
            <w:r w:rsidRPr="00550BB7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  <w:t>2017</w:t>
            </w:r>
          </w:p>
        </w:tc>
        <w:tc>
          <w:tcPr>
            <w:tcW w:w="1531" w:type="dxa"/>
            <w:shd w:val="clear" w:color="auto" w:fill="4F81BD" w:themeFill="accent1"/>
            <w:vAlign w:val="center"/>
          </w:tcPr>
          <w:p w:rsidR="00D51543" w:rsidRPr="00550BB7" w:rsidRDefault="00D51543" w:rsidP="00574B77">
            <w:pPr>
              <w:pStyle w:val="NoSpacing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</w:pPr>
            <w:r w:rsidRPr="00550BB7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  <w:t>2018</w:t>
            </w:r>
          </w:p>
        </w:tc>
        <w:tc>
          <w:tcPr>
            <w:tcW w:w="1531" w:type="dxa"/>
            <w:shd w:val="clear" w:color="auto" w:fill="4F81BD" w:themeFill="accent1"/>
            <w:vAlign w:val="center"/>
          </w:tcPr>
          <w:p w:rsidR="00D51543" w:rsidRPr="00550BB7" w:rsidRDefault="00D51543" w:rsidP="00574B77">
            <w:pPr>
              <w:pStyle w:val="NoSpacing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</w:pPr>
            <w:r w:rsidRPr="00550BB7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  <w:t>2019</w:t>
            </w:r>
          </w:p>
        </w:tc>
      </w:tr>
      <w:tr w:rsidR="00574B77" w:rsidRPr="00550BB7" w:rsidTr="00294CFC">
        <w:trPr>
          <w:trHeight w:val="397"/>
        </w:trPr>
        <w:tc>
          <w:tcPr>
            <w:tcW w:w="624" w:type="dxa"/>
            <w:shd w:val="clear" w:color="auto" w:fill="DBE5F1" w:themeFill="accent1" w:themeFillTint="33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>I</w:t>
            </w:r>
          </w:p>
        </w:tc>
        <w:tc>
          <w:tcPr>
            <w:tcW w:w="3231" w:type="dxa"/>
            <w:shd w:val="clear" w:color="auto" w:fill="DBE5F1" w:themeFill="accent1" w:themeFillTint="33"/>
            <w:vAlign w:val="center"/>
            <w:hideMark/>
          </w:tcPr>
          <w:p w:rsidR="00574B77" w:rsidRPr="00550BB7" w:rsidRDefault="00574B77" w:rsidP="00574B77">
            <w:pPr>
              <w:pStyle w:val="NoSpacing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>ПРИМАРНИ КАПИТАЛ (1+2+3+4+5)</w:t>
            </w:r>
          </w:p>
        </w:tc>
        <w:tc>
          <w:tcPr>
            <w:tcW w:w="1531" w:type="dxa"/>
            <w:shd w:val="clear" w:color="auto" w:fill="DBE5F1" w:themeFill="accent1" w:themeFillTint="33"/>
            <w:vAlign w:val="center"/>
            <w:hideMark/>
          </w:tcPr>
          <w:p w:rsidR="00574B77" w:rsidRPr="00CD7084" w:rsidRDefault="00574B77" w:rsidP="00294CFC">
            <w:pPr>
              <w:jc w:val="right"/>
            </w:pPr>
            <w:r w:rsidRPr="00574B77">
              <w:rPr>
                <w:rFonts w:ascii="Verdana" w:hAnsi="Verdana"/>
                <w:b/>
                <w:sz w:val="16"/>
                <w:szCs w:val="16"/>
                <w:lang w:eastAsia="en-US"/>
              </w:rPr>
              <w:t>1,192,007,966</w:t>
            </w:r>
          </w:p>
        </w:tc>
        <w:tc>
          <w:tcPr>
            <w:tcW w:w="1531" w:type="dxa"/>
            <w:shd w:val="clear" w:color="auto" w:fill="DBE5F1" w:themeFill="accent1" w:themeFillTint="33"/>
            <w:vAlign w:val="center"/>
          </w:tcPr>
          <w:p w:rsidR="00574B77" w:rsidRPr="005C29E3" w:rsidRDefault="00574B77" w:rsidP="00294CFC">
            <w:pPr>
              <w:jc w:val="right"/>
            </w:pPr>
            <w:r w:rsidRPr="00574B77">
              <w:rPr>
                <w:rFonts w:ascii="Verdana" w:hAnsi="Verdana"/>
                <w:b/>
                <w:sz w:val="16"/>
                <w:szCs w:val="16"/>
                <w:lang w:eastAsia="en-US"/>
              </w:rPr>
              <w:t>1,328,113,966</w:t>
            </w:r>
          </w:p>
        </w:tc>
        <w:tc>
          <w:tcPr>
            <w:tcW w:w="1531" w:type="dxa"/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jc w:val="right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  <w:lang w:eastAsia="en-US"/>
              </w:rPr>
              <w:t>1,501,408,966</w:t>
            </w:r>
          </w:p>
        </w:tc>
        <w:tc>
          <w:tcPr>
            <w:tcW w:w="1531" w:type="dxa"/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jc w:val="right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  <w:lang w:eastAsia="en-US"/>
              </w:rPr>
              <w:t>1,708,797,966</w:t>
            </w:r>
          </w:p>
        </w:tc>
      </w:tr>
      <w:tr w:rsidR="00574B77" w:rsidRPr="00550BB7" w:rsidTr="00294CFC">
        <w:trPr>
          <w:trHeight w:val="397"/>
        </w:trPr>
        <w:tc>
          <w:tcPr>
            <w:tcW w:w="624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1.</w:t>
            </w:r>
          </w:p>
        </w:tc>
        <w:tc>
          <w:tcPr>
            <w:tcW w:w="32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Уплаћени основни капитал по основу обичних акција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764,802,000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764,802,000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764,802,000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764,802,000</w:t>
            </w:r>
          </w:p>
        </w:tc>
      </w:tr>
      <w:tr w:rsidR="00574B77" w:rsidRPr="00550BB7" w:rsidTr="00294CFC">
        <w:trPr>
          <w:trHeight w:val="850"/>
        </w:trPr>
        <w:tc>
          <w:tcPr>
            <w:tcW w:w="624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2.</w:t>
            </w:r>
          </w:p>
        </w:tc>
        <w:tc>
          <w:tcPr>
            <w:tcW w:w="32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Резерве утврђене статутом и другим актима друштва, осим резерви повезаних с преференцијалним акцијама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153,759,936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318,778,517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441,338,517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590,990,517</w:t>
            </w:r>
          </w:p>
        </w:tc>
      </w:tr>
      <w:tr w:rsidR="00574B77" w:rsidRPr="00550BB7" w:rsidTr="00294CFC">
        <w:trPr>
          <w:trHeight w:val="397"/>
        </w:trPr>
        <w:tc>
          <w:tcPr>
            <w:tcW w:w="624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3.</w:t>
            </w:r>
          </w:p>
        </w:tc>
        <w:tc>
          <w:tcPr>
            <w:tcW w:w="32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Ревалоризационе резерве с нереализованим резултатима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47,147,449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47,147,449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47,147,449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47,147,449</w:t>
            </w:r>
          </w:p>
        </w:tc>
      </w:tr>
      <w:tr w:rsidR="00574B77" w:rsidRPr="00550BB7" w:rsidTr="00294CFC">
        <w:trPr>
          <w:trHeight w:val="397"/>
        </w:trPr>
        <w:tc>
          <w:tcPr>
            <w:tcW w:w="624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4.</w:t>
            </w:r>
          </w:p>
        </w:tc>
        <w:tc>
          <w:tcPr>
            <w:tcW w:w="32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 xml:space="preserve">Нераспоређени добитак </w:t>
            </w:r>
          </w:p>
          <w:p w:rsidR="00574B77" w:rsidRPr="00550BB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ранијих година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165,018,581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122,560,000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149,652,000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196,938,000</w:t>
            </w:r>
          </w:p>
        </w:tc>
      </w:tr>
      <w:tr w:rsidR="00574B77" w:rsidRPr="00550BB7" w:rsidTr="00294CFC">
        <w:trPr>
          <w:trHeight w:val="397"/>
        </w:trPr>
        <w:tc>
          <w:tcPr>
            <w:tcW w:w="624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5.</w:t>
            </w:r>
          </w:p>
        </w:tc>
        <w:tc>
          <w:tcPr>
            <w:tcW w:w="32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Нераспоређени добитак текуће године, до 50%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61,280,000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74,826,000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98,469,000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108,920,000</w:t>
            </w:r>
          </w:p>
        </w:tc>
      </w:tr>
      <w:tr w:rsidR="00574B77" w:rsidRPr="00550BB7" w:rsidTr="00294CFC">
        <w:trPr>
          <w:trHeight w:val="397"/>
        </w:trPr>
        <w:tc>
          <w:tcPr>
            <w:tcW w:w="624" w:type="dxa"/>
            <w:shd w:val="clear" w:color="auto" w:fill="DBE5F1" w:themeFill="accent1" w:themeFillTint="33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>II</w:t>
            </w:r>
          </w:p>
        </w:tc>
        <w:tc>
          <w:tcPr>
            <w:tcW w:w="3231" w:type="dxa"/>
            <w:shd w:val="clear" w:color="auto" w:fill="DBE5F1" w:themeFill="accent1" w:themeFillTint="33"/>
            <w:vAlign w:val="center"/>
            <w:hideMark/>
          </w:tcPr>
          <w:p w:rsidR="00574B77" w:rsidRDefault="00574B77" w:rsidP="00574B77">
            <w:pPr>
              <w:pStyle w:val="NoSpacing"/>
              <w:rPr>
                <w:rFonts w:ascii="Verdana" w:hAnsi="Verdana"/>
                <w:b/>
                <w:bCs/>
                <w:sz w:val="16"/>
                <w:szCs w:val="16"/>
                <w:lang w:val="sr-Cyrl-RS"/>
              </w:rPr>
            </w:pPr>
            <w:r w:rsidRPr="00550BB7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 xml:space="preserve">ДОПУНСКИ КАПИТАЛ </w:t>
            </w:r>
          </w:p>
          <w:p w:rsidR="00574B77" w:rsidRPr="00550BB7" w:rsidRDefault="00574B77" w:rsidP="00574B77">
            <w:pPr>
              <w:pStyle w:val="NoSpacing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>(6+7+8)</w:t>
            </w:r>
          </w:p>
        </w:tc>
        <w:tc>
          <w:tcPr>
            <w:tcW w:w="1531" w:type="dxa"/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574B77"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shd w:val="clear" w:color="auto" w:fill="DBE5F1" w:themeFill="accent1" w:themeFillTint="33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shd w:val="clear" w:color="auto" w:fill="DBE5F1" w:themeFill="accent1" w:themeFillTint="33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</w:tr>
      <w:tr w:rsidR="00574B77" w:rsidRPr="00550BB7" w:rsidTr="00294CFC">
        <w:trPr>
          <w:trHeight w:val="397"/>
        </w:trPr>
        <w:tc>
          <w:tcPr>
            <w:tcW w:w="624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6.</w:t>
            </w:r>
          </w:p>
        </w:tc>
        <w:tc>
          <w:tcPr>
            <w:tcW w:w="32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Уплаћени основни капитал по основу преференцијалних акција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</w:tr>
      <w:tr w:rsidR="00574B77" w:rsidRPr="00550BB7" w:rsidTr="00294CFC">
        <w:trPr>
          <w:trHeight w:val="397"/>
        </w:trPr>
        <w:tc>
          <w:tcPr>
            <w:tcW w:w="624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7.</w:t>
            </w:r>
          </w:p>
        </w:tc>
        <w:tc>
          <w:tcPr>
            <w:tcW w:w="32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Резерве повезане с преференцијалним акцијама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</w:tr>
      <w:tr w:rsidR="00574B77" w:rsidRPr="00550BB7" w:rsidTr="00294CFC">
        <w:trPr>
          <w:trHeight w:val="397"/>
        </w:trPr>
        <w:tc>
          <w:tcPr>
            <w:tcW w:w="624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8.</w:t>
            </w:r>
          </w:p>
        </w:tc>
        <w:tc>
          <w:tcPr>
            <w:tcW w:w="32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Дугорочне обавезе које се могу конвертовати у капитал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</w:tr>
      <w:tr w:rsidR="00574B77" w:rsidRPr="00550BB7" w:rsidTr="00294CFC">
        <w:trPr>
          <w:trHeight w:val="397"/>
        </w:trPr>
        <w:tc>
          <w:tcPr>
            <w:tcW w:w="624" w:type="dxa"/>
            <w:shd w:val="clear" w:color="auto" w:fill="DBE5F1" w:themeFill="accent1" w:themeFillTint="33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>III</w:t>
            </w:r>
          </w:p>
        </w:tc>
        <w:tc>
          <w:tcPr>
            <w:tcW w:w="3231" w:type="dxa"/>
            <w:shd w:val="clear" w:color="auto" w:fill="DBE5F1" w:themeFill="accent1" w:themeFillTint="33"/>
            <w:vAlign w:val="center"/>
            <w:hideMark/>
          </w:tcPr>
          <w:p w:rsidR="00574B77" w:rsidRPr="00550BB7" w:rsidRDefault="00574B77" w:rsidP="00574B77">
            <w:pPr>
              <w:pStyle w:val="NoSpacing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>ОДБИТНЕ СТАВКЕ, ПРВИ ДЕО (9+10+11+12)</w:t>
            </w:r>
          </w:p>
        </w:tc>
        <w:tc>
          <w:tcPr>
            <w:tcW w:w="1531" w:type="dxa"/>
            <w:shd w:val="clear" w:color="auto" w:fill="DBE5F1" w:themeFill="accent1" w:themeFillTint="33"/>
            <w:vAlign w:val="center"/>
            <w:hideMark/>
          </w:tcPr>
          <w:p w:rsidR="00574B77" w:rsidRPr="00CD7084" w:rsidRDefault="00574B77" w:rsidP="00294CFC">
            <w:pPr>
              <w:pStyle w:val="NoSpacing"/>
              <w:jc w:val="right"/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16,735,082</w:t>
            </w:r>
          </w:p>
        </w:tc>
        <w:tc>
          <w:tcPr>
            <w:tcW w:w="1531" w:type="dxa"/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16,735,082</w:t>
            </w:r>
          </w:p>
        </w:tc>
        <w:tc>
          <w:tcPr>
            <w:tcW w:w="1531" w:type="dxa"/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16,735,082</w:t>
            </w:r>
          </w:p>
        </w:tc>
        <w:tc>
          <w:tcPr>
            <w:tcW w:w="1531" w:type="dxa"/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16,735,082</w:t>
            </w:r>
          </w:p>
        </w:tc>
      </w:tr>
      <w:tr w:rsidR="00574B77" w:rsidRPr="00550BB7" w:rsidTr="00294CFC">
        <w:trPr>
          <w:trHeight w:val="283"/>
        </w:trPr>
        <w:tc>
          <w:tcPr>
            <w:tcW w:w="624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9.</w:t>
            </w:r>
          </w:p>
        </w:tc>
        <w:tc>
          <w:tcPr>
            <w:tcW w:w="32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Нематеријална имовина (улагања)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16,735,082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16,735,082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16,735,082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 w:rsidRPr="00574B77">
              <w:rPr>
                <w:rFonts w:ascii="Verdana" w:hAnsi="Verdana"/>
                <w:sz w:val="16"/>
                <w:szCs w:val="16"/>
              </w:rPr>
              <w:t>16,735,082</w:t>
            </w:r>
          </w:p>
        </w:tc>
      </w:tr>
      <w:tr w:rsidR="00574B77" w:rsidRPr="00550BB7" w:rsidTr="00294CFC">
        <w:trPr>
          <w:trHeight w:val="283"/>
        </w:trPr>
        <w:tc>
          <w:tcPr>
            <w:tcW w:w="624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10.</w:t>
            </w:r>
          </w:p>
        </w:tc>
        <w:tc>
          <w:tcPr>
            <w:tcW w:w="32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Откупљене сопствене акције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574B77" w:rsidRPr="00550BB7" w:rsidTr="00294CFC">
        <w:trPr>
          <w:trHeight w:val="397"/>
        </w:trPr>
        <w:tc>
          <w:tcPr>
            <w:tcW w:w="624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11.</w:t>
            </w:r>
          </w:p>
        </w:tc>
        <w:tc>
          <w:tcPr>
            <w:tcW w:w="32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Губитак текуће године и непокривени губитак ранијих год</w:t>
            </w:r>
            <w:r>
              <w:rPr>
                <w:rFonts w:ascii="Verdana" w:hAnsi="Verdana"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294CFC" w:rsidRPr="00550BB7" w:rsidTr="00294CFC">
        <w:trPr>
          <w:trHeight w:val="397"/>
        </w:trPr>
        <w:tc>
          <w:tcPr>
            <w:tcW w:w="624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294CFC" w:rsidRPr="00550BB7" w:rsidRDefault="00294CFC" w:rsidP="00574B77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12.</w:t>
            </w:r>
          </w:p>
        </w:tc>
        <w:tc>
          <w:tcPr>
            <w:tcW w:w="32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294CFC" w:rsidRPr="00550BB7" w:rsidRDefault="00294CFC" w:rsidP="00574B77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Разлика недисконтованих и дисконтованих резервисаних штета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294CFC" w:rsidRPr="00574B77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</w:tcPr>
          <w:p w:rsidR="00294CFC" w:rsidRDefault="00294CFC" w:rsidP="00294CFC">
            <w:pPr>
              <w:jc w:val="right"/>
            </w:pPr>
            <w:r w:rsidRPr="003B3CEF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</w:tcPr>
          <w:p w:rsidR="00294CFC" w:rsidRDefault="00294CFC" w:rsidP="00294CFC">
            <w:pPr>
              <w:jc w:val="right"/>
            </w:pPr>
            <w:r w:rsidRPr="003B3CEF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</w:tcPr>
          <w:p w:rsidR="00294CFC" w:rsidRDefault="00294CFC" w:rsidP="00294CFC">
            <w:pPr>
              <w:jc w:val="right"/>
            </w:pPr>
            <w:r w:rsidRPr="003B3CEF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574B77" w:rsidRPr="00550BB7" w:rsidTr="00294CFC">
        <w:trPr>
          <w:trHeight w:val="397"/>
        </w:trPr>
        <w:tc>
          <w:tcPr>
            <w:tcW w:w="624" w:type="dxa"/>
            <w:shd w:val="clear" w:color="auto" w:fill="4F81BD" w:themeFill="accent1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b/>
                <w:bCs/>
                <w:color w:val="FFFFFF" w:themeColor="background1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b/>
                <w:bCs/>
                <w:color w:val="FFFFFF" w:themeColor="background1"/>
                <w:sz w:val="16"/>
                <w:szCs w:val="16"/>
                <w:lang w:val="sr-Latn-RS"/>
              </w:rPr>
              <w:t>IV</w:t>
            </w:r>
          </w:p>
        </w:tc>
        <w:tc>
          <w:tcPr>
            <w:tcW w:w="3231" w:type="dxa"/>
            <w:shd w:val="clear" w:color="auto" w:fill="4F81BD" w:themeFill="accent1"/>
            <w:vAlign w:val="center"/>
            <w:hideMark/>
          </w:tcPr>
          <w:p w:rsidR="00574B77" w:rsidRPr="00550BB7" w:rsidRDefault="00574B77" w:rsidP="00574B77">
            <w:pPr>
              <w:pStyle w:val="NoSpacing"/>
              <w:rPr>
                <w:rFonts w:ascii="Verdana" w:hAnsi="Verdana"/>
                <w:b/>
                <w:bCs/>
                <w:color w:val="FFFFFF" w:themeColor="background1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b/>
                <w:bCs/>
                <w:color w:val="FFFFFF" w:themeColor="background1"/>
                <w:sz w:val="16"/>
                <w:szCs w:val="16"/>
                <w:lang w:val="sr-Latn-RS"/>
              </w:rPr>
              <w:t>ГАРАНТНИ КАПИТАЛ (I+II-III)</w:t>
            </w:r>
          </w:p>
        </w:tc>
        <w:tc>
          <w:tcPr>
            <w:tcW w:w="1531" w:type="dxa"/>
            <w:shd w:val="clear" w:color="auto" w:fill="4F81BD" w:themeFill="accent1"/>
            <w:vAlign w:val="center"/>
            <w:hideMark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1,175,272,884</w:t>
            </w:r>
          </w:p>
        </w:tc>
        <w:tc>
          <w:tcPr>
            <w:tcW w:w="1531" w:type="dxa"/>
            <w:shd w:val="clear" w:color="auto" w:fill="4F81BD" w:themeFill="accent1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1,311,378,884</w:t>
            </w:r>
          </w:p>
        </w:tc>
        <w:tc>
          <w:tcPr>
            <w:tcW w:w="1531" w:type="dxa"/>
            <w:shd w:val="clear" w:color="auto" w:fill="4F81BD" w:themeFill="accent1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1,484,673,884</w:t>
            </w:r>
          </w:p>
        </w:tc>
        <w:tc>
          <w:tcPr>
            <w:tcW w:w="1531" w:type="dxa"/>
            <w:shd w:val="clear" w:color="auto" w:fill="4F81BD" w:themeFill="accent1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1,692,062,884</w:t>
            </w:r>
          </w:p>
        </w:tc>
      </w:tr>
      <w:tr w:rsidR="00574B77" w:rsidRPr="00550BB7" w:rsidTr="00294CFC">
        <w:trPr>
          <w:trHeight w:val="397"/>
        </w:trPr>
        <w:tc>
          <w:tcPr>
            <w:tcW w:w="624" w:type="dxa"/>
            <w:shd w:val="clear" w:color="auto" w:fill="DBE5F1" w:themeFill="accent1" w:themeFillTint="33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>V</w:t>
            </w:r>
          </w:p>
        </w:tc>
        <w:tc>
          <w:tcPr>
            <w:tcW w:w="3231" w:type="dxa"/>
            <w:shd w:val="clear" w:color="auto" w:fill="DBE5F1" w:themeFill="accent1" w:themeFillTint="33"/>
            <w:vAlign w:val="center"/>
            <w:hideMark/>
          </w:tcPr>
          <w:p w:rsidR="00574B77" w:rsidRPr="00550BB7" w:rsidRDefault="00574B77" w:rsidP="00574B77">
            <w:pPr>
              <w:pStyle w:val="NoSpacing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>ОДБИТНЕ СТАВКЕ, ДРУГИ ДЕО (13+14+15)</w:t>
            </w:r>
          </w:p>
        </w:tc>
        <w:tc>
          <w:tcPr>
            <w:tcW w:w="1531" w:type="dxa"/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shd w:val="clear" w:color="auto" w:fill="DBE5F1" w:themeFill="accent1" w:themeFillTint="33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shd w:val="clear" w:color="auto" w:fill="DBE5F1" w:themeFill="accent1" w:themeFillTint="33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shd w:val="clear" w:color="auto" w:fill="DBE5F1" w:themeFill="accent1" w:themeFillTint="33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</w:tr>
      <w:tr w:rsidR="00574B77" w:rsidRPr="00550BB7" w:rsidTr="00294CFC">
        <w:trPr>
          <w:trHeight w:val="510"/>
        </w:trPr>
        <w:tc>
          <w:tcPr>
            <w:tcW w:w="624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13.</w:t>
            </w:r>
          </w:p>
        </w:tc>
        <w:tc>
          <w:tcPr>
            <w:tcW w:w="32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 xml:space="preserve">Удели, односно акције </w:t>
            </w:r>
            <w:r>
              <w:rPr>
                <w:rFonts w:ascii="Verdana" w:hAnsi="Verdana"/>
                <w:sz w:val="16"/>
                <w:szCs w:val="16"/>
                <w:lang w:val="sr-Cyrl-RS"/>
              </w:rPr>
              <w:t>к</w:t>
            </w: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o</w:t>
            </w:r>
            <w:r>
              <w:rPr>
                <w:rFonts w:ascii="Verdana" w:hAnsi="Verdana"/>
                <w:sz w:val="16"/>
                <w:szCs w:val="16"/>
                <w:lang w:val="sr-Cyrl-RS"/>
              </w:rPr>
              <w:t>д</w:t>
            </w: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 xml:space="preserve"> других друштава за осигурање са седиштем у Републици Србији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</w:tr>
      <w:tr w:rsidR="00D51543" w:rsidRPr="00550BB7" w:rsidTr="00574B77">
        <w:trPr>
          <w:trHeight w:val="283"/>
        </w:trPr>
        <w:tc>
          <w:tcPr>
            <w:tcW w:w="624" w:type="dxa"/>
            <w:shd w:val="clear" w:color="auto" w:fill="4F81BD" w:themeFill="accent1"/>
            <w:vAlign w:val="center"/>
            <w:hideMark/>
          </w:tcPr>
          <w:p w:rsidR="00D51543" w:rsidRPr="00550BB7" w:rsidRDefault="00D51543" w:rsidP="00574B77">
            <w:pPr>
              <w:pStyle w:val="NoSpacing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Latn-RS"/>
              </w:rPr>
            </w:pPr>
          </w:p>
        </w:tc>
        <w:tc>
          <w:tcPr>
            <w:tcW w:w="3231" w:type="dxa"/>
            <w:shd w:val="clear" w:color="auto" w:fill="4F81BD" w:themeFill="accent1"/>
            <w:vAlign w:val="center"/>
            <w:hideMark/>
          </w:tcPr>
          <w:p w:rsidR="00D51543" w:rsidRPr="00550BB7" w:rsidRDefault="00D51543" w:rsidP="00574B77">
            <w:pPr>
              <w:pStyle w:val="NoSpacing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Latn-RS"/>
              </w:rPr>
              <w:t>ОПИС</w:t>
            </w:r>
          </w:p>
        </w:tc>
        <w:tc>
          <w:tcPr>
            <w:tcW w:w="1531" w:type="dxa"/>
            <w:shd w:val="clear" w:color="auto" w:fill="4F81BD" w:themeFill="accent1"/>
            <w:vAlign w:val="center"/>
          </w:tcPr>
          <w:p w:rsidR="00D51543" w:rsidRPr="00550BB7" w:rsidRDefault="00D51543" w:rsidP="00574B77">
            <w:pPr>
              <w:pStyle w:val="NoSpacing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</w:pPr>
            <w:r w:rsidRPr="00550BB7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  <w:t>2016</w:t>
            </w:r>
          </w:p>
        </w:tc>
        <w:tc>
          <w:tcPr>
            <w:tcW w:w="1531" w:type="dxa"/>
            <w:shd w:val="clear" w:color="auto" w:fill="4F81BD" w:themeFill="accent1"/>
            <w:vAlign w:val="center"/>
          </w:tcPr>
          <w:p w:rsidR="00D51543" w:rsidRPr="00550BB7" w:rsidRDefault="00D51543" w:rsidP="00574B77">
            <w:pPr>
              <w:pStyle w:val="NoSpacing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</w:pPr>
            <w:r w:rsidRPr="00550BB7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  <w:t>2017</w:t>
            </w:r>
          </w:p>
        </w:tc>
        <w:tc>
          <w:tcPr>
            <w:tcW w:w="1531" w:type="dxa"/>
            <w:shd w:val="clear" w:color="auto" w:fill="4F81BD" w:themeFill="accent1"/>
            <w:vAlign w:val="center"/>
          </w:tcPr>
          <w:p w:rsidR="00D51543" w:rsidRPr="00550BB7" w:rsidRDefault="00D51543" w:rsidP="00574B77">
            <w:pPr>
              <w:pStyle w:val="NoSpacing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</w:pPr>
            <w:r w:rsidRPr="00550BB7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  <w:t>2018</w:t>
            </w:r>
          </w:p>
        </w:tc>
        <w:tc>
          <w:tcPr>
            <w:tcW w:w="1531" w:type="dxa"/>
            <w:shd w:val="clear" w:color="auto" w:fill="4F81BD" w:themeFill="accent1"/>
            <w:vAlign w:val="center"/>
          </w:tcPr>
          <w:p w:rsidR="00D51543" w:rsidRPr="00550BB7" w:rsidRDefault="00D51543" w:rsidP="00574B77">
            <w:pPr>
              <w:pStyle w:val="NoSpacing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</w:pPr>
            <w:r w:rsidRPr="00550BB7">
              <w:rPr>
                <w:rFonts w:ascii="Verdana" w:hAnsi="Verdana"/>
                <w:b/>
                <w:color w:val="FFFFFF" w:themeColor="background1"/>
                <w:sz w:val="16"/>
                <w:szCs w:val="16"/>
                <w:lang w:val="sr-Cyrl-RS"/>
              </w:rPr>
              <w:t>2019</w:t>
            </w:r>
          </w:p>
        </w:tc>
      </w:tr>
      <w:tr w:rsidR="00574B77" w:rsidRPr="00550BB7" w:rsidTr="00294CFC">
        <w:trPr>
          <w:trHeight w:val="907"/>
        </w:trPr>
        <w:tc>
          <w:tcPr>
            <w:tcW w:w="624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14.</w:t>
            </w:r>
          </w:p>
        </w:tc>
        <w:tc>
          <w:tcPr>
            <w:tcW w:w="32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Нето износ улагања у инструменте субординираног дуга и друге дужничке инструменте правних лица у којима друштво има контролно учешће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</w:tr>
      <w:tr w:rsidR="00574B77" w:rsidRPr="00550BB7" w:rsidTr="00294CFC">
        <w:trPr>
          <w:trHeight w:val="283"/>
        </w:trPr>
        <w:tc>
          <w:tcPr>
            <w:tcW w:w="624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15.</w:t>
            </w:r>
          </w:p>
        </w:tc>
        <w:tc>
          <w:tcPr>
            <w:tcW w:w="32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Неликвидна средства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</w:tr>
      <w:tr w:rsidR="00574B77" w:rsidRPr="00550BB7" w:rsidTr="00294CFC">
        <w:trPr>
          <w:trHeight w:val="624"/>
        </w:trPr>
        <w:tc>
          <w:tcPr>
            <w:tcW w:w="624" w:type="dxa"/>
            <w:shd w:val="clear" w:color="auto" w:fill="4F81BD" w:themeFill="accent1"/>
            <w:vAlign w:val="center"/>
            <w:hideMark/>
          </w:tcPr>
          <w:p w:rsidR="00574B77" w:rsidRPr="00783533" w:rsidRDefault="00574B77" w:rsidP="00574B77">
            <w:pPr>
              <w:pStyle w:val="NoSpacing"/>
              <w:jc w:val="center"/>
              <w:rPr>
                <w:rFonts w:ascii="Verdana" w:hAnsi="Verdana"/>
                <w:b/>
                <w:bCs/>
                <w:color w:val="FFFFFF" w:themeColor="background1"/>
                <w:sz w:val="16"/>
                <w:szCs w:val="16"/>
                <w:lang w:val="sr-Latn-RS"/>
              </w:rPr>
            </w:pPr>
            <w:r w:rsidRPr="00783533">
              <w:rPr>
                <w:rFonts w:ascii="Verdana" w:hAnsi="Verdana"/>
                <w:b/>
                <w:bCs/>
                <w:color w:val="FFFFFF" w:themeColor="background1"/>
                <w:sz w:val="16"/>
                <w:szCs w:val="16"/>
                <w:lang w:val="sr-Latn-RS"/>
              </w:rPr>
              <w:t>VI</w:t>
            </w:r>
          </w:p>
        </w:tc>
        <w:tc>
          <w:tcPr>
            <w:tcW w:w="3231" w:type="dxa"/>
            <w:shd w:val="clear" w:color="auto" w:fill="4F81BD" w:themeFill="accent1"/>
            <w:vAlign w:val="center"/>
            <w:hideMark/>
          </w:tcPr>
          <w:p w:rsidR="00574B77" w:rsidRPr="00783533" w:rsidRDefault="00574B77" w:rsidP="00574B77">
            <w:pPr>
              <w:pStyle w:val="NoSpacing"/>
              <w:rPr>
                <w:rFonts w:ascii="Verdana" w:hAnsi="Verdana"/>
                <w:b/>
                <w:bCs/>
                <w:color w:val="FFFFFF" w:themeColor="background1"/>
                <w:sz w:val="16"/>
                <w:szCs w:val="16"/>
                <w:lang w:val="sr-Latn-RS"/>
              </w:rPr>
            </w:pPr>
            <w:r w:rsidRPr="00783533">
              <w:rPr>
                <w:rFonts w:ascii="Verdana" w:hAnsi="Verdana"/>
                <w:b/>
                <w:bCs/>
                <w:color w:val="FFFFFF" w:themeColor="background1"/>
                <w:sz w:val="16"/>
                <w:szCs w:val="16"/>
                <w:lang w:val="sr-Latn-RS"/>
              </w:rPr>
              <w:t>ГАРАНТНА РЕЗЕРВА, ПРЕЛИМИНАРНИ РЕЗУЛТАТ (I+II-III-V)</w:t>
            </w:r>
          </w:p>
        </w:tc>
        <w:tc>
          <w:tcPr>
            <w:tcW w:w="1531" w:type="dxa"/>
            <w:shd w:val="clear" w:color="auto" w:fill="4F81BD" w:themeFill="accent1"/>
            <w:vAlign w:val="center"/>
            <w:hideMark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1,175,272,884</w:t>
            </w:r>
          </w:p>
        </w:tc>
        <w:tc>
          <w:tcPr>
            <w:tcW w:w="1531" w:type="dxa"/>
            <w:shd w:val="clear" w:color="auto" w:fill="4F81BD" w:themeFill="accent1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1,311,378,884</w:t>
            </w:r>
          </w:p>
        </w:tc>
        <w:tc>
          <w:tcPr>
            <w:tcW w:w="1531" w:type="dxa"/>
            <w:shd w:val="clear" w:color="auto" w:fill="4F81BD" w:themeFill="accent1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1,484,673,884</w:t>
            </w:r>
          </w:p>
        </w:tc>
        <w:tc>
          <w:tcPr>
            <w:tcW w:w="1531" w:type="dxa"/>
            <w:shd w:val="clear" w:color="auto" w:fill="4F81BD" w:themeFill="accent1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  <w:t>1,692,062,884</w:t>
            </w:r>
          </w:p>
        </w:tc>
      </w:tr>
      <w:tr w:rsidR="00574B77" w:rsidRPr="00550BB7" w:rsidTr="00294CFC">
        <w:trPr>
          <w:trHeight w:val="397"/>
        </w:trPr>
        <w:tc>
          <w:tcPr>
            <w:tcW w:w="624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16.</w:t>
            </w:r>
          </w:p>
        </w:tc>
        <w:tc>
          <w:tcPr>
            <w:tcW w:w="32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 xml:space="preserve">Одбитак за случај из </w:t>
            </w:r>
          </w:p>
          <w:p w:rsidR="00574B77" w:rsidRPr="00550BB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члана 124. став 6. тачка 1) Закона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574B77"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574B77">
              <w:rPr>
                <w:rFonts w:ascii="Verdana" w:hAnsi="Verdana"/>
                <w:sz w:val="16"/>
                <w:szCs w:val="16"/>
                <w:lang w:val="sr-Cyrl-RS"/>
              </w:rPr>
              <w:t>129,562,737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574B77">
              <w:rPr>
                <w:rFonts w:ascii="Verdana" w:hAnsi="Verdana"/>
                <w:sz w:val="16"/>
                <w:szCs w:val="16"/>
                <w:lang w:val="sr-Cyrl-RS"/>
              </w:rPr>
              <w:t>239,438,987</w:t>
            </w:r>
          </w:p>
        </w:tc>
        <w:tc>
          <w:tcPr>
            <w:tcW w:w="1531" w:type="dxa"/>
            <w:tcBorders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574B77">
              <w:rPr>
                <w:rFonts w:ascii="Verdana" w:hAnsi="Verdana"/>
                <w:sz w:val="16"/>
                <w:szCs w:val="16"/>
                <w:lang w:val="sr-Cyrl-RS"/>
              </w:rPr>
              <w:t>374,656,737</w:t>
            </w:r>
          </w:p>
        </w:tc>
      </w:tr>
      <w:tr w:rsidR="00574B77" w:rsidRPr="00550BB7" w:rsidTr="00294CFC">
        <w:trPr>
          <w:trHeight w:val="397"/>
        </w:trPr>
        <w:tc>
          <w:tcPr>
            <w:tcW w:w="624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17.</w:t>
            </w:r>
          </w:p>
        </w:tc>
        <w:tc>
          <w:tcPr>
            <w:tcW w:w="32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  <w:hideMark/>
          </w:tcPr>
          <w:p w:rsidR="00574B7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 xml:space="preserve">Одбитак за случај из </w:t>
            </w:r>
          </w:p>
          <w:p w:rsidR="00574B77" w:rsidRPr="00550BB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члана 124. став 6. тачка 2) Закона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113,149,29</w:t>
            </w:r>
            <w:r>
              <w:rPr>
                <w:rFonts w:ascii="Verdana" w:hAnsi="Verdana"/>
                <w:sz w:val="16"/>
                <w:szCs w:val="16"/>
                <w:lang w:val="sr-Latn-RS"/>
              </w:rPr>
              <w:t>1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Latn-RS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DBE5F1" w:themeColor="accent1" w:themeTint="33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</w:tr>
      <w:tr w:rsidR="00574B77" w:rsidRPr="00550BB7" w:rsidTr="00294CFC">
        <w:trPr>
          <w:trHeight w:val="397"/>
        </w:trPr>
        <w:tc>
          <w:tcPr>
            <w:tcW w:w="624" w:type="dxa"/>
            <w:tcBorders>
              <w:top w:val="single" w:sz="4" w:space="0" w:color="DBE5F1" w:themeColor="accent1" w:themeTint="33"/>
              <w:bottom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574B77" w:rsidRPr="00550BB7" w:rsidRDefault="00574B77" w:rsidP="00574B77">
            <w:pPr>
              <w:pStyle w:val="NoSpacing"/>
              <w:jc w:val="center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18.</w:t>
            </w:r>
          </w:p>
        </w:tc>
        <w:tc>
          <w:tcPr>
            <w:tcW w:w="3231" w:type="dxa"/>
            <w:tcBorders>
              <w:top w:val="single" w:sz="4" w:space="0" w:color="DBE5F1" w:themeColor="accent1" w:themeTint="33"/>
              <w:bottom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574B7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 xml:space="preserve">Одбитак за случај из </w:t>
            </w:r>
          </w:p>
          <w:p w:rsidR="00574B77" w:rsidRPr="00550BB7" w:rsidRDefault="00574B77" w:rsidP="00574B77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sz w:val="16"/>
                <w:szCs w:val="16"/>
                <w:lang w:val="sr-Latn-RS"/>
              </w:rPr>
              <w:t>члана 124. став 6. тачка 3) Закона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574B77"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  <w:tc>
          <w:tcPr>
            <w:tcW w:w="1531" w:type="dxa"/>
            <w:tcBorders>
              <w:top w:val="single" w:sz="4" w:space="0" w:color="DBE5F1" w:themeColor="accent1" w:themeTint="33"/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574B77" w:rsidRPr="00294CFC" w:rsidRDefault="00294CFC" w:rsidP="00294CFC">
            <w:pPr>
              <w:pStyle w:val="NoSpacing"/>
              <w:jc w:val="right"/>
              <w:rPr>
                <w:rFonts w:ascii="Verdana" w:hAnsi="Verdana"/>
                <w:sz w:val="16"/>
                <w:szCs w:val="16"/>
                <w:lang w:val="sr-Latn-RS"/>
              </w:rPr>
            </w:pPr>
            <w:r>
              <w:rPr>
                <w:rFonts w:ascii="Verdana" w:hAnsi="Verdana"/>
                <w:sz w:val="16"/>
                <w:szCs w:val="16"/>
                <w:lang w:val="sr-Cyrl-RS"/>
              </w:rPr>
              <w:t>0</w:t>
            </w:r>
          </w:p>
        </w:tc>
      </w:tr>
      <w:tr w:rsidR="00574B77" w:rsidRPr="00550BB7" w:rsidTr="00294CFC">
        <w:trPr>
          <w:trHeight w:val="624"/>
        </w:trPr>
        <w:tc>
          <w:tcPr>
            <w:tcW w:w="62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783533" w:rsidRDefault="00574B77" w:rsidP="00574B77">
            <w:pPr>
              <w:pStyle w:val="NoSpacing"/>
              <w:jc w:val="center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783533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>VII</w:t>
            </w:r>
          </w:p>
        </w:tc>
        <w:tc>
          <w:tcPr>
            <w:tcW w:w="32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783533" w:rsidRDefault="00574B77" w:rsidP="00574B77">
            <w:pPr>
              <w:pStyle w:val="NoSpacing"/>
              <w:rPr>
                <w:rFonts w:ascii="Verdana" w:hAnsi="Verdana"/>
                <w:b/>
                <w:bCs/>
                <w:sz w:val="16"/>
                <w:szCs w:val="16"/>
                <w:lang w:val="sr-Cyrl-RS"/>
              </w:rPr>
            </w:pPr>
            <w:r w:rsidRPr="00783533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 xml:space="preserve">ГАРАНТНА РЕЗЕРВА, КОНАЧНИ РЕЗУЛТАТ, РАСПОЛОЖИВА МАРГИНА СОЛВЕНТНОСТИ </w:t>
            </w:r>
          </w:p>
          <w:p w:rsidR="00574B77" w:rsidRPr="00783533" w:rsidRDefault="00574B77" w:rsidP="00574B77">
            <w:pPr>
              <w:pStyle w:val="NoSpacing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783533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>(VI-16-17-18)</w:t>
            </w:r>
          </w:p>
        </w:tc>
        <w:tc>
          <w:tcPr>
            <w:tcW w:w="15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1,062,123,593</w:t>
            </w:r>
          </w:p>
        </w:tc>
        <w:tc>
          <w:tcPr>
            <w:tcW w:w="15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1,181,816,147</w:t>
            </w:r>
          </w:p>
        </w:tc>
        <w:tc>
          <w:tcPr>
            <w:tcW w:w="15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1,245,234,897</w:t>
            </w:r>
          </w:p>
        </w:tc>
        <w:tc>
          <w:tcPr>
            <w:tcW w:w="15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1,317,406,147</w:t>
            </w:r>
          </w:p>
        </w:tc>
      </w:tr>
      <w:tr w:rsidR="00574B77" w:rsidRPr="00550BB7" w:rsidTr="00294CFC">
        <w:trPr>
          <w:trHeight w:val="1020"/>
        </w:trPr>
        <w:tc>
          <w:tcPr>
            <w:tcW w:w="62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783533" w:rsidRDefault="00574B77" w:rsidP="00574B77">
            <w:pPr>
              <w:pStyle w:val="NoSpacing"/>
              <w:jc w:val="center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783533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>VIII</w:t>
            </w:r>
          </w:p>
        </w:tc>
        <w:tc>
          <w:tcPr>
            <w:tcW w:w="32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783533" w:rsidRDefault="00574B77" w:rsidP="00574B77">
            <w:pPr>
              <w:pStyle w:val="NoSpacing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783533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>ЗАХТЕВАНА МАРГИНА СОЛВЕНТНОСТИ ЗА НЕЖИВОТНА ОСИГУРАЊА/РЕОСИГУРАЊЕ (члан 126. Закона ‒ Образац ЗМС-НО/РЕ)</w:t>
            </w:r>
          </w:p>
        </w:tc>
        <w:tc>
          <w:tcPr>
            <w:tcW w:w="15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253,333,361</w:t>
            </w:r>
          </w:p>
        </w:tc>
        <w:tc>
          <w:tcPr>
            <w:tcW w:w="15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267,967,270</w:t>
            </w:r>
          </w:p>
        </w:tc>
        <w:tc>
          <w:tcPr>
            <w:tcW w:w="15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275,275,779</w:t>
            </w:r>
          </w:p>
        </w:tc>
        <w:tc>
          <w:tcPr>
            <w:tcW w:w="15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312,575,659</w:t>
            </w:r>
          </w:p>
        </w:tc>
      </w:tr>
      <w:tr w:rsidR="00574B77" w:rsidRPr="00550BB7" w:rsidTr="00294CFC">
        <w:trPr>
          <w:trHeight w:val="1134"/>
        </w:trPr>
        <w:tc>
          <w:tcPr>
            <w:tcW w:w="62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783533" w:rsidRDefault="00574B77" w:rsidP="00574B77">
            <w:pPr>
              <w:pStyle w:val="NoSpacing"/>
              <w:jc w:val="center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783533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>IX</w:t>
            </w:r>
          </w:p>
        </w:tc>
        <w:tc>
          <w:tcPr>
            <w:tcW w:w="32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783533" w:rsidRDefault="00574B77" w:rsidP="00574B77">
            <w:pPr>
              <w:pStyle w:val="NoSpacing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8E6B5B">
              <w:rPr>
                <w:rFonts w:ascii="Verdana" w:hAnsi="Verdana"/>
                <w:b/>
                <w:bCs/>
                <w:sz w:val="14"/>
                <w:szCs w:val="16"/>
                <w:lang w:val="sr-Latn-RS"/>
              </w:rPr>
              <w:t>РАЗЛИКА РАСПОЛОЖИВЕ И ЗАХТЕВАНЕ МАРГИНЕ СОЛВЕНТНОСТИ ЗА НЕЖИВОТНА ОСИГУРАЊА/РЕОСИГУРАЊЕ (члан 126. став 9. и члан 127. став 2. Закона) VII-VIII ≥ 0</w:t>
            </w:r>
          </w:p>
        </w:tc>
        <w:tc>
          <w:tcPr>
            <w:tcW w:w="15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808,790,233</w:t>
            </w:r>
          </w:p>
        </w:tc>
        <w:tc>
          <w:tcPr>
            <w:tcW w:w="15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913,848,877</w:t>
            </w:r>
          </w:p>
        </w:tc>
        <w:tc>
          <w:tcPr>
            <w:tcW w:w="15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969,959,118</w:t>
            </w:r>
          </w:p>
        </w:tc>
        <w:tc>
          <w:tcPr>
            <w:tcW w:w="15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1,004,830,488</w:t>
            </w:r>
          </w:p>
        </w:tc>
      </w:tr>
      <w:tr w:rsidR="00574B77" w:rsidRPr="00550BB7" w:rsidTr="00294CFC">
        <w:trPr>
          <w:trHeight w:val="680"/>
        </w:trPr>
        <w:tc>
          <w:tcPr>
            <w:tcW w:w="624" w:type="dxa"/>
            <w:vMerge w:val="restart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783533" w:rsidRDefault="00574B77" w:rsidP="00574B77">
            <w:pPr>
              <w:pStyle w:val="NoSpacing"/>
              <w:jc w:val="center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783533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>X</w:t>
            </w:r>
          </w:p>
        </w:tc>
        <w:tc>
          <w:tcPr>
            <w:tcW w:w="3231" w:type="dxa"/>
            <w:tcBorders>
              <w:top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8E6B5B" w:rsidRDefault="00574B77" w:rsidP="00574B77">
            <w:pPr>
              <w:pStyle w:val="NoSpacing"/>
              <w:rPr>
                <w:rFonts w:ascii="Verdana" w:hAnsi="Verdana"/>
                <w:b/>
                <w:bCs/>
                <w:sz w:val="14"/>
                <w:szCs w:val="16"/>
                <w:lang w:val="sr-Cyrl-RS"/>
              </w:rPr>
            </w:pPr>
            <w:r w:rsidRPr="008E6B5B">
              <w:rPr>
                <w:rFonts w:ascii="Verdana" w:hAnsi="Verdana"/>
                <w:b/>
                <w:bCs/>
                <w:sz w:val="14"/>
                <w:szCs w:val="16"/>
                <w:lang w:val="sr-Latn-RS"/>
              </w:rPr>
              <w:t xml:space="preserve">ОДНОС ЗАХТЕВАНЕ МАРГИНЕ СОЛВЕНТНОСТИ ЗА НЕЖИВОТНА ОСИГУРАЊА/РЕОСИГУРАЊЕ И ГАРАНТНОГ КАПИТАЛА </w:t>
            </w:r>
          </w:p>
          <w:p w:rsidR="00574B77" w:rsidRPr="008E6B5B" w:rsidRDefault="00574B77" w:rsidP="00574B77">
            <w:pPr>
              <w:pStyle w:val="NoSpacing"/>
              <w:rPr>
                <w:rFonts w:ascii="Verdana" w:hAnsi="Verdana"/>
                <w:b/>
                <w:bCs/>
                <w:sz w:val="14"/>
                <w:szCs w:val="16"/>
                <w:lang w:val="sr-Latn-RS"/>
              </w:rPr>
            </w:pPr>
            <w:r w:rsidRPr="008E6B5B">
              <w:rPr>
                <w:rFonts w:ascii="Verdana" w:hAnsi="Verdana"/>
                <w:b/>
                <w:bCs/>
                <w:sz w:val="14"/>
                <w:szCs w:val="16"/>
                <w:lang w:val="sr-Latn-RS"/>
              </w:rPr>
              <w:t xml:space="preserve">(члан 128. став 1. Закона) </w:t>
            </w:r>
          </w:p>
        </w:tc>
        <w:tc>
          <w:tcPr>
            <w:tcW w:w="1531" w:type="dxa"/>
            <w:vMerge w:val="restart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0.22</w:t>
            </w:r>
          </w:p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0.20</w:t>
            </w:r>
          </w:p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0.19</w:t>
            </w:r>
          </w:p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0.18</w:t>
            </w:r>
          </w:p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74B77" w:rsidRPr="00550BB7" w:rsidTr="00294CFC">
        <w:trPr>
          <w:trHeight w:val="170"/>
        </w:trPr>
        <w:tc>
          <w:tcPr>
            <w:tcW w:w="624" w:type="dxa"/>
            <w:vMerge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783533" w:rsidRDefault="00574B77" w:rsidP="00574B77">
            <w:pPr>
              <w:pStyle w:val="NoSpacing"/>
              <w:jc w:val="center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</w:p>
        </w:tc>
        <w:tc>
          <w:tcPr>
            <w:tcW w:w="3231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8E6B5B" w:rsidRDefault="00574B77" w:rsidP="00574B77">
            <w:pPr>
              <w:pStyle w:val="NoSpacing"/>
              <w:rPr>
                <w:rFonts w:ascii="Verdana" w:hAnsi="Verdana"/>
                <w:b/>
                <w:bCs/>
                <w:sz w:val="14"/>
                <w:szCs w:val="16"/>
                <w:lang w:val="sr-Latn-RS"/>
              </w:rPr>
            </w:pPr>
            <w:r w:rsidRPr="008E6B5B">
              <w:rPr>
                <w:rFonts w:ascii="Verdana" w:hAnsi="Verdana"/>
                <w:b/>
                <w:bCs/>
                <w:sz w:val="14"/>
                <w:szCs w:val="16"/>
                <w:lang w:val="sr-Latn-RS"/>
              </w:rPr>
              <w:t>VIII/IV ≤ 3</w:t>
            </w:r>
          </w:p>
        </w:tc>
        <w:tc>
          <w:tcPr>
            <w:tcW w:w="1531" w:type="dxa"/>
            <w:vMerge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783533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783533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783533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74B77" w:rsidRPr="00550BB7" w:rsidTr="00294CFC">
        <w:trPr>
          <w:trHeight w:val="624"/>
        </w:trPr>
        <w:tc>
          <w:tcPr>
            <w:tcW w:w="62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783533" w:rsidRDefault="00574B77" w:rsidP="00574B77">
            <w:pPr>
              <w:pStyle w:val="NoSpacing"/>
              <w:jc w:val="center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783533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>XI</w:t>
            </w:r>
          </w:p>
        </w:tc>
        <w:tc>
          <w:tcPr>
            <w:tcW w:w="32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783533" w:rsidRDefault="00574B77" w:rsidP="00574B77">
            <w:pPr>
              <w:pStyle w:val="NoSpacing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783533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>ИЗНОС ПРОПИСАН ЧЛАНОМ 27. ЗАКОНА (у складу с важећом дозволом за рад)</w:t>
            </w:r>
          </w:p>
        </w:tc>
        <w:tc>
          <w:tcPr>
            <w:tcW w:w="15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385,600,000</w:t>
            </w:r>
          </w:p>
        </w:tc>
        <w:tc>
          <w:tcPr>
            <w:tcW w:w="15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390,400,000</w:t>
            </w:r>
          </w:p>
        </w:tc>
        <w:tc>
          <w:tcPr>
            <w:tcW w:w="15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400,000,000</w:t>
            </w:r>
          </w:p>
        </w:tc>
        <w:tc>
          <w:tcPr>
            <w:tcW w:w="153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574B77">
              <w:rPr>
                <w:rFonts w:ascii="Verdana" w:hAnsi="Verdana"/>
                <w:b/>
                <w:sz w:val="16"/>
                <w:szCs w:val="16"/>
              </w:rPr>
              <w:t>406,400,000</w:t>
            </w:r>
          </w:p>
        </w:tc>
      </w:tr>
      <w:tr w:rsidR="00574B77" w:rsidRPr="00550BB7" w:rsidTr="00294CFC">
        <w:trPr>
          <w:trHeight w:val="510"/>
        </w:trPr>
        <w:tc>
          <w:tcPr>
            <w:tcW w:w="624" w:type="dxa"/>
            <w:vMerge w:val="restart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783533" w:rsidRDefault="00574B77" w:rsidP="00574B77">
            <w:pPr>
              <w:pStyle w:val="NoSpacing"/>
              <w:jc w:val="center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783533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>XII</w:t>
            </w:r>
          </w:p>
        </w:tc>
        <w:tc>
          <w:tcPr>
            <w:tcW w:w="3231" w:type="dxa"/>
            <w:tcBorders>
              <w:top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783533" w:rsidRDefault="00574B77" w:rsidP="00574B77">
            <w:pPr>
              <w:pStyle w:val="NoSpacing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783533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 xml:space="preserve">РАЗЛИКА ГАРАНТНОГ КАПИТАЛА И ИЗНОСА ПРОПИСАНОГ ЧЛАНОМ 27. ЗАКОНА </w:t>
            </w:r>
          </w:p>
        </w:tc>
        <w:tc>
          <w:tcPr>
            <w:tcW w:w="1531" w:type="dxa"/>
            <w:vMerge w:val="restart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574B77" w:rsidRPr="00574B77" w:rsidRDefault="00574B77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789,672,884</w:t>
            </w:r>
          </w:p>
        </w:tc>
        <w:tc>
          <w:tcPr>
            <w:tcW w:w="1531" w:type="dxa"/>
            <w:vMerge w:val="restart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574B77" w:rsidRDefault="00294CFC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920,978,884</w:t>
            </w:r>
          </w:p>
        </w:tc>
        <w:tc>
          <w:tcPr>
            <w:tcW w:w="1531" w:type="dxa"/>
            <w:vMerge w:val="restart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574B77" w:rsidRDefault="00294CFC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1,084,673,884</w:t>
            </w:r>
          </w:p>
        </w:tc>
        <w:tc>
          <w:tcPr>
            <w:tcW w:w="1531" w:type="dxa"/>
            <w:vMerge w:val="restart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574B77" w:rsidRPr="00574B77" w:rsidRDefault="00294CFC" w:rsidP="00294CFC">
            <w:pPr>
              <w:pStyle w:val="NoSpacing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1,285,662,884</w:t>
            </w:r>
          </w:p>
        </w:tc>
      </w:tr>
      <w:tr w:rsidR="00D51543" w:rsidRPr="00550BB7" w:rsidTr="00574B77">
        <w:trPr>
          <w:trHeight w:val="315"/>
        </w:trPr>
        <w:tc>
          <w:tcPr>
            <w:tcW w:w="624" w:type="dxa"/>
            <w:vMerge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D51543" w:rsidRPr="00550BB7" w:rsidRDefault="00D51543" w:rsidP="00574B77">
            <w:pPr>
              <w:pStyle w:val="NoSpacing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</w:p>
        </w:tc>
        <w:tc>
          <w:tcPr>
            <w:tcW w:w="3231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D51543" w:rsidRPr="00550BB7" w:rsidRDefault="00D51543" w:rsidP="00574B77">
            <w:pPr>
              <w:pStyle w:val="NoSpacing"/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</w:pPr>
            <w:r w:rsidRPr="00550BB7">
              <w:rPr>
                <w:rFonts w:ascii="Verdana" w:hAnsi="Verdana"/>
                <w:b/>
                <w:bCs/>
                <w:sz w:val="16"/>
                <w:szCs w:val="16"/>
                <w:lang w:val="sr-Latn-RS"/>
              </w:rPr>
              <w:t>(члан 128. став 2. Закона) IV-XI ≥ 0</w:t>
            </w:r>
          </w:p>
        </w:tc>
        <w:tc>
          <w:tcPr>
            <w:tcW w:w="1531" w:type="dxa"/>
            <w:vMerge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D51543" w:rsidRPr="00550BB7" w:rsidRDefault="00D51543" w:rsidP="00574B77">
            <w:pPr>
              <w:pStyle w:val="NoSpacing"/>
              <w:rPr>
                <w:rFonts w:ascii="Verdana" w:hAnsi="Verdana"/>
                <w:sz w:val="16"/>
                <w:szCs w:val="16"/>
                <w:lang w:val="sr-Latn-RS"/>
              </w:rPr>
            </w:pPr>
          </w:p>
        </w:tc>
        <w:tc>
          <w:tcPr>
            <w:tcW w:w="1531" w:type="dxa"/>
            <w:vMerge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D51543" w:rsidRPr="00550BB7" w:rsidRDefault="00D51543" w:rsidP="00574B77">
            <w:pPr>
              <w:pStyle w:val="NoSpacing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D51543" w:rsidRPr="00550BB7" w:rsidRDefault="00D51543" w:rsidP="00574B77">
            <w:pPr>
              <w:pStyle w:val="NoSpacing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:rsidR="00D51543" w:rsidRPr="00550BB7" w:rsidRDefault="00D51543" w:rsidP="00574B77">
            <w:pPr>
              <w:pStyle w:val="NoSpacing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D51543" w:rsidRPr="00D51543" w:rsidRDefault="00D51543" w:rsidP="002560FB">
      <w:pPr>
        <w:spacing w:line="276" w:lineRule="auto"/>
        <w:jc w:val="right"/>
        <w:rPr>
          <w:rFonts w:ascii="Verdana" w:eastAsia="Calibri" w:hAnsi="Verdana"/>
          <w:bCs/>
          <w:iCs/>
          <w:sz w:val="20"/>
          <w:szCs w:val="22"/>
          <w:lang w:val="sr-Latn-RS" w:eastAsia="en-US"/>
        </w:rPr>
      </w:pPr>
    </w:p>
    <w:p w:rsidR="002560FB" w:rsidRPr="003C0310" w:rsidRDefault="002560FB" w:rsidP="002560FB">
      <w:pPr>
        <w:pStyle w:val="Heading1"/>
        <w:numPr>
          <w:ilvl w:val="1"/>
          <w:numId w:val="48"/>
        </w:numPr>
        <w:spacing w:before="360" w:after="240"/>
        <w:ind w:left="1418" w:hanging="851"/>
        <w:jc w:val="left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64" w:name="_Toc433278700"/>
      <w:r w:rsidRPr="003C0310">
        <w:rPr>
          <w:rFonts w:ascii="Verdana" w:hAnsi="Verdana" w:cs="Tahoma"/>
          <w:noProof/>
          <w:color w:val="365F91"/>
          <w:sz w:val="24"/>
          <w:szCs w:val="18"/>
          <w:lang w:val="sr-Cyrl-CS"/>
        </w:rPr>
        <w:t>Стратегија одржавања адекватности капитала</w:t>
      </w:r>
      <w:bookmarkEnd w:id="64"/>
    </w:p>
    <w:p w:rsidR="002560FB" w:rsidRDefault="002560FB" w:rsidP="002560FB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3C0310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Друштво је 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обезбедило ниво капитала који обезбеђује реализацију пословне политике и </w:t>
      </w:r>
      <w:r w:rsidRPr="00F12688">
        <w:rPr>
          <w:rFonts w:ascii="Verdana" w:eastAsia="Calibri" w:hAnsi="Verdana"/>
          <w:noProof/>
          <w:sz w:val="20"/>
          <w:szCs w:val="22"/>
          <w:lang w:val="sr-Cyrl-CS" w:eastAsia="en-US"/>
        </w:rPr>
        <w:t>план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а</w:t>
      </w:r>
      <w:r w:rsidRPr="00F12688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пословања за период 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од </w:t>
      </w:r>
      <w:r w:rsidRPr="00F12688">
        <w:rPr>
          <w:rFonts w:ascii="Verdana" w:eastAsia="Calibri" w:hAnsi="Verdana"/>
          <w:noProof/>
          <w:sz w:val="20"/>
          <w:szCs w:val="22"/>
          <w:lang w:val="sr-Cyrl-CS" w:eastAsia="en-US"/>
        </w:rPr>
        <w:t>201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6</w:t>
      </w:r>
      <w:r w:rsidRPr="00F12688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. 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до</w:t>
      </w:r>
      <w:r w:rsidRPr="00F12688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201</w:t>
      </w:r>
      <w:r w:rsidR="00967F2B">
        <w:rPr>
          <w:rFonts w:ascii="Verdana" w:eastAsia="Calibri" w:hAnsi="Verdana"/>
          <w:noProof/>
          <w:sz w:val="20"/>
          <w:szCs w:val="22"/>
          <w:lang w:val="sr-Cyrl-CS" w:eastAsia="en-US"/>
        </w:rPr>
        <w:t>8</w:t>
      </w:r>
      <w:r w:rsidRPr="00F12688">
        <w:rPr>
          <w:rFonts w:ascii="Verdana" w:eastAsia="Calibri" w:hAnsi="Verdana"/>
          <w:noProof/>
          <w:sz w:val="20"/>
          <w:szCs w:val="22"/>
          <w:lang w:val="sr-Cyrl-CS" w:eastAsia="en-US"/>
        </w:rPr>
        <w:t>. године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. </w:t>
      </w:r>
    </w:p>
    <w:p w:rsidR="002560FB" w:rsidRDefault="002560FB" w:rsidP="002560FB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На основу пројектованог капитала и утврђене адектватности у складу са прописима и интерним актима Друштва обезбеђено је очување стабилности пословања, увећање учешћа на тржишту и дугорочни финансијски раст, као и спречен развој догађаја који могу да угрозе словентност</w:t>
      </w:r>
      <w:r w:rsidRPr="003C0310">
        <w:rPr>
          <w:rFonts w:ascii="Verdana" w:eastAsia="Calibri" w:hAnsi="Verdana"/>
          <w:noProof/>
          <w:sz w:val="20"/>
          <w:szCs w:val="22"/>
          <w:lang w:val="sr-Cyrl-CS" w:eastAsia="en-US"/>
        </w:rPr>
        <w:t>.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Друштво ће редовно пратити ризике благовремено предузимати све потребне мере како би се одржала циљана адекватност капитала.</w:t>
      </w:r>
    </w:p>
    <w:p w:rsidR="00114CA8" w:rsidRDefault="00114CA8" w:rsidP="00114CA8">
      <w:pPr>
        <w:suppressAutoHyphens w:val="0"/>
        <w:autoSpaceDE w:val="0"/>
        <w:autoSpaceDN w:val="0"/>
        <w:adjustRightInd w:val="0"/>
        <w:spacing w:after="60" w:line="276" w:lineRule="auto"/>
        <w:contextualSpacing/>
        <w:jc w:val="both"/>
        <w:rPr>
          <w:rFonts w:ascii="Verdana" w:eastAsia="Calibri" w:hAnsi="Verdana"/>
          <w:noProof/>
          <w:sz w:val="20"/>
          <w:szCs w:val="22"/>
          <w:lang w:val="sr-Latn-RS" w:eastAsia="en-US"/>
        </w:rPr>
      </w:pPr>
    </w:p>
    <w:p w:rsidR="00AE0E3E" w:rsidRPr="00272017" w:rsidRDefault="002560FB" w:rsidP="002560FB">
      <w:pPr>
        <w:pStyle w:val="Heading1"/>
        <w:numPr>
          <w:ilvl w:val="0"/>
          <w:numId w:val="48"/>
        </w:numPr>
        <w:spacing w:before="360" w:after="360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65" w:name="_Toc433278701"/>
      <w:bookmarkEnd w:id="1"/>
      <w:r>
        <w:rPr>
          <w:rFonts w:ascii="Verdana" w:hAnsi="Verdana" w:cs="Tahoma"/>
          <w:noProof/>
          <w:color w:val="365F91"/>
          <w:sz w:val="24"/>
          <w:szCs w:val="18"/>
          <w:lang w:val="sr-Cyrl-CS"/>
        </w:rPr>
        <w:t>ЕЛАБОРАТ О ОЧЕКИВАНИМ РЕЗУЛТАТИМА ПОСЛОВАЊА</w:t>
      </w:r>
      <w:r w:rsidR="00AE0E3E"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 xml:space="preserve"> </w:t>
      </w:r>
      <w:r>
        <w:rPr>
          <w:rFonts w:ascii="Verdana" w:hAnsi="Verdana" w:cs="Tahoma"/>
          <w:noProof/>
          <w:color w:val="365F91"/>
          <w:sz w:val="24"/>
          <w:szCs w:val="18"/>
          <w:lang w:val="sr-Cyrl-CS"/>
        </w:rPr>
        <w:t xml:space="preserve">          </w:t>
      </w:r>
      <w:r w:rsidR="00AE0E3E"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ЗА ПЕРИОД 2015. – 201</w:t>
      </w:r>
      <w:r w:rsidR="00D51543">
        <w:rPr>
          <w:rFonts w:ascii="Verdana" w:hAnsi="Verdana" w:cs="Tahoma"/>
          <w:noProof/>
          <w:color w:val="365F91"/>
          <w:sz w:val="24"/>
          <w:szCs w:val="18"/>
          <w:lang w:val="sr-Latn-RS"/>
        </w:rPr>
        <w:t>9</w:t>
      </w:r>
      <w:r w:rsidR="00AE0E3E"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. ГОДИНЕ</w:t>
      </w:r>
      <w:bookmarkEnd w:id="65"/>
    </w:p>
    <w:p w:rsidR="00D51543" w:rsidRPr="00D51543" w:rsidRDefault="00D51543" w:rsidP="00D51543">
      <w:pPr>
        <w:pStyle w:val="ListParagraph"/>
        <w:keepNext/>
        <w:numPr>
          <w:ilvl w:val="0"/>
          <w:numId w:val="3"/>
        </w:numPr>
        <w:spacing w:before="240" w:after="120"/>
        <w:outlineLvl w:val="0"/>
        <w:rPr>
          <w:rFonts w:ascii="Verdana" w:hAnsi="Verdana" w:cs="Tahoma"/>
          <w:b/>
          <w:bCs/>
          <w:noProof/>
          <w:vanish/>
          <w:color w:val="365F91"/>
          <w:szCs w:val="18"/>
          <w:lang w:val="sr-Cyrl-CS"/>
        </w:rPr>
      </w:pPr>
      <w:bookmarkStart w:id="66" w:name="_Toc433026510"/>
      <w:bookmarkStart w:id="67" w:name="_Toc433278702"/>
      <w:bookmarkStart w:id="68" w:name="_Toc432775057"/>
      <w:bookmarkEnd w:id="66"/>
      <w:bookmarkEnd w:id="67"/>
    </w:p>
    <w:p w:rsidR="00D51543" w:rsidRPr="00272017" w:rsidRDefault="00D51543" w:rsidP="00D51543">
      <w:pPr>
        <w:pStyle w:val="Heading1"/>
        <w:numPr>
          <w:ilvl w:val="1"/>
          <w:numId w:val="3"/>
        </w:numPr>
        <w:tabs>
          <w:tab w:val="clear" w:pos="336"/>
          <w:tab w:val="num" w:pos="1143"/>
        </w:tabs>
        <w:spacing w:before="240" w:after="120"/>
        <w:ind w:left="1143"/>
        <w:jc w:val="left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69" w:name="_Toc433278703"/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Премија реосигурања и ретроцесије                                           за период 2015. – 2019. године</w:t>
      </w:r>
      <w:bookmarkEnd w:id="68"/>
      <w:bookmarkEnd w:id="69"/>
    </w:p>
    <w:p w:rsidR="00D51543" w:rsidRPr="00D51543" w:rsidRDefault="00D51543" w:rsidP="00D51543">
      <w:pPr>
        <w:pStyle w:val="ListParagraph"/>
        <w:keepNext/>
        <w:numPr>
          <w:ilvl w:val="0"/>
          <w:numId w:val="2"/>
        </w:numPr>
        <w:jc w:val="center"/>
        <w:outlineLvl w:val="0"/>
        <w:rPr>
          <w:rStyle w:val="IntenseEmphasis"/>
          <w:rFonts w:ascii="Verdana" w:hAnsi="Verdana"/>
          <w:bCs w:val="0"/>
          <w:noProof/>
          <w:vanish/>
          <w:sz w:val="22"/>
          <w:szCs w:val="16"/>
          <w:lang w:val="sr-Cyrl-CS"/>
        </w:rPr>
      </w:pPr>
      <w:bookmarkStart w:id="70" w:name="_Toc432582076"/>
      <w:bookmarkStart w:id="71" w:name="_Toc432685586"/>
      <w:bookmarkStart w:id="72" w:name="_Toc432685664"/>
      <w:bookmarkStart w:id="73" w:name="_Toc432775058"/>
      <w:bookmarkStart w:id="74" w:name="_Toc433026512"/>
      <w:bookmarkStart w:id="75" w:name="_Toc433278704"/>
      <w:bookmarkStart w:id="76" w:name="_Toc432775063"/>
      <w:bookmarkEnd w:id="70"/>
      <w:bookmarkEnd w:id="71"/>
      <w:bookmarkEnd w:id="72"/>
      <w:bookmarkEnd w:id="73"/>
      <w:bookmarkEnd w:id="74"/>
      <w:bookmarkEnd w:id="75"/>
    </w:p>
    <w:p w:rsidR="00D51543" w:rsidRPr="00D51543" w:rsidRDefault="00D51543" w:rsidP="00D51543">
      <w:pPr>
        <w:pStyle w:val="ListParagraph"/>
        <w:keepNext/>
        <w:numPr>
          <w:ilvl w:val="0"/>
          <w:numId w:val="2"/>
        </w:numPr>
        <w:jc w:val="center"/>
        <w:outlineLvl w:val="0"/>
        <w:rPr>
          <w:rStyle w:val="IntenseEmphasis"/>
          <w:rFonts w:ascii="Verdana" w:hAnsi="Verdana"/>
          <w:bCs w:val="0"/>
          <w:noProof/>
          <w:vanish/>
          <w:sz w:val="22"/>
          <w:szCs w:val="16"/>
          <w:lang w:val="sr-Cyrl-CS"/>
        </w:rPr>
      </w:pPr>
      <w:bookmarkStart w:id="77" w:name="_Toc433026513"/>
      <w:bookmarkStart w:id="78" w:name="_Toc433278705"/>
      <w:bookmarkEnd w:id="77"/>
      <w:bookmarkEnd w:id="78"/>
    </w:p>
    <w:p w:rsidR="00D51543" w:rsidRPr="00D51543" w:rsidRDefault="00D51543" w:rsidP="00D51543">
      <w:pPr>
        <w:pStyle w:val="ListParagraph"/>
        <w:keepNext/>
        <w:numPr>
          <w:ilvl w:val="0"/>
          <w:numId w:val="2"/>
        </w:numPr>
        <w:jc w:val="center"/>
        <w:outlineLvl w:val="0"/>
        <w:rPr>
          <w:rStyle w:val="IntenseEmphasis"/>
          <w:rFonts w:ascii="Verdana" w:hAnsi="Verdana"/>
          <w:bCs w:val="0"/>
          <w:noProof/>
          <w:vanish/>
          <w:sz w:val="22"/>
          <w:szCs w:val="16"/>
          <w:lang w:val="sr-Cyrl-CS"/>
        </w:rPr>
      </w:pPr>
      <w:bookmarkStart w:id="79" w:name="_Toc433026514"/>
      <w:bookmarkStart w:id="80" w:name="_Toc433278706"/>
      <w:bookmarkEnd w:id="79"/>
      <w:bookmarkEnd w:id="80"/>
    </w:p>
    <w:p w:rsidR="00D51543" w:rsidRPr="00D51543" w:rsidRDefault="00D51543" w:rsidP="00D51543">
      <w:pPr>
        <w:pStyle w:val="ListParagraph"/>
        <w:keepNext/>
        <w:numPr>
          <w:ilvl w:val="0"/>
          <w:numId w:val="2"/>
        </w:numPr>
        <w:jc w:val="center"/>
        <w:outlineLvl w:val="0"/>
        <w:rPr>
          <w:rStyle w:val="IntenseEmphasis"/>
          <w:rFonts w:ascii="Verdana" w:hAnsi="Verdana"/>
          <w:bCs w:val="0"/>
          <w:noProof/>
          <w:vanish/>
          <w:sz w:val="22"/>
          <w:szCs w:val="16"/>
          <w:lang w:val="sr-Cyrl-CS"/>
        </w:rPr>
      </w:pPr>
      <w:bookmarkStart w:id="81" w:name="_Toc433026515"/>
      <w:bookmarkStart w:id="82" w:name="_Toc433278707"/>
      <w:bookmarkEnd w:id="81"/>
      <w:bookmarkEnd w:id="82"/>
    </w:p>
    <w:p w:rsidR="00D51543" w:rsidRPr="00D51543" w:rsidRDefault="00D51543" w:rsidP="00D51543">
      <w:pPr>
        <w:pStyle w:val="ListParagraph"/>
        <w:keepNext/>
        <w:numPr>
          <w:ilvl w:val="0"/>
          <w:numId w:val="2"/>
        </w:numPr>
        <w:jc w:val="center"/>
        <w:outlineLvl w:val="0"/>
        <w:rPr>
          <w:rStyle w:val="IntenseEmphasis"/>
          <w:rFonts w:ascii="Verdana" w:hAnsi="Verdana"/>
          <w:bCs w:val="0"/>
          <w:noProof/>
          <w:vanish/>
          <w:sz w:val="22"/>
          <w:szCs w:val="16"/>
          <w:lang w:val="sr-Cyrl-CS"/>
        </w:rPr>
      </w:pPr>
      <w:bookmarkStart w:id="83" w:name="_Toc433026516"/>
      <w:bookmarkStart w:id="84" w:name="_Toc433278708"/>
      <w:bookmarkEnd w:id="83"/>
      <w:bookmarkEnd w:id="84"/>
    </w:p>
    <w:p w:rsidR="00D51543" w:rsidRPr="00D51543" w:rsidRDefault="00D51543" w:rsidP="00D51543">
      <w:pPr>
        <w:pStyle w:val="ListParagraph"/>
        <w:keepNext/>
        <w:numPr>
          <w:ilvl w:val="1"/>
          <w:numId w:val="2"/>
        </w:numPr>
        <w:outlineLvl w:val="1"/>
        <w:rPr>
          <w:rStyle w:val="IntenseEmphasis"/>
          <w:rFonts w:ascii="Verdana" w:hAnsi="Verdana"/>
          <w:bCs w:val="0"/>
          <w:noProof/>
          <w:vanish/>
          <w:sz w:val="22"/>
          <w:lang w:val="sr-Cyrl-CS"/>
        </w:rPr>
      </w:pPr>
      <w:bookmarkStart w:id="85" w:name="_Toc433026517"/>
      <w:bookmarkStart w:id="86" w:name="_Toc433278709"/>
      <w:bookmarkEnd w:id="85"/>
      <w:bookmarkEnd w:id="86"/>
    </w:p>
    <w:p w:rsidR="00D51543" w:rsidRPr="00272017" w:rsidRDefault="00D51543" w:rsidP="00D51543">
      <w:pPr>
        <w:pStyle w:val="Heading3"/>
        <w:tabs>
          <w:tab w:val="clear" w:pos="6870"/>
          <w:tab w:val="num" w:pos="1004"/>
        </w:tabs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87" w:name="_Toc433278710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Полазне претпоставке за израду плана                                               премије реосигурања и ретроцесије</w:t>
      </w:r>
      <w:bookmarkEnd w:id="76"/>
      <w:bookmarkEnd w:id="87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 xml:space="preserve"> </w:t>
      </w:r>
    </w:p>
    <w:p w:rsidR="00D51543" w:rsidRPr="00272017" w:rsidRDefault="00D51543" w:rsidP="00D5154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Друштво ће у наредном периоду бити фокусирано на јачање пословне сарадње са постојећим цедентима у земљи кроз подршку у реализацији постојећих програма и саветодавну улогу при увођењу нових програма осигурања уз адекватну реосигуравајућу заштиту.`</w:t>
      </w:r>
    </w:p>
    <w:p w:rsidR="00D51543" w:rsidRPr="00272017" w:rsidRDefault="00D51543" w:rsidP="00D5154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Како је домаће тржиште лимитирано у погледу укупне премије, како осигурања тако и реосигурања, са стабилним тржишним учешћем реосигуравача, планирани раст активне премије реосигурања делом је предвиђен и кроз проширење сарадње са реосигуравачима у региону. Активни послови реосигурања из иностранства базираће се на прихвату ризика са тржишта на којима је Друштво присутно већ дуги низ година.  </w:t>
      </w:r>
    </w:p>
    <w:p w:rsidR="00D51543" w:rsidRPr="00272017" w:rsidRDefault="00D51543" w:rsidP="00D5154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Приликом пројектовања активне премије реосигурања, Друштво је поред реалног раста премије насталог као последица увећања портфеља, узело у обзир и раст узрокован растом курса и инфлације. Укупан планиран раст активне премије реосигурања по годинама износи:</w:t>
      </w:r>
    </w:p>
    <w:p w:rsidR="00D51543" w:rsidRPr="00272017" w:rsidRDefault="00D51543" w:rsidP="00D51543">
      <w:pPr>
        <w:spacing w:before="120" w:after="12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Пројектован раст активне премије реосигурања у односу на                                                              процењени износ на дан 31.12.2015. године</w:t>
      </w:r>
    </w:p>
    <w:tbl>
      <w:tblPr>
        <w:tblStyle w:val="MediumList1-Accent11"/>
        <w:tblW w:w="0" w:type="auto"/>
        <w:jc w:val="center"/>
        <w:tblLook w:val="04A0" w:firstRow="1" w:lastRow="0" w:firstColumn="1" w:lastColumn="0" w:noHBand="0" w:noVBand="1"/>
      </w:tblPr>
      <w:tblGrid>
        <w:gridCol w:w="1499"/>
        <w:gridCol w:w="1236"/>
        <w:gridCol w:w="1262"/>
        <w:gridCol w:w="1283"/>
        <w:gridCol w:w="1380"/>
      </w:tblGrid>
      <w:tr w:rsidR="00D51543" w:rsidRPr="00272017" w:rsidTr="00574B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9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2015.</w:t>
            </w:r>
          </w:p>
        </w:tc>
        <w:tc>
          <w:tcPr>
            <w:tcW w:w="1236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2016.</w:t>
            </w:r>
          </w:p>
        </w:tc>
        <w:tc>
          <w:tcPr>
            <w:tcW w:w="1262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2017.</w:t>
            </w:r>
          </w:p>
        </w:tc>
        <w:tc>
          <w:tcPr>
            <w:tcW w:w="1283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2018.</w:t>
            </w:r>
          </w:p>
        </w:tc>
        <w:tc>
          <w:tcPr>
            <w:tcW w:w="1380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2019.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9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100,00%</w:t>
            </w:r>
          </w:p>
        </w:tc>
        <w:tc>
          <w:tcPr>
            <w:tcW w:w="1236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107,10%</w:t>
            </w:r>
          </w:p>
        </w:tc>
        <w:tc>
          <w:tcPr>
            <w:tcW w:w="1262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113,30%</w:t>
            </w:r>
          </w:p>
        </w:tc>
        <w:tc>
          <w:tcPr>
            <w:tcW w:w="1283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116,39%</w:t>
            </w:r>
          </w:p>
        </w:tc>
        <w:tc>
          <w:tcPr>
            <w:tcW w:w="1380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119,48%</w:t>
            </w:r>
          </w:p>
        </w:tc>
      </w:tr>
    </w:tbl>
    <w:p w:rsidR="00D51543" w:rsidRPr="00272017" w:rsidRDefault="00D51543" w:rsidP="00D5154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Друштво је, узимајући у обзир пословну политику везану за анализу самопридржаја и диференцирање истог по гранама уз сагледавање могућности за повећање самопридржаја по појединим врстама и адекватну ретроцесија за све вишкове ризика преузете у реосигурање, пројектовало већи раст премије у самопридржају. Укупан планирани раст премије реосигурања у самопридржају износи:</w:t>
      </w:r>
    </w:p>
    <w:p w:rsidR="00D51543" w:rsidRPr="00272017" w:rsidRDefault="00D51543" w:rsidP="00D51543">
      <w:pPr>
        <w:spacing w:before="120" w:after="12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Пројектован раст премије реосигурања у самопридржају у односу на                                                              процењени износ на дан 31.12.2015. године</w:t>
      </w:r>
    </w:p>
    <w:tbl>
      <w:tblPr>
        <w:tblStyle w:val="MediumList1-Accent11"/>
        <w:tblW w:w="0" w:type="auto"/>
        <w:jc w:val="center"/>
        <w:tblLook w:val="04A0" w:firstRow="1" w:lastRow="0" w:firstColumn="1" w:lastColumn="0" w:noHBand="0" w:noVBand="1"/>
      </w:tblPr>
      <w:tblGrid>
        <w:gridCol w:w="1499"/>
        <w:gridCol w:w="1236"/>
        <w:gridCol w:w="1262"/>
        <w:gridCol w:w="1283"/>
        <w:gridCol w:w="1380"/>
      </w:tblGrid>
      <w:tr w:rsidR="00D51543" w:rsidRPr="00272017" w:rsidTr="00574B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9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2015.</w:t>
            </w:r>
          </w:p>
        </w:tc>
        <w:tc>
          <w:tcPr>
            <w:tcW w:w="1236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2016.</w:t>
            </w:r>
          </w:p>
        </w:tc>
        <w:tc>
          <w:tcPr>
            <w:tcW w:w="1262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2017.</w:t>
            </w:r>
          </w:p>
        </w:tc>
        <w:tc>
          <w:tcPr>
            <w:tcW w:w="1283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2018.</w:t>
            </w:r>
          </w:p>
        </w:tc>
        <w:tc>
          <w:tcPr>
            <w:tcW w:w="1380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2019.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9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100,00%</w:t>
            </w:r>
          </w:p>
        </w:tc>
        <w:tc>
          <w:tcPr>
            <w:tcW w:w="1236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113,19%</w:t>
            </w:r>
          </w:p>
        </w:tc>
        <w:tc>
          <w:tcPr>
            <w:tcW w:w="1262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125,60%</w:t>
            </w:r>
          </w:p>
        </w:tc>
        <w:tc>
          <w:tcPr>
            <w:tcW w:w="1283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134,85%</w:t>
            </w:r>
          </w:p>
        </w:tc>
        <w:tc>
          <w:tcPr>
            <w:tcW w:w="1380" w:type="dxa"/>
            <w:vAlign w:val="center"/>
          </w:tcPr>
          <w:p w:rsidR="00D51543" w:rsidRPr="00272017" w:rsidRDefault="00D51543" w:rsidP="00574B77">
            <w:pPr>
              <w:pStyle w:val="NoSpac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</w:pPr>
            <w:r w:rsidRPr="00272017">
              <w:rPr>
                <w:rFonts w:ascii="Verdana" w:eastAsia="Calibri" w:hAnsi="Verdana"/>
                <w:noProof/>
                <w:sz w:val="20"/>
                <w:szCs w:val="20"/>
                <w:lang w:val="sr-Cyrl-CS"/>
              </w:rPr>
              <w:t>144,09%</w:t>
            </w:r>
          </w:p>
        </w:tc>
      </w:tr>
    </w:tbl>
    <w:p w:rsidR="00D51543" w:rsidRPr="00272017" w:rsidRDefault="00D51543" w:rsidP="00D5154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Преносна премија процењена је као учешће у укупној активној и премији реосигурања у самопридржају Друштва на основу постојећег и узимајући у обзир пројектовану структуру портфеља по врстама осигурања. </w:t>
      </w:r>
    </w:p>
    <w:p w:rsidR="00D51543" w:rsidRPr="00272017" w:rsidRDefault="00D51543" w:rsidP="00D5154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Подаци о кретању пројектоване преносне премије реосигурања и ретроцесије исказани су у оквиру пројектованог Биласа успека за период од 2016. до 2019. године.</w:t>
      </w:r>
    </w:p>
    <w:p w:rsidR="00D51543" w:rsidRPr="00272017" w:rsidRDefault="00D51543" w:rsidP="00D51543">
      <w:pPr>
        <w:pStyle w:val="Heading3"/>
        <w:tabs>
          <w:tab w:val="clear" w:pos="6870"/>
          <w:tab w:val="num" w:pos="1004"/>
        </w:tabs>
        <w:spacing w:before="360" w:after="360"/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88" w:name="_Toc432775064"/>
      <w:bookmarkStart w:id="89" w:name="_Toc433278711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План активне премије реосигурања и премије реосигурања у самопридржају за период 2015. – 2019. године</w:t>
      </w:r>
      <w:bookmarkEnd w:id="88"/>
      <w:bookmarkEnd w:id="89"/>
    </w:p>
    <w:p w:rsidR="00D51543" w:rsidRPr="00272017" w:rsidRDefault="00D51543" w:rsidP="00D51543">
      <w:pPr>
        <w:spacing w:before="24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План активне премије реосигурања у периоду од 2016. до 2019. године</w:t>
      </w:r>
    </w:p>
    <w:p w:rsidR="00D51543" w:rsidRPr="00272017" w:rsidRDefault="00D51543" w:rsidP="00D51543">
      <w:pPr>
        <w:pStyle w:val="NoSpacing"/>
        <w:jc w:val="right"/>
        <w:rPr>
          <w:rStyle w:val="IntenseEmphasis"/>
          <w:rFonts w:ascii="Verdana" w:eastAsia="Calibri" w:hAnsi="Verdana"/>
          <w:b w:val="0"/>
          <w:i w:val="0"/>
          <w:noProof/>
          <w:color w:val="auto"/>
          <w:sz w:val="20"/>
          <w:szCs w:val="24"/>
          <w:lang w:val="sr-Cyrl-CS" w:eastAsia="ar-SA"/>
        </w:rPr>
      </w:pPr>
      <w:r w:rsidRPr="00272017">
        <w:rPr>
          <w:rStyle w:val="IntenseEmphasis"/>
          <w:rFonts w:ascii="Verdana" w:eastAsia="Calibri" w:hAnsi="Verdana"/>
          <w:b w:val="0"/>
          <w:i w:val="0"/>
          <w:noProof/>
          <w:color w:val="auto"/>
          <w:sz w:val="20"/>
          <w:szCs w:val="24"/>
          <w:lang w:val="sr-Cyrl-CS" w:eastAsia="ar-SA"/>
        </w:rPr>
        <w:t>у РСД</w:t>
      </w:r>
    </w:p>
    <w:tbl>
      <w:tblPr>
        <w:tblStyle w:val="MediumList1-Accent12"/>
        <w:tblW w:w="10524" w:type="dxa"/>
        <w:tblInd w:w="-318" w:type="dxa"/>
        <w:tblLayout w:type="fixed"/>
        <w:tblLook w:val="04E0" w:firstRow="1" w:lastRow="1" w:firstColumn="1" w:lastColumn="0" w:noHBand="0" w:noVBand="1"/>
      </w:tblPr>
      <w:tblGrid>
        <w:gridCol w:w="431"/>
        <w:gridCol w:w="3969"/>
        <w:gridCol w:w="1531"/>
        <w:gridCol w:w="1531"/>
        <w:gridCol w:w="1531"/>
        <w:gridCol w:w="1531"/>
      </w:tblGrid>
      <w:tr w:rsidR="00D51543" w:rsidRPr="00272017" w:rsidTr="00574B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textDirection w:val="btLr"/>
            <w:vAlign w:val="center"/>
            <w:hideMark/>
          </w:tcPr>
          <w:p w:rsidR="00D51543" w:rsidRPr="00272017" w:rsidRDefault="00D51543" w:rsidP="00574B77">
            <w:pPr>
              <w:suppressAutoHyphens w:val="0"/>
              <w:ind w:left="113" w:right="113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Врста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Врста осигурања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2016.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2017.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2018.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2019.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01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од последица незгоде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16,783,395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17,754,982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18,239,209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18,723,436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02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Добровољно здравствено осигурање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03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моторних возила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140,025,162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148,131,195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152,171,136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156,211,078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04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шинских возила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10,763,317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11,386,404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11,696,943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12,007,480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05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ваздухоплова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93,528,121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98,942,447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101,640,878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104,339,308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06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пловних објеката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1,976,360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2,090,771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2,147,792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2,204,814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07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робе у превозу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88,584,714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93,712,867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96,268,673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98,824,478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08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О. имовине од пожара и др. опасности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842,766,819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891,554,440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915,869,561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940,184,683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09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Остала осигурања имовине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775,062,676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819,930,917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842,292,670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864,654,422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О. од одг. због употребе моторних возила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173,048,715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183,066,475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188,059,196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193,051,918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11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О. од одг. због употребе ваздухоплова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153,970,580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162,883,910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167,326,198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171,768,487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12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О. од одг. због употребе пловних објеката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8,884,906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9,399,252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9,655,595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9,911,938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13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од опште одговорности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285,969,433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302,524,153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310,774,812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319,025,470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14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кредита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1,452,283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1,536,356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1,578,257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1,620,157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15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јемства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20,067,608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21,229,318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21,808,299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22,387,281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16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финансијских губитака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33,651,110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35,599,166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36,570,052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37,540,938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17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трошкова правне заштите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18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помоћи на путу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19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Друго неживотно осигурање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20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живота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60,008,554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63,482,439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65,213,777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66,945,117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21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Рентно осигурање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22</w:t>
            </w:r>
          </w:p>
        </w:tc>
        <w:tc>
          <w:tcPr>
            <w:tcW w:w="3969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Допунско осигурање уз осигурање живота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69,427,341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73,446,478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75,449,564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77,452,649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23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Добровољно пензијско осигурање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24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Друге врсте животног осигурања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</w:tr>
      <w:tr w:rsidR="00D51543" w:rsidRPr="00272017" w:rsidTr="00574B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gridSpan w:val="2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УКУПНА АКТИВНА ПРЕМИЈА РЕОСИГУРАЊА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2,775,971,094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2,936,671,570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3,016,762,612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3,096,853,654</w:t>
            </w:r>
          </w:p>
        </w:tc>
      </w:tr>
    </w:tbl>
    <w:p w:rsidR="00D51543" w:rsidRPr="00272017" w:rsidRDefault="00D51543" w:rsidP="00D51543">
      <w:pPr>
        <w:spacing w:before="200" w:after="20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У периоду од 2016. до 2019. године Друштво није планирало успостављање реосигуравајућег покрића за следеће врсте осигурања: добровољно здравствено осигурање, осигурање трошкова правне заштите, осигурање помоћи на путу, друго неживотно осигурање, рентно осигурање и друге врсте животног осигурања.</w:t>
      </w:r>
    </w:p>
    <w:p w:rsidR="00D51543" w:rsidRPr="00272017" w:rsidRDefault="00D51543" w:rsidP="00D51543">
      <w:pPr>
        <w:spacing w:before="200" w:after="20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Највеће учешће у укупној планираној активној премији реосигурања имају врсте 08 и  09 (осигурање имовине од пожара и других опасности и остала осигурања имовине), које у периоду од 2016. до 2019. године заједно износи 58%, а затим следи осигурање од опште одговорности са учешћем од 10% у укупној активној премији реосигурања у посматраном периоду.</w:t>
      </w:r>
    </w:p>
    <w:p w:rsidR="00D51543" w:rsidRPr="00272017" w:rsidRDefault="00D51543" w:rsidP="00D51543">
      <w:pPr>
        <w:spacing w:before="200" w:after="20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</w:p>
    <w:p w:rsidR="00D51543" w:rsidRPr="00272017" w:rsidRDefault="00D51543" w:rsidP="00D51543">
      <w:pPr>
        <w:spacing w:before="24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План премије реосигурања у самопридржају                                               у периоду од 2016. до 2019. године</w:t>
      </w:r>
    </w:p>
    <w:p w:rsidR="00D51543" w:rsidRPr="00272017" w:rsidRDefault="00D51543" w:rsidP="00D51543">
      <w:pPr>
        <w:pStyle w:val="NoSpacing"/>
        <w:jc w:val="right"/>
        <w:rPr>
          <w:rStyle w:val="IntenseEmphasis"/>
          <w:rFonts w:ascii="Verdana" w:eastAsia="Calibri" w:hAnsi="Verdana"/>
          <w:b w:val="0"/>
          <w:i w:val="0"/>
          <w:noProof/>
          <w:color w:val="auto"/>
          <w:sz w:val="20"/>
          <w:szCs w:val="24"/>
          <w:lang w:val="sr-Cyrl-CS" w:eastAsia="ar-SA"/>
        </w:rPr>
      </w:pPr>
      <w:r w:rsidRPr="00272017">
        <w:rPr>
          <w:rStyle w:val="IntenseEmphasis"/>
          <w:rFonts w:ascii="Verdana" w:eastAsia="Calibri" w:hAnsi="Verdana"/>
          <w:b w:val="0"/>
          <w:i w:val="0"/>
          <w:noProof/>
          <w:color w:val="auto"/>
          <w:sz w:val="20"/>
          <w:szCs w:val="24"/>
          <w:lang w:val="sr-Cyrl-CS" w:eastAsia="ar-SA"/>
        </w:rPr>
        <w:t>у РСД</w:t>
      </w:r>
    </w:p>
    <w:tbl>
      <w:tblPr>
        <w:tblStyle w:val="MediumList1-Accent12"/>
        <w:tblW w:w="10524" w:type="dxa"/>
        <w:tblInd w:w="-318" w:type="dxa"/>
        <w:tblLayout w:type="fixed"/>
        <w:tblLook w:val="04E0" w:firstRow="1" w:lastRow="1" w:firstColumn="1" w:lastColumn="0" w:noHBand="0" w:noVBand="1"/>
      </w:tblPr>
      <w:tblGrid>
        <w:gridCol w:w="431"/>
        <w:gridCol w:w="3969"/>
        <w:gridCol w:w="1531"/>
        <w:gridCol w:w="1531"/>
        <w:gridCol w:w="1531"/>
        <w:gridCol w:w="1531"/>
      </w:tblGrid>
      <w:tr w:rsidR="00D51543" w:rsidRPr="00272017" w:rsidTr="00574B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textDirection w:val="btLr"/>
            <w:vAlign w:val="center"/>
            <w:hideMark/>
          </w:tcPr>
          <w:p w:rsidR="00D51543" w:rsidRPr="00272017" w:rsidRDefault="00D51543" w:rsidP="00574B77">
            <w:pPr>
              <w:suppressAutoHyphens w:val="0"/>
              <w:ind w:left="113" w:right="113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Врста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Врста осигурања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2016.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2017.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2018.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2019.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01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од последица незгоде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2,046,423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2,301,166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2,499,211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2,697,257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02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Добровољно здравствено осигурање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03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моторних возила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102,588,469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108,873,487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112,186,433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115,499,380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04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шинских возила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7,836,625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8,317,350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8,571,055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8,824,757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05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ваздухоплова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3,685,597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4,729,755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5,683,506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6,637,257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06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пловних објеката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1,901,701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2,012,481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2,068,051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2,123,623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07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робе у превозу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13,415,913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14,887,664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15,983,745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17,079,824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08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О. имовине од пожара и др. опасности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116,095,418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129,535,900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139,739,567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149,943,235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09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Остала осигурања имовине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112,131,707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124,753,305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134,241,398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143,729,491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О. од одг. због употребе моторних возила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26,472,983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29,360,927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31,507,250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33,653,573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11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О. од одг. због употребе ваздухоплова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1,888,203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3,403,861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4,892,815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6,381,769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12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О. од одг. због употребе пловних објеката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439,581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543,126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635,466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727,807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13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од опште одговорности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8,145,005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11,185,641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14,041,142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16,896,642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14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кредита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1,452,283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1,536,356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1,578,257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1,620,157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15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јемства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400,398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605,446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802,503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999,562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16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финансијских губитака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2,872,951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3,323,879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3,697,075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4,070,270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17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трошкова правне заштите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18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помоћи на путу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19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Друго неживотно осигурање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20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живота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11,905,784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13,039,829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13,837,044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14,634,262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21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Рентно осигурање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22</w:t>
            </w:r>
          </w:p>
        </w:tc>
        <w:tc>
          <w:tcPr>
            <w:tcW w:w="3969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Допунско осигурање уз осигурање живота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7,488,317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8,494,583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9,294,857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10,095,128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23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Добровољно пензијско осигурање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24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Друге врсте животног осигурања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0</w:t>
            </w:r>
          </w:p>
        </w:tc>
      </w:tr>
      <w:tr w:rsidR="00D51543" w:rsidRPr="00272017" w:rsidTr="00574B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gridSpan w:val="2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УКУПНА ПРЕМИЈА У САМОПРИДРЖАЈУ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420,767,358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466,904,756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501,259,375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535,613,994</w:t>
            </w:r>
          </w:p>
        </w:tc>
      </w:tr>
    </w:tbl>
    <w:p w:rsidR="00D51543" w:rsidRPr="00272017" w:rsidRDefault="00D51543" w:rsidP="00D51543">
      <w:pPr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Највеће учешће у укупној планираној премији реосигурања у самопридржају имају врсте 08 и  09 (осигурање имовине од пожара и других опасности и остала осигурања имовине), које у периоду од 2016. до 2019. године заједно износи 55%, а затим следи осигурање моторних возила са учешћем од 22% у укупној премији реосигурања у самопридржају у посматраном периоду.</w:t>
      </w:r>
    </w:p>
    <w:p w:rsidR="00D51543" w:rsidRPr="00272017" w:rsidRDefault="00D51543" w:rsidP="00D51543">
      <w:pPr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У односу на учешће у укупној активној премији реосигурања од опште одговорности, учешће ове врсте осигурања у укупној премији у самопридржају је на ниском нивоу, свега 3%, због високог учешћа ретроцесије по полисама издатим по међународним програмима. </w:t>
      </w:r>
    </w:p>
    <w:p w:rsidR="00D51543" w:rsidRPr="00272017" w:rsidRDefault="00D51543" w:rsidP="00D51543">
      <w:pPr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</w:p>
    <w:p w:rsidR="00D51543" w:rsidRPr="00272017" w:rsidRDefault="00D51543" w:rsidP="00D51543">
      <w:pPr>
        <w:spacing w:before="24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Кретање активне и премије реосигурања у самопридржају                                               у периоду од 2016. до 2019. године</w:t>
      </w:r>
    </w:p>
    <w:p w:rsidR="00D51543" w:rsidRPr="00272017" w:rsidRDefault="00D51543" w:rsidP="00D51543">
      <w:pPr>
        <w:spacing w:before="200" w:after="20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noProof/>
          <w:lang w:val="sr-Latn-RS" w:eastAsia="sr-Latn-RS"/>
        </w:rPr>
        <w:drawing>
          <wp:inline distT="0" distB="0" distL="0" distR="0" wp14:anchorId="107793AB" wp14:editId="5668D2CC">
            <wp:extent cx="5975498" cy="3912782"/>
            <wp:effectExtent l="0" t="0" r="635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51543" w:rsidRPr="00272017" w:rsidRDefault="00D51543" w:rsidP="00D51543">
      <w:pPr>
        <w:pStyle w:val="Heading1"/>
        <w:numPr>
          <w:ilvl w:val="1"/>
          <w:numId w:val="3"/>
        </w:numPr>
        <w:spacing w:before="240" w:after="240"/>
        <w:ind w:left="1418" w:hanging="851"/>
        <w:jc w:val="left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90" w:name="_Toc432775065"/>
      <w:bookmarkStart w:id="91" w:name="_Toc433278712"/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Ликвидиране и резервисане штете реосигурања и ретроцесије за период 2015. –2019. године</w:t>
      </w:r>
      <w:bookmarkEnd w:id="90"/>
      <w:bookmarkEnd w:id="91"/>
    </w:p>
    <w:p w:rsidR="00D51543" w:rsidRPr="00272017" w:rsidRDefault="00D51543" w:rsidP="00D51543">
      <w:pPr>
        <w:pStyle w:val="ListParagraph"/>
        <w:keepNext/>
        <w:numPr>
          <w:ilvl w:val="1"/>
          <w:numId w:val="2"/>
        </w:numPr>
        <w:outlineLvl w:val="1"/>
        <w:rPr>
          <w:rStyle w:val="IntenseEmphasis"/>
          <w:rFonts w:ascii="Verdana" w:hAnsi="Verdana"/>
          <w:bCs w:val="0"/>
          <w:noProof/>
          <w:vanish/>
          <w:sz w:val="22"/>
          <w:lang w:val="sr-Cyrl-CS"/>
        </w:rPr>
      </w:pPr>
      <w:bookmarkStart w:id="92" w:name="_Toc432582084"/>
      <w:bookmarkStart w:id="93" w:name="_Toc432685594"/>
      <w:bookmarkStart w:id="94" w:name="_Toc432685672"/>
      <w:bookmarkStart w:id="95" w:name="_Toc432775066"/>
      <w:bookmarkStart w:id="96" w:name="_Toc433026521"/>
      <w:bookmarkStart w:id="97" w:name="_Toc433278713"/>
      <w:bookmarkEnd w:id="92"/>
      <w:bookmarkEnd w:id="93"/>
      <w:bookmarkEnd w:id="94"/>
      <w:bookmarkEnd w:id="95"/>
      <w:bookmarkEnd w:id="96"/>
      <w:bookmarkEnd w:id="97"/>
    </w:p>
    <w:p w:rsidR="00D51543" w:rsidRPr="00272017" w:rsidRDefault="00D51543" w:rsidP="00D51543">
      <w:pPr>
        <w:pStyle w:val="Heading3"/>
        <w:tabs>
          <w:tab w:val="clear" w:pos="6870"/>
          <w:tab w:val="num" w:pos="1004"/>
        </w:tabs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98" w:name="_Toc432775067"/>
      <w:bookmarkStart w:id="99" w:name="_Toc433278714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Полазне претпоставке за израду плана                                               ликвидираних и резервисаних штета реосигурања и ретроцесије</w:t>
      </w:r>
      <w:bookmarkEnd w:id="98"/>
      <w:bookmarkEnd w:id="99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 xml:space="preserve"> </w:t>
      </w:r>
    </w:p>
    <w:p w:rsidR="00D51543" w:rsidRPr="00272017" w:rsidRDefault="00D51543" w:rsidP="00D51543">
      <w:pPr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План ликвидираних и резервисаних штета Друштво је пројектовало на бази следећих података:</w:t>
      </w:r>
    </w:p>
    <w:p w:rsidR="00D51543" w:rsidRPr="00272017" w:rsidRDefault="00D51543" w:rsidP="00D51543">
      <w:pPr>
        <w:pStyle w:val="ListParagraph"/>
        <w:numPr>
          <w:ilvl w:val="0"/>
          <w:numId w:val="40"/>
        </w:numPr>
        <w:spacing w:before="120" w:after="120" w:line="276" w:lineRule="auto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процењеног износа ликвидираних и резервисаних штета на дан 31.12.2015. године,</w:t>
      </w:r>
    </w:p>
    <w:p w:rsidR="00D51543" w:rsidRPr="00272017" w:rsidRDefault="00D51543" w:rsidP="00D51543">
      <w:pPr>
        <w:pStyle w:val="ListParagraph"/>
        <w:numPr>
          <w:ilvl w:val="0"/>
          <w:numId w:val="40"/>
        </w:numPr>
        <w:spacing w:before="120" w:after="120" w:line="276" w:lineRule="auto"/>
        <w:ind w:left="1071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статистике штета по типу уговора о реосигурању и ретроцесији и врсти осигурања,</w:t>
      </w:r>
    </w:p>
    <w:p w:rsidR="00D51543" w:rsidRPr="00272017" w:rsidRDefault="00D51543" w:rsidP="00D51543">
      <w:pPr>
        <w:pStyle w:val="ListParagraph"/>
        <w:numPr>
          <w:ilvl w:val="0"/>
          <w:numId w:val="40"/>
        </w:numPr>
        <w:spacing w:before="120" w:after="120" w:line="276" w:lineRule="auto"/>
        <w:ind w:left="1071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динамике преласка резервисаних у ликвидиране штете по типу уговора о реосигурању и ретроцесији и врсти осигурања,</w:t>
      </w:r>
    </w:p>
    <w:p w:rsidR="00D51543" w:rsidRPr="00272017" w:rsidRDefault="00D51543" w:rsidP="00D51543">
      <w:pPr>
        <w:pStyle w:val="ListParagraph"/>
        <w:numPr>
          <w:ilvl w:val="0"/>
          <w:numId w:val="40"/>
        </w:numPr>
        <w:spacing w:before="120" w:after="120" w:line="276" w:lineRule="auto"/>
        <w:ind w:left="1071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пројектован раст портфолија реосигурања,</w:t>
      </w:r>
    </w:p>
    <w:p w:rsidR="00D51543" w:rsidRPr="00272017" w:rsidRDefault="00D51543" w:rsidP="00D51543">
      <w:pPr>
        <w:pStyle w:val="ListParagraph"/>
        <w:numPr>
          <w:ilvl w:val="0"/>
          <w:numId w:val="40"/>
        </w:numPr>
        <w:spacing w:before="120" w:after="120" w:line="276" w:lineRule="auto"/>
        <w:ind w:left="1071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раст узрокован растом курса и инфлације и</w:t>
      </w:r>
    </w:p>
    <w:p w:rsidR="00D51543" w:rsidRPr="00272017" w:rsidRDefault="00D51543" w:rsidP="00D51543">
      <w:pPr>
        <w:pStyle w:val="ListParagraph"/>
        <w:numPr>
          <w:ilvl w:val="0"/>
          <w:numId w:val="40"/>
        </w:numPr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прописа којима се уређују резервације за настале непријављене штете.</w:t>
      </w:r>
    </w:p>
    <w:p w:rsidR="00D51543" w:rsidRPr="00272017" w:rsidRDefault="00D51543" w:rsidP="00D51543">
      <w:pPr>
        <w:pStyle w:val="Heading3"/>
        <w:tabs>
          <w:tab w:val="clear" w:pos="6870"/>
          <w:tab w:val="num" w:pos="1004"/>
        </w:tabs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100" w:name="_Toc432775068"/>
      <w:bookmarkStart w:id="101" w:name="_Toc433278715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План ликвидираних и резервисаних штета реосигурања и ретроцесије за период 2015. – 2019. године</w:t>
      </w:r>
      <w:bookmarkEnd w:id="100"/>
      <w:bookmarkEnd w:id="101"/>
    </w:p>
    <w:p w:rsidR="00D51543" w:rsidRPr="00272017" w:rsidRDefault="00D51543" w:rsidP="00D51543">
      <w:pPr>
        <w:spacing w:before="24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План активних ликвидираних штета у периоду од 2016. до 2019. године</w:t>
      </w:r>
    </w:p>
    <w:p w:rsidR="00D51543" w:rsidRPr="00272017" w:rsidRDefault="00D51543" w:rsidP="00D51543">
      <w:pPr>
        <w:pStyle w:val="NoSpacing"/>
        <w:jc w:val="right"/>
        <w:rPr>
          <w:rStyle w:val="IntenseEmphasis"/>
          <w:rFonts w:ascii="Verdana" w:eastAsia="Calibri" w:hAnsi="Verdana"/>
          <w:b w:val="0"/>
          <w:i w:val="0"/>
          <w:noProof/>
          <w:color w:val="auto"/>
          <w:sz w:val="20"/>
          <w:szCs w:val="24"/>
          <w:lang w:val="sr-Cyrl-CS" w:eastAsia="ar-SA"/>
        </w:rPr>
      </w:pPr>
      <w:r w:rsidRPr="00272017">
        <w:rPr>
          <w:rStyle w:val="IntenseEmphasis"/>
          <w:rFonts w:ascii="Verdana" w:eastAsia="Calibri" w:hAnsi="Verdana"/>
          <w:b w:val="0"/>
          <w:i w:val="0"/>
          <w:noProof/>
          <w:color w:val="auto"/>
          <w:sz w:val="20"/>
          <w:szCs w:val="24"/>
          <w:lang w:val="sr-Cyrl-CS" w:eastAsia="ar-SA"/>
        </w:rPr>
        <w:t>у РСД</w:t>
      </w:r>
    </w:p>
    <w:tbl>
      <w:tblPr>
        <w:tblStyle w:val="MediumList1-Accent12"/>
        <w:tblW w:w="10524" w:type="dxa"/>
        <w:tblInd w:w="-318" w:type="dxa"/>
        <w:tblLayout w:type="fixed"/>
        <w:tblLook w:val="04E0" w:firstRow="1" w:lastRow="1" w:firstColumn="1" w:lastColumn="0" w:noHBand="0" w:noVBand="1"/>
      </w:tblPr>
      <w:tblGrid>
        <w:gridCol w:w="431"/>
        <w:gridCol w:w="3969"/>
        <w:gridCol w:w="1531"/>
        <w:gridCol w:w="1531"/>
        <w:gridCol w:w="1531"/>
        <w:gridCol w:w="1531"/>
      </w:tblGrid>
      <w:tr w:rsidR="00D51543" w:rsidRPr="00272017" w:rsidTr="00574B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textDirection w:val="btLr"/>
            <w:vAlign w:val="center"/>
            <w:hideMark/>
          </w:tcPr>
          <w:p w:rsidR="00D51543" w:rsidRPr="00272017" w:rsidRDefault="00D51543" w:rsidP="00574B77">
            <w:pPr>
              <w:suppressAutoHyphens w:val="0"/>
              <w:ind w:left="113" w:right="113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Врста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Врста осигурања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2016.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2017.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2018.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2019.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01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од последица незгоде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19,573,800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19,961,400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20,157,100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20,352,800</w:t>
            </w:r>
          </w:p>
        </w:tc>
      </w:tr>
      <w:tr w:rsidR="00D51543" w:rsidRPr="00272017" w:rsidTr="00574B7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03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моторних возила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73,144,200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74,592,600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75,323,900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76,055,200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05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ваздухоплова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8,241,600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8,404,800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8,487,200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8,569,600</w:t>
            </w:r>
          </w:p>
        </w:tc>
      </w:tr>
      <w:tr w:rsidR="00D51543" w:rsidRPr="00272017" w:rsidTr="00574B7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07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робе у превозу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10,302,000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10,506,000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10,609,000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10,712,000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08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О. имовине од пожара и др. опасности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202,458,955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141,975,767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143,367,686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144,759,605</w:t>
            </w:r>
          </w:p>
        </w:tc>
      </w:tr>
      <w:tr w:rsidR="00D51543" w:rsidRPr="00272017" w:rsidTr="00574B7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09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Остала осигурања имовине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85,506,600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87,199,800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119,984,700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152,769,600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О. од одг. због употребе моторних возила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21,634,200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22,062,600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22,278,900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22,495,200</w:t>
            </w:r>
          </w:p>
        </w:tc>
      </w:tr>
      <w:tr w:rsidR="00D51543" w:rsidRPr="00272017" w:rsidTr="00574B7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13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од опште одговорности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1,236,240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1,260,720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1,273,080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1,285,440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16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финансијских губитака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56,661,000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57,783,000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58,349,500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58,916,000</w:t>
            </w:r>
          </w:p>
        </w:tc>
      </w:tr>
      <w:tr w:rsidR="00D51543" w:rsidRPr="00272017" w:rsidTr="00574B7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17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трошкова правне заштите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51,510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52,530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53,045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53,560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20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живота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20,604,000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21,012,000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21,218,000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21,424,000</w:t>
            </w:r>
          </w:p>
        </w:tc>
      </w:tr>
      <w:tr w:rsidR="00D51543" w:rsidRPr="00272017" w:rsidTr="00574B7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22</w:t>
            </w:r>
          </w:p>
        </w:tc>
        <w:tc>
          <w:tcPr>
            <w:tcW w:w="3969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Допунско осигурање уз осигурање живота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25,755,000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26,265,000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26,522,500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26,780,000</w:t>
            </w:r>
          </w:p>
        </w:tc>
      </w:tr>
      <w:tr w:rsidR="00D51543" w:rsidRPr="00272017" w:rsidTr="00574B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gridSpan w:val="2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УКУПНЕ АКТИВНА ЛИКВИДИРАНЕ ШТЕТЕ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525,169,105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471,076,217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507,624,611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544,173,005</w:t>
            </w:r>
          </w:p>
        </w:tc>
      </w:tr>
    </w:tbl>
    <w:p w:rsidR="00D51543" w:rsidRPr="00272017" w:rsidRDefault="00D51543" w:rsidP="00D51543">
      <w:pPr>
        <w:spacing w:before="24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План активних резервисаних штета у периоду од 2016. до 2019. године</w:t>
      </w:r>
    </w:p>
    <w:p w:rsidR="00D51543" w:rsidRPr="00272017" w:rsidRDefault="00D51543" w:rsidP="00D51543">
      <w:pPr>
        <w:pStyle w:val="NoSpacing"/>
        <w:jc w:val="right"/>
        <w:rPr>
          <w:rStyle w:val="IntenseEmphasis"/>
          <w:rFonts w:ascii="Verdana" w:eastAsia="Calibri" w:hAnsi="Verdana"/>
          <w:b w:val="0"/>
          <w:i w:val="0"/>
          <w:noProof/>
          <w:color w:val="auto"/>
          <w:sz w:val="20"/>
          <w:szCs w:val="24"/>
          <w:lang w:val="sr-Cyrl-CS" w:eastAsia="ar-SA"/>
        </w:rPr>
      </w:pPr>
      <w:r w:rsidRPr="00272017">
        <w:rPr>
          <w:rStyle w:val="IntenseEmphasis"/>
          <w:rFonts w:ascii="Verdana" w:eastAsia="Calibri" w:hAnsi="Verdana"/>
          <w:b w:val="0"/>
          <w:i w:val="0"/>
          <w:noProof/>
          <w:color w:val="auto"/>
          <w:sz w:val="20"/>
          <w:szCs w:val="24"/>
          <w:lang w:val="sr-Cyrl-CS" w:eastAsia="ar-SA"/>
        </w:rPr>
        <w:t>у РСД</w:t>
      </w:r>
    </w:p>
    <w:tbl>
      <w:tblPr>
        <w:tblStyle w:val="MediumList1-Accent12"/>
        <w:tblW w:w="10524" w:type="dxa"/>
        <w:tblInd w:w="-318" w:type="dxa"/>
        <w:tblLayout w:type="fixed"/>
        <w:tblLook w:val="04E0" w:firstRow="1" w:lastRow="1" w:firstColumn="1" w:lastColumn="0" w:noHBand="0" w:noVBand="1"/>
      </w:tblPr>
      <w:tblGrid>
        <w:gridCol w:w="431"/>
        <w:gridCol w:w="3969"/>
        <w:gridCol w:w="1531"/>
        <w:gridCol w:w="1531"/>
        <w:gridCol w:w="1531"/>
        <w:gridCol w:w="1531"/>
      </w:tblGrid>
      <w:tr w:rsidR="00D51543" w:rsidRPr="00272017" w:rsidTr="00574B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textDirection w:val="btLr"/>
            <w:vAlign w:val="center"/>
            <w:hideMark/>
          </w:tcPr>
          <w:p w:rsidR="00D51543" w:rsidRPr="00272017" w:rsidRDefault="00D51543" w:rsidP="00574B77">
            <w:pPr>
              <w:suppressAutoHyphens w:val="0"/>
              <w:ind w:left="113" w:right="113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Врста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Врста осигурања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2016.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2017.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2018.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2019.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01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од последица незгоде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38,599,823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39,360,924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39,980,625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40,600,327</w:t>
            </w:r>
          </w:p>
        </w:tc>
      </w:tr>
      <w:tr w:rsidR="00D51543" w:rsidRPr="00272017" w:rsidTr="00574B7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03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моторних возила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42,002,643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42,830,528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43,514,991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44,199,455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05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ваздухоплова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36,451,969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37,175,198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37,615,627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38,056,055</w:t>
            </w:r>
          </w:p>
        </w:tc>
      </w:tr>
      <w:tr w:rsidR="00D51543" w:rsidRPr="00272017" w:rsidTr="00574B7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07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робе у превозу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2,825,809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2,881,672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2,922,384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2,963,097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08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О. имовине од пожара и др. опасности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417,879,592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426,178,182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430,981,081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461,533,982</w:t>
            </w:r>
          </w:p>
        </w:tc>
      </w:tr>
      <w:tr w:rsidR="00D51543" w:rsidRPr="00272017" w:rsidTr="00574B7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09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Остала осигурања имовине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139,187,435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205,807,506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175,607,377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145,407,248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О. од одг. због употребе моторних возила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 xml:space="preserve">681,680,053 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695,178,133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704,282,713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713,387,293</w:t>
            </w:r>
          </w:p>
        </w:tc>
      </w:tr>
      <w:tr w:rsidR="00D51543" w:rsidRPr="00272017" w:rsidTr="00574B7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13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од опште одговорности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235,724,935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240,392,443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243,544,950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246,697,457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16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финансијских губитака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33,487,975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34,147,935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34,696,794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35,245,655</w:t>
            </w:r>
          </w:p>
        </w:tc>
      </w:tr>
      <w:tr w:rsidR="00D51543" w:rsidRPr="00272017" w:rsidTr="00574B7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17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трошкова правне заштите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238,362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243,098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245,811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248,526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20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живота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15,862,352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16,177,923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16,341,994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16,506,066</w:t>
            </w:r>
          </w:p>
        </w:tc>
      </w:tr>
      <w:tr w:rsidR="00D51543" w:rsidRPr="00272017" w:rsidTr="00574B7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22</w:t>
            </w:r>
          </w:p>
        </w:tc>
        <w:tc>
          <w:tcPr>
            <w:tcW w:w="3969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Допунско осигурање уз осигурање живота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28,078,553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28,633,961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29,027,768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29,421,576</w:t>
            </w:r>
          </w:p>
        </w:tc>
      </w:tr>
      <w:tr w:rsidR="00D51543" w:rsidRPr="00272017" w:rsidTr="00574B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gridSpan w:val="2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УКУПНЕ АКТИВНЕ РЕЗРЕВИСАНЕ ШТЕТЕ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Cs w:val="0"/>
                <w:noProof/>
                <w:color w:val="000000" w:themeColor="text1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Cs w:val="0"/>
                <w:noProof/>
                <w:color w:val="000000" w:themeColor="text1"/>
                <w:sz w:val="16"/>
                <w:szCs w:val="16"/>
                <w:lang w:val="sr-Cyrl-CS"/>
              </w:rPr>
              <w:t>1,672,019,501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 w:val="0"/>
                <w:bCs w:val="0"/>
                <w:noProof/>
                <w:color w:val="000000" w:themeColor="text1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Cs w:val="0"/>
                <w:noProof/>
                <w:color w:val="000000" w:themeColor="text1"/>
                <w:sz w:val="16"/>
                <w:szCs w:val="16"/>
                <w:lang w:val="sr-Cyrl-CS"/>
              </w:rPr>
              <w:t>1,769,007,503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Cs w:val="0"/>
                <w:noProof/>
                <w:color w:val="000000" w:themeColor="text1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Cs w:val="0"/>
                <w:noProof/>
                <w:color w:val="000000" w:themeColor="text1"/>
                <w:sz w:val="16"/>
                <w:szCs w:val="16"/>
                <w:lang w:val="sr-Cyrl-CS"/>
              </w:rPr>
              <w:t>1,758,762,115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Cs w:val="0"/>
                <w:noProof/>
                <w:color w:val="000000" w:themeColor="text1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Cs w:val="0"/>
                <w:noProof/>
                <w:color w:val="000000" w:themeColor="text1"/>
                <w:sz w:val="16"/>
                <w:szCs w:val="16"/>
                <w:lang w:val="sr-Cyrl-CS"/>
              </w:rPr>
              <w:t>1,774,266,737</w:t>
            </w:r>
          </w:p>
        </w:tc>
      </w:tr>
    </w:tbl>
    <w:p w:rsidR="00D51543" w:rsidRPr="00272017" w:rsidRDefault="00D51543" w:rsidP="00D51543">
      <w:pPr>
        <w:spacing w:before="200" w:after="20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</w:p>
    <w:p w:rsidR="00D51543" w:rsidRPr="00272017" w:rsidRDefault="00D51543" w:rsidP="00D51543">
      <w:pPr>
        <w:spacing w:before="24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Кретање активних ликвидираних и резервисаних штета                                     у периоду од 2016. до 2019. године</w:t>
      </w:r>
    </w:p>
    <w:p w:rsidR="00D51543" w:rsidRPr="00272017" w:rsidRDefault="00D51543" w:rsidP="00D51543">
      <w:pPr>
        <w:spacing w:before="200" w:after="200" w:line="276" w:lineRule="auto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noProof/>
          <w:lang w:val="sr-Latn-RS" w:eastAsia="sr-Latn-RS"/>
        </w:rPr>
        <w:drawing>
          <wp:inline distT="0" distB="0" distL="0" distR="0" wp14:anchorId="704384FA" wp14:editId="69514DA6">
            <wp:extent cx="5972810" cy="3266440"/>
            <wp:effectExtent l="0" t="0" r="889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51543" w:rsidRPr="00272017" w:rsidRDefault="00D51543" w:rsidP="00D51543">
      <w:pPr>
        <w:spacing w:before="24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План ликвидираних штета у самопридржају                                               периоду од 2016. до 2019. године</w:t>
      </w:r>
    </w:p>
    <w:p w:rsidR="00D51543" w:rsidRPr="00272017" w:rsidRDefault="00D51543" w:rsidP="00D51543">
      <w:pPr>
        <w:pStyle w:val="NoSpacing"/>
        <w:jc w:val="right"/>
        <w:rPr>
          <w:rStyle w:val="IntenseEmphasis"/>
          <w:rFonts w:ascii="Verdana" w:eastAsia="Calibri" w:hAnsi="Verdana"/>
          <w:b w:val="0"/>
          <w:i w:val="0"/>
          <w:noProof/>
          <w:color w:val="auto"/>
          <w:sz w:val="20"/>
          <w:szCs w:val="24"/>
          <w:lang w:val="sr-Cyrl-CS" w:eastAsia="ar-SA"/>
        </w:rPr>
      </w:pPr>
      <w:r w:rsidRPr="00272017">
        <w:rPr>
          <w:rStyle w:val="IntenseEmphasis"/>
          <w:rFonts w:ascii="Verdana" w:eastAsia="Calibri" w:hAnsi="Verdana"/>
          <w:b w:val="0"/>
          <w:i w:val="0"/>
          <w:noProof/>
          <w:color w:val="auto"/>
          <w:sz w:val="20"/>
          <w:szCs w:val="24"/>
          <w:lang w:val="sr-Cyrl-CS" w:eastAsia="ar-SA"/>
        </w:rPr>
        <w:t>у РСД</w:t>
      </w:r>
    </w:p>
    <w:tbl>
      <w:tblPr>
        <w:tblStyle w:val="MediumList1-Accent12"/>
        <w:tblW w:w="10524" w:type="dxa"/>
        <w:tblInd w:w="-318" w:type="dxa"/>
        <w:tblLayout w:type="fixed"/>
        <w:tblLook w:val="04E0" w:firstRow="1" w:lastRow="1" w:firstColumn="1" w:lastColumn="0" w:noHBand="0" w:noVBand="1"/>
      </w:tblPr>
      <w:tblGrid>
        <w:gridCol w:w="431"/>
        <w:gridCol w:w="3969"/>
        <w:gridCol w:w="1531"/>
        <w:gridCol w:w="1531"/>
        <w:gridCol w:w="1531"/>
        <w:gridCol w:w="1531"/>
      </w:tblGrid>
      <w:tr w:rsidR="00D51543" w:rsidRPr="00272017" w:rsidTr="00574B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textDirection w:val="btLr"/>
            <w:vAlign w:val="center"/>
            <w:hideMark/>
          </w:tcPr>
          <w:p w:rsidR="00D51543" w:rsidRPr="00272017" w:rsidRDefault="00D51543" w:rsidP="00574B77">
            <w:pPr>
              <w:suppressAutoHyphens w:val="0"/>
              <w:ind w:left="113" w:right="113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Врста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Врста осигурања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2016.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2017.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2018.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2019.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01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од последица незгоде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10,302,000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10,506,000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10,609,000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10,712,000</w:t>
            </w:r>
          </w:p>
        </w:tc>
      </w:tr>
      <w:tr w:rsidR="00D51543" w:rsidRPr="00272017" w:rsidTr="00574B7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03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моторних возила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72,938,160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74,382,480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75,111,720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75,840,960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05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ваздухоплова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618,120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630,360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636,540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642,720</w:t>
            </w:r>
          </w:p>
        </w:tc>
      </w:tr>
      <w:tr w:rsidR="00D51543" w:rsidRPr="00272017" w:rsidTr="00574B7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07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робе у превозу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6,181,200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6,303,600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6,365,400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6,427,200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08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О. имовине од пожара и др. опасности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46,179,632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42,579,621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42,997,068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43,414,515</w:t>
            </w:r>
          </w:p>
        </w:tc>
      </w:tr>
      <w:tr w:rsidR="00D51543" w:rsidRPr="00272017" w:rsidTr="00574B7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09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Остала осигурања имовине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44,298,600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45,175,800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52,004,700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58,833,600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О. од одг. због употребе моторних возила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5,151,000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5,253,000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5,304,500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5,356,000</w:t>
            </w:r>
          </w:p>
        </w:tc>
      </w:tr>
      <w:tr w:rsidR="00D51543" w:rsidRPr="00272017" w:rsidTr="00574B7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13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од опште одговорности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103,020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105,060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106,090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107,120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16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финансијских губитака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1,030,200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1,050,600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1,060,900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1,071,200</w:t>
            </w:r>
          </w:p>
        </w:tc>
      </w:tr>
      <w:tr w:rsidR="00D51543" w:rsidRPr="00272017" w:rsidTr="00574B7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17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трошкова правне заштите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10,302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10,506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10,609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10,712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20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живота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2,575,500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2,626,500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2,652,250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2,678,000</w:t>
            </w:r>
          </w:p>
        </w:tc>
      </w:tr>
      <w:tr w:rsidR="00D51543" w:rsidRPr="00272017" w:rsidTr="00574B77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22</w:t>
            </w:r>
          </w:p>
        </w:tc>
        <w:tc>
          <w:tcPr>
            <w:tcW w:w="3969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Допунско осигурање уз осигурање живота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3,090,600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3,151,800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3,182,700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3,213,600</w:t>
            </w:r>
          </w:p>
        </w:tc>
      </w:tr>
      <w:tr w:rsidR="00D51543" w:rsidRPr="00272017" w:rsidTr="00574B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gridSpan w:val="2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УКУПНЕ ЛИКВИДИРАНЕ ШТЕТЕ                               У САМОПРИДРЖАЈУ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192,478,334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191,775,327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200,041,477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208,307,627</w:t>
            </w:r>
          </w:p>
        </w:tc>
      </w:tr>
    </w:tbl>
    <w:p w:rsidR="00D51543" w:rsidRPr="00272017" w:rsidRDefault="00D51543" w:rsidP="00D51543">
      <w:pPr>
        <w:pStyle w:val="NoSpacing"/>
        <w:jc w:val="both"/>
        <w:rPr>
          <w:rStyle w:val="IntenseEmphasis"/>
          <w:rFonts w:ascii="Verdana" w:eastAsia="Calibri" w:hAnsi="Verdana"/>
          <w:b w:val="0"/>
          <w:i w:val="0"/>
          <w:noProof/>
          <w:color w:val="auto"/>
          <w:sz w:val="20"/>
          <w:szCs w:val="24"/>
          <w:lang w:val="sr-Cyrl-CS" w:eastAsia="ar-SA"/>
        </w:rPr>
      </w:pPr>
    </w:p>
    <w:p w:rsidR="00D51543" w:rsidRPr="00272017" w:rsidRDefault="00D51543" w:rsidP="00D51543">
      <w:pPr>
        <w:pStyle w:val="NoSpacing"/>
        <w:jc w:val="both"/>
        <w:rPr>
          <w:rStyle w:val="IntenseEmphasis"/>
          <w:rFonts w:ascii="Verdana" w:eastAsia="Calibri" w:hAnsi="Verdana"/>
          <w:b w:val="0"/>
          <w:i w:val="0"/>
          <w:noProof/>
          <w:color w:val="auto"/>
          <w:sz w:val="20"/>
          <w:szCs w:val="24"/>
          <w:lang w:val="sr-Cyrl-CS" w:eastAsia="ar-SA"/>
        </w:rPr>
      </w:pPr>
    </w:p>
    <w:p w:rsidR="00D51543" w:rsidRPr="00272017" w:rsidRDefault="00D51543" w:rsidP="00D51543">
      <w:pPr>
        <w:pStyle w:val="NoSpacing"/>
        <w:jc w:val="both"/>
        <w:rPr>
          <w:rStyle w:val="IntenseEmphasis"/>
          <w:rFonts w:ascii="Verdana" w:eastAsia="Calibri" w:hAnsi="Verdana"/>
          <w:b w:val="0"/>
          <w:i w:val="0"/>
          <w:noProof/>
          <w:color w:val="auto"/>
          <w:sz w:val="20"/>
          <w:szCs w:val="24"/>
          <w:lang w:val="sr-Cyrl-CS" w:eastAsia="ar-SA"/>
        </w:rPr>
      </w:pPr>
    </w:p>
    <w:p w:rsidR="00D51543" w:rsidRPr="00272017" w:rsidRDefault="00D51543" w:rsidP="00D51543">
      <w:pPr>
        <w:spacing w:before="24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План резервисаних штета у самопридржају                                               периоду од 2016. до 2019. године</w:t>
      </w:r>
    </w:p>
    <w:p w:rsidR="00D51543" w:rsidRPr="00272017" w:rsidRDefault="00D51543" w:rsidP="00D51543">
      <w:pPr>
        <w:pStyle w:val="NoSpacing"/>
        <w:jc w:val="right"/>
        <w:rPr>
          <w:rStyle w:val="IntenseEmphasis"/>
          <w:rFonts w:ascii="Verdana" w:eastAsia="Calibri" w:hAnsi="Verdana"/>
          <w:b w:val="0"/>
          <w:i w:val="0"/>
          <w:noProof/>
          <w:color w:val="auto"/>
          <w:sz w:val="20"/>
          <w:szCs w:val="24"/>
          <w:lang w:val="sr-Cyrl-CS" w:eastAsia="ar-SA"/>
        </w:rPr>
      </w:pPr>
      <w:r w:rsidRPr="00272017">
        <w:rPr>
          <w:rStyle w:val="IntenseEmphasis"/>
          <w:rFonts w:ascii="Verdana" w:eastAsia="Calibri" w:hAnsi="Verdana"/>
          <w:b w:val="0"/>
          <w:i w:val="0"/>
          <w:noProof/>
          <w:color w:val="auto"/>
          <w:sz w:val="20"/>
          <w:szCs w:val="24"/>
          <w:lang w:val="sr-Cyrl-CS" w:eastAsia="ar-SA"/>
        </w:rPr>
        <w:t>у РСД</w:t>
      </w:r>
    </w:p>
    <w:tbl>
      <w:tblPr>
        <w:tblStyle w:val="MediumList1-Accent12"/>
        <w:tblW w:w="10524" w:type="dxa"/>
        <w:tblInd w:w="-318" w:type="dxa"/>
        <w:tblLayout w:type="fixed"/>
        <w:tblLook w:val="04E0" w:firstRow="1" w:lastRow="1" w:firstColumn="1" w:lastColumn="0" w:noHBand="0" w:noVBand="1"/>
      </w:tblPr>
      <w:tblGrid>
        <w:gridCol w:w="431"/>
        <w:gridCol w:w="3969"/>
        <w:gridCol w:w="1531"/>
        <w:gridCol w:w="1531"/>
        <w:gridCol w:w="1531"/>
        <w:gridCol w:w="1531"/>
      </w:tblGrid>
      <w:tr w:rsidR="00D51543" w:rsidRPr="00272017" w:rsidTr="00574B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textDirection w:val="btLr"/>
            <w:vAlign w:val="center"/>
            <w:hideMark/>
          </w:tcPr>
          <w:p w:rsidR="00D51543" w:rsidRPr="00272017" w:rsidRDefault="00D51543" w:rsidP="00574B77">
            <w:pPr>
              <w:suppressAutoHyphens w:val="0"/>
              <w:ind w:left="113" w:right="113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Врста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Врста осигурања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2016.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2017.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2018.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2019.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01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од последица незгоде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24,476,074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24,958,875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25,345,727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25,732,578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03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моторних возила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41,539,223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42,357,931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43,036,246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43,714,563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05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ваздухоплова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1,656,230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1,688,857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1,716,434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1,744,010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07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робе у превозу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2,064,991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2,105,845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2,134,578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2,163,312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08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О. имовине од пожара и др. опасности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233,230,449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237,861,839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240,551,864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248,391,892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09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Остала осигурања имовине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34,577,723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48,033,778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42,129,831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36,225,885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О. од одг. због употребе моторних возила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116,109,509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118,405,558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120,055,206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121,704,855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13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од опште одговорности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19,848,525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20,240,440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20,541,452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20,842,466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16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финансијских губитака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3,205,801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3,269,114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3,317,276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3,365,441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17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трошкова правне заштите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52,518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53,562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54,198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54,837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20</w:t>
            </w:r>
          </w:p>
        </w:tc>
        <w:tc>
          <w:tcPr>
            <w:tcW w:w="3969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Осигурање живота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1,439,552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1,468,081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1,486,510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1,504,940</w:t>
            </w:r>
          </w:p>
        </w:tc>
      </w:tr>
      <w:tr w:rsidR="00D51543" w:rsidRPr="00272017" w:rsidTr="00574B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16"/>
                <w:szCs w:val="16"/>
                <w:lang w:val="sr-Cyrl-CS"/>
              </w:rPr>
              <w:t>22</w:t>
            </w:r>
          </w:p>
        </w:tc>
        <w:tc>
          <w:tcPr>
            <w:tcW w:w="3969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Допунско осигурање уз осигурање живота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5,401,504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5,508,326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5,584,845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/>
              </w:rPr>
              <w:t>5,661,366</w:t>
            </w:r>
          </w:p>
        </w:tc>
      </w:tr>
      <w:tr w:rsidR="00D51543" w:rsidRPr="00272017" w:rsidTr="00574B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gridSpan w:val="2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УКУПНЕ РЕЗЕРВИСАНЕ ШТЕТЕ                               У САМОПРИДРЖАЈУ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483,602,099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505,952,206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505,954,167</w:t>
            </w:r>
          </w:p>
        </w:tc>
        <w:tc>
          <w:tcPr>
            <w:tcW w:w="1531" w:type="dxa"/>
            <w:vAlign w:val="center"/>
          </w:tcPr>
          <w:p w:rsidR="00D51543" w:rsidRPr="00272017" w:rsidRDefault="00D51543" w:rsidP="00574B77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color w:val="auto"/>
                <w:sz w:val="16"/>
                <w:szCs w:val="16"/>
                <w:lang w:val="sr-Cyrl-CS"/>
              </w:rPr>
              <w:t>511,106,145</w:t>
            </w:r>
          </w:p>
        </w:tc>
      </w:tr>
    </w:tbl>
    <w:p w:rsidR="00D51543" w:rsidRPr="00272017" w:rsidRDefault="00D51543" w:rsidP="00D51543">
      <w:pPr>
        <w:spacing w:before="24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Кретање ликвидираних и резервисаних штета у самопридржају                                     у периоду од 2016. до 2019. године</w:t>
      </w:r>
    </w:p>
    <w:p w:rsidR="00D51543" w:rsidRPr="00272017" w:rsidRDefault="00D51543" w:rsidP="00D51543">
      <w:pPr>
        <w:pStyle w:val="Heading3"/>
        <w:numPr>
          <w:ilvl w:val="0"/>
          <w:numId w:val="0"/>
        </w:numPr>
        <w:spacing w:before="360" w:after="360"/>
        <w:rPr>
          <w:b w:val="0"/>
          <w:bCs w:val="0"/>
          <w:i/>
          <w:iCs/>
          <w:noProof/>
          <w:color w:val="4F81BD"/>
          <w:sz w:val="22"/>
          <w:lang w:val="sr-Cyrl-CS"/>
        </w:rPr>
      </w:pPr>
      <w:bookmarkStart w:id="102" w:name="_Toc432582087"/>
      <w:bookmarkStart w:id="103" w:name="_Toc432685675"/>
      <w:bookmarkStart w:id="104" w:name="_Toc432775069"/>
      <w:bookmarkStart w:id="105" w:name="_Toc433026524"/>
      <w:bookmarkStart w:id="106" w:name="_Toc433278716"/>
      <w:r w:rsidRPr="00272017">
        <w:rPr>
          <w:noProof/>
          <w:lang w:val="sr-Latn-RS" w:eastAsia="sr-Latn-RS"/>
        </w:rPr>
        <w:drawing>
          <wp:inline distT="0" distB="0" distL="0" distR="0" wp14:anchorId="578BFBE0" wp14:editId="304A9EB6">
            <wp:extent cx="5975498" cy="3530009"/>
            <wp:effectExtent l="0" t="0" r="635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bookmarkEnd w:id="102"/>
      <w:bookmarkEnd w:id="103"/>
      <w:bookmarkEnd w:id="104"/>
      <w:bookmarkEnd w:id="105"/>
      <w:bookmarkEnd w:id="106"/>
    </w:p>
    <w:p w:rsidR="00D51543" w:rsidRPr="00272017" w:rsidRDefault="00D51543" w:rsidP="00D51543">
      <w:pPr>
        <w:rPr>
          <w:noProof/>
          <w:lang w:val="sr-Cyrl-CS"/>
        </w:rPr>
      </w:pPr>
    </w:p>
    <w:p w:rsidR="00D51543" w:rsidRPr="00272017" w:rsidRDefault="00D51543" w:rsidP="00D51543">
      <w:pPr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Узимајући у обзир полазне претпоставке за формирање пројектованих ликвидираних штета реосигурања и ретроцесије Друштво је највеће учешће укупних штета планирало по врсти осигурања 08 – осигурање имовине од пожара и других опасности.</w:t>
      </w:r>
    </w:p>
    <w:p w:rsidR="00D51543" w:rsidRPr="00272017" w:rsidRDefault="00D51543" w:rsidP="00D51543">
      <w:pPr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Просечно учешће ретроцесије у укупним резервисаним и ликвидираним штетама реосигурања износи око 30%, а учешће варира по појединим врстама осигурања у зависности од структуре портфеља (висине поједиачних ризика преузетих у реосигурање, типа уговора о реосигурању и ретроцесији и сл.).</w:t>
      </w:r>
    </w:p>
    <w:p w:rsidR="00D51543" w:rsidRPr="00272017" w:rsidRDefault="00D51543" w:rsidP="00D51543">
      <w:pPr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Највеће учешће на ризику Друштво има у оквиру врсте осигурања 03 - Осигурање моторних возила, где је просечно учешће у ликвидираним и резервисаним штетама у самопридржају 99%.</w:t>
      </w:r>
    </w:p>
    <w:p w:rsidR="00D51543" w:rsidRPr="00272017" w:rsidRDefault="00D51543" w:rsidP="00D51543">
      <w:pPr>
        <w:spacing w:before="240" w:after="24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Највеће учешће ретроцесије у укупним ликвидираним и резервисаним штетама Друштво је планиралу по врстама осигурања 05 - Осигурање ваздухоплова и 16 - Осигурање финансијских губитака, где на терет самопридржаја Друштва пада свега 5% укупно ликвидираних и резервисаних штета. Ниско учешће планирано је и по врсти осигурања 13 - Осигурање од опште одговорности, просечно око 8%, што је последица високог учешће покрића по међународним програмима.</w:t>
      </w:r>
    </w:p>
    <w:p w:rsidR="00D51543" w:rsidRPr="00272017" w:rsidRDefault="00D51543" w:rsidP="00D51543">
      <w:pPr>
        <w:spacing w:before="240" w:line="276" w:lineRule="auto"/>
        <w:jc w:val="center"/>
        <w:rPr>
          <w:rFonts w:ascii="Verdana" w:eastAsia="Calibri" w:hAnsi="Verdana"/>
          <w:b/>
          <w:bCs/>
          <w:i/>
          <w:iCs/>
          <w:noProof/>
          <w:color w:val="4F81BD"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Структура ликвидираних и резервисаних штета у самопридржајуи ретроцесији у периоду од 2016. до 2019. године</w:t>
      </w:r>
    </w:p>
    <w:p w:rsidR="00D51543" w:rsidRPr="00272017" w:rsidRDefault="00D51543" w:rsidP="00D51543">
      <w:pPr>
        <w:spacing w:before="240" w:after="240" w:line="276" w:lineRule="auto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noProof/>
          <w:lang w:val="sr-Latn-RS" w:eastAsia="sr-Latn-RS"/>
        </w:rPr>
        <w:drawing>
          <wp:inline distT="0" distB="0" distL="0" distR="0" wp14:anchorId="39B779E5" wp14:editId="4ECC0E7F">
            <wp:extent cx="6262577" cy="3732028"/>
            <wp:effectExtent l="0" t="0" r="5080" b="1905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51543" w:rsidRPr="00272017" w:rsidRDefault="00D51543" w:rsidP="00D51543">
      <w:pPr>
        <w:pStyle w:val="Heading1"/>
        <w:numPr>
          <w:ilvl w:val="1"/>
          <w:numId w:val="3"/>
        </w:numPr>
        <w:spacing w:before="240" w:after="240"/>
        <w:ind w:left="1418" w:hanging="851"/>
        <w:jc w:val="left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107" w:name="_Toc432775070"/>
      <w:bookmarkStart w:id="108" w:name="_Toc433278717"/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Трошкови спровођења реосигурања                                      за период 201</w:t>
      </w:r>
      <w:r>
        <w:rPr>
          <w:rFonts w:ascii="Verdana" w:hAnsi="Verdana" w:cs="Tahoma"/>
          <w:noProof/>
          <w:color w:val="365F91"/>
          <w:sz w:val="24"/>
          <w:szCs w:val="18"/>
          <w:lang w:val="sr-Cyrl-CS"/>
        </w:rPr>
        <w:t>6</w:t>
      </w:r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. –2019. године</w:t>
      </w:r>
      <w:bookmarkEnd w:id="107"/>
      <w:bookmarkEnd w:id="108"/>
    </w:p>
    <w:p w:rsidR="00D51543" w:rsidRPr="00272017" w:rsidRDefault="00D51543" w:rsidP="00D51543">
      <w:pPr>
        <w:pStyle w:val="ListParagraph"/>
        <w:keepNext/>
        <w:numPr>
          <w:ilvl w:val="1"/>
          <w:numId w:val="2"/>
        </w:numPr>
        <w:outlineLvl w:val="1"/>
        <w:rPr>
          <w:rStyle w:val="IntenseEmphasis"/>
          <w:rFonts w:ascii="Verdana" w:hAnsi="Verdana"/>
          <w:bCs w:val="0"/>
          <w:noProof/>
          <w:vanish/>
          <w:sz w:val="22"/>
          <w:lang w:val="sr-Cyrl-CS"/>
        </w:rPr>
      </w:pPr>
      <w:bookmarkStart w:id="109" w:name="_Toc432582089"/>
      <w:bookmarkStart w:id="110" w:name="_Toc432685599"/>
      <w:bookmarkStart w:id="111" w:name="_Toc432685677"/>
      <w:bookmarkStart w:id="112" w:name="_Toc432775071"/>
      <w:bookmarkStart w:id="113" w:name="_Toc433026526"/>
      <w:bookmarkStart w:id="114" w:name="_Toc433278718"/>
      <w:bookmarkEnd w:id="109"/>
      <w:bookmarkEnd w:id="110"/>
      <w:bookmarkEnd w:id="111"/>
      <w:bookmarkEnd w:id="112"/>
      <w:bookmarkEnd w:id="113"/>
      <w:bookmarkEnd w:id="114"/>
    </w:p>
    <w:p w:rsidR="00D51543" w:rsidRPr="00272017" w:rsidRDefault="00D51543" w:rsidP="00D51543">
      <w:pPr>
        <w:pStyle w:val="Heading3"/>
        <w:tabs>
          <w:tab w:val="clear" w:pos="6870"/>
          <w:tab w:val="num" w:pos="1004"/>
        </w:tabs>
        <w:spacing w:after="240"/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115" w:name="_Toc432775072"/>
      <w:bookmarkStart w:id="116" w:name="_Toc433278719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Полазне претпоставке за израду плана                                               трошкова спровођења реосигурања</w:t>
      </w:r>
      <w:bookmarkEnd w:id="115"/>
      <w:bookmarkEnd w:id="116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 xml:space="preserve"> </w:t>
      </w:r>
    </w:p>
    <w:p w:rsidR="00D51543" w:rsidRPr="00272017" w:rsidRDefault="00D51543" w:rsidP="00D5154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План трошкова спровођења реосигурања Друштво је пројектовало на бази следећих података:</w:t>
      </w:r>
    </w:p>
    <w:p w:rsidR="00D51543" w:rsidRPr="00272017" w:rsidRDefault="00D51543" w:rsidP="00D51543">
      <w:pPr>
        <w:pStyle w:val="ListParagraph"/>
        <w:numPr>
          <w:ilvl w:val="0"/>
          <w:numId w:val="41"/>
        </w:numPr>
        <w:spacing w:before="60" w:after="6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основ за пројекцију трошкова спровођења били су процењени трошкови на дан 31.12.2015. године,</w:t>
      </w:r>
    </w:p>
    <w:p w:rsidR="00D51543" w:rsidRPr="00272017" w:rsidRDefault="00D51543" w:rsidP="00D51543">
      <w:pPr>
        <w:pStyle w:val="ListParagraph"/>
        <w:numPr>
          <w:ilvl w:val="0"/>
          <w:numId w:val="41"/>
        </w:numPr>
        <w:spacing w:before="60" w:after="6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план провизије реосигурања и ретроцесије рађен је у складу са планираним портфељем реосигурања и ретроцесије,</w:t>
      </w:r>
    </w:p>
    <w:p w:rsidR="00D51543" w:rsidRPr="00272017" w:rsidRDefault="00D51543" w:rsidP="00D51543">
      <w:pPr>
        <w:pStyle w:val="ListParagraph"/>
        <w:numPr>
          <w:ilvl w:val="0"/>
          <w:numId w:val="41"/>
        </w:numPr>
        <w:spacing w:before="60" w:after="6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планом није предвиђен 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реалан </w:t>
      </w: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раст трошкова зарада,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а сва увећања су резултат усклађивања са </w:t>
      </w: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пројектованом инфлацијом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,</w:t>
      </w:r>
    </w:p>
    <w:p w:rsidR="00D51543" w:rsidRPr="00272017" w:rsidRDefault="00D51543" w:rsidP="00D51543">
      <w:pPr>
        <w:pStyle w:val="ListParagraph"/>
        <w:numPr>
          <w:ilvl w:val="0"/>
          <w:numId w:val="41"/>
        </w:numPr>
        <w:spacing w:before="60" w:after="6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од друге половине 2016. године укалкулисана је амортизација софтвера у складу са уговором и динамиком увођења интегрисаног информационог система у Друштву,</w:t>
      </w:r>
    </w:p>
    <w:p w:rsidR="00D51543" w:rsidRPr="00272017" w:rsidRDefault="00D51543" w:rsidP="00D51543">
      <w:pPr>
        <w:pStyle w:val="ListParagraph"/>
        <w:numPr>
          <w:ilvl w:val="0"/>
          <w:numId w:val="41"/>
        </w:numPr>
        <w:spacing w:before="60" w:after="6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од 2017. године Друштво је исказало трошкове одржавања интегрисаног информационог система и</w:t>
      </w:r>
    </w:p>
    <w:p w:rsidR="00D51543" w:rsidRPr="00272017" w:rsidRDefault="00D51543" w:rsidP="00D51543">
      <w:pPr>
        <w:pStyle w:val="ListParagraph"/>
        <w:numPr>
          <w:ilvl w:val="0"/>
          <w:numId w:val="41"/>
        </w:numPr>
        <w:spacing w:before="60" w:after="6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планиран је раст трошкова у складу са пројектованом инфлацијом.</w:t>
      </w:r>
    </w:p>
    <w:p w:rsidR="00D51543" w:rsidRPr="00272017" w:rsidRDefault="00D51543" w:rsidP="00D51543">
      <w:pPr>
        <w:pStyle w:val="Heading3"/>
        <w:tabs>
          <w:tab w:val="clear" w:pos="6870"/>
          <w:tab w:val="num" w:pos="1004"/>
        </w:tabs>
        <w:spacing w:before="240" w:after="240"/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117" w:name="_Toc432775073"/>
      <w:bookmarkStart w:id="118" w:name="_Toc433278720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План трошкова спровођења реосигурања                                                    за период 201</w:t>
      </w:r>
      <w:r>
        <w:rPr>
          <w:rStyle w:val="IntenseEmphasis"/>
          <w:rFonts w:ascii="Verdana" w:hAnsi="Verdana"/>
          <w:b/>
          <w:noProof/>
          <w:sz w:val="22"/>
          <w:lang w:val="sr-Cyrl-CS"/>
        </w:rPr>
        <w:t>6</w:t>
      </w:r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. – 2019. године</w:t>
      </w:r>
      <w:bookmarkEnd w:id="117"/>
      <w:bookmarkEnd w:id="118"/>
    </w:p>
    <w:p w:rsidR="00D51543" w:rsidRPr="00272017" w:rsidRDefault="00D51543" w:rsidP="00D5154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Друштво трошкове спровођења расподељује на трошкове прибаве, трошкове управе и остале трошкове спровођења према стварном месту настанка трошка увек када је то могуће утврдити.</w:t>
      </w:r>
    </w:p>
    <w:p w:rsidR="00D51543" w:rsidRPr="00272017" w:rsidRDefault="00D51543" w:rsidP="00D51543">
      <w:pPr>
        <w:widowControl w:val="0"/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Када у моменту настанка није могуће утврдити место трошка исти се расподељују  системом кључа који се утврђује на основу података о броју запослених. Трошкови који се увек расподељују на основу утврђеног кључа су: закупнина, трошкови електричне енергије, трошкови грејања, трошкови за услуге одржавања, трошкови комуналних услуга, трошкови ПТТ услуга, трошкови накнаде Народној банци Србије и ревизору, трошкови чишћења и слично.</w:t>
      </w: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ab/>
        <w:t xml:space="preserve">  </w:t>
      </w:r>
    </w:p>
    <w:p w:rsidR="00D51543" w:rsidRPr="00272017" w:rsidRDefault="00D51543" w:rsidP="00D5154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Интерним актом Друштво је утврдило трошкове који се у целости распоређују на поједину категорију трошкова, и то:</w:t>
      </w:r>
    </w:p>
    <w:p w:rsidR="00D51543" w:rsidRPr="00272017" w:rsidRDefault="00D51543" w:rsidP="00D51543">
      <w:pPr>
        <w:pStyle w:val="ListParagraph"/>
        <w:numPr>
          <w:ilvl w:val="0"/>
          <w:numId w:val="42"/>
        </w:numPr>
        <w:spacing w:before="60" w:after="6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Трошкови провизије реосигурања у целости се опредељују на трошкове прибаве,</w:t>
      </w:r>
    </w:p>
    <w:p w:rsidR="00D51543" w:rsidRPr="00272017" w:rsidRDefault="00D51543" w:rsidP="00D51543">
      <w:pPr>
        <w:pStyle w:val="ListParagraph"/>
        <w:numPr>
          <w:ilvl w:val="0"/>
          <w:numId w:val="42"/>
        </w:numPr>
        <w:spacing w:before="60" w:after="6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Трошкови амортизације у целости се алоцирају на трошкове управе,</w:t>
      </w:r>
    </w:p>
    <w:p w:rsidR="00D51543" w:rsidRPr="00272017" w:rsidRDefault="00D51543" w:rsidP="00D51543">
      <w:pPr>
        <w:pStyle w:val="ListParagraph"/>
        <w:numPr>
          <w:ilvl w:val="0"/>
          <w:numId w:val="42"/>
        </w:numPr>
        <w:spacing w:before="60" w:after="6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Трошкови рекламе и пропаганде у целости се опредељују на трошкове прибаве,</w:t>
      </w:r>
    </w:p>
    <w:p w:rsidR="00D51543" w:rsidRPr="00272017" w:rsidRDefault="00D51543" w:rsidP="00D51543">
      <w:pPr>
        <w:pStyle w:val="ListParagraph"/>
        <w:numPr>
          <w:ilvl w:val="0"/>
          <w:numId w:val="42"/>
        </w:numPr>
        <w:spacing w:before="60" w:after="6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Трошкови огласа у штампи и другим медијима, изузев рекламе и пропаганде, у целини се анализички опредељују на трошак управе,</w:t>
      </w:r>
    </w:p>
    <w:p w:rsidR="00D51543" w:rsidRPr="00272017" w:rsidRDefault="00D51543" w:rsidP="00D51543">
      <w:pPr>
        <w:pStyle w:val="ListParagraph"/>
        <w:numPr>
          <w:ilvl w:val="0"/>
          <w:numId w:val="42"/>
        </w:numPr>
        <w:spacing w:before="60" w:after="6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Трошкови спонзорства и донаторства аналитички се опредељују на трошкове управе, осим у случајевима када су ови трошкови  директној вези са прибавом реосигурања,</w:t>
      </w:r>
    </w:p>
    <w:p w:rsidR="00D51543" w:rsidRPr="00272017" w:rsidRDefault="00D51543" w:rsidP="00D51543">
      <w:pPr>
        <w:pStyle w:val="ListParagraph"/>
        <w:numPr>
          <w:ilvl w:val="0"/>
          <w:numId w:val="42"/>
        </w:numPr>
        <w:spacing w:before="60" w:after="6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Трошкови банкарских услуга се у целости алоцирају на трошкове прибаве,</w:t>
      </w:r>
    </w:p>
    <w:p w:rsidR="00D51543" w:rsidRPr="00272017" w:rsidRDefault="00D51543" w:rsidP="00D51543">
      <w:pPr>
        <w:pStyle w:val="ListParagraph"/>
        <w:numPr>
          <w:ilvl w:val="0"/>
          <w:numId w:val="42"/>
        </w:numPr>
        <w:spacing w:before="60" w:after="6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Трошкови стипендија у целости се алоцирају на трошкове управе,</w:t>
      </w:r>
    </w:p>
    <w:p w:rsidR="00D51543" w:rsidRPr="00272017" w:rsidRDefault="00D51543" w:rsidP="00D51543">
      <w:pPr>
        <w:pStyle w:val="ListParagraph"/>
        <w:numPr>
          <w:ilvl w:val="0"/>
          <w:numId w:val="42"/>
        </w:numPr>
        <w:spacing w:before="60" w:after="6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Трошкови пореза и доприноса у целости се алоцирају на остале трошкове спровођења реосигурања,</w:t>
      </w:r>
    </w:p>
    <w:p w:rsidR="00D51543" w:rsidRPr="00272017" w:rsidRDefault="00D51543" w:rsidP="00D51543">
      <w:pPr>
        <w:pStyle w:val="ListParagraph"/>
        <w:numPr>
          <w:ilvl w:val="0"/>
          <w:numId w:val="42"/>
        </w:numPr>
        <w:spacing w:before="60" w:after="6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Трошкови чланарина и доприноса коморама и удружењима у целости се аналитички опредељују на трошкове управе,</w:t>
      </w:r>
    </w:p>
    <w:p w:rsidR="00D51543" w:rsidRPr="00272017" w:rsidRDefault="00D51543" w:rsidP="00D51543">
      <w:pPr>
        <w:pStyle w:val="ListParagraph"/>
        <w:numPr>
          <w:ilvl w:val="0"/>
          <w:numId w:val="42"/>
        </w:numPr>
        <w:spacing w:before="60" w:after="6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Трошкови накнаде по уговору о делу у целости се аналитички опредељују на трошкове управе,</w:t>
      </w:r>
    </w:p>
    <w:p w:rsidR="00D51543" w:rsidRPr="00272017" w:rsidRDefault="00D51543" w:rsidP="00D51543">
      <w:pPr>
        <w:pStyle w:val="ListParagraph"/>
        <w:numPr>
          <w:ilvl w:val="0"/>
          <w:numId w:val="42"/>
        </w:numPr>
        <w:spacing w:before="60" w:after="60"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Трошкови накнаде члановима Надзорног одбора и Комисије за ревизију у целости се аналитички опредељују на трошкове управе.</w:t>
      </w:r>
    </w:p>
    <w:p w:rsidR="00D51543" w:rsidRPr="00272017" w:rsidRDefault="00D51543" w:rsidP="00D5154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Трошкови спровођења реосигурања разврставају се на врсте осигурања према кључу утврђеном на основу учешћа премије реосигурања по појединачним врстама осигурања у укупној премији реосигурања, изузев за расподелу трошкова провизије реосигурања чија се расподела по врстама осигурања врши према стварном трошку.</w:t>
      </w:r>
    </w:p>
    <w:p w:rsidR="00D51543" w:rsidRPr="00272017" w:rsidRDefault="00D51543" w:rsidP="00D51543">
      <w:pPr>
        <w:spacing w:before="12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Кретање трошкова спровођења реосигурања                                                      у периоду од 2016. до 2019. године</w:t>
      </w:r>
    </w:p>
    <w:p w:rsidR="00D51543" w:rsidRPr="00272017" w:rsidRDefault="00D51543" w:rsidP="00D51543">
      <w:pPr>
        <w:spacing w:after="120" w:line="276" w:lineRule="auto"/>
        <w:ind w:firstLine="284"/>
        <w:jc w:val="right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у 000 РСД</w:t>
      </w:r>
    </w:p>
    <w:tbl>
      <w:tblPr>
        <w:tblW w:w="9558" w:type="dxa"/>
        <w:tblInd w:w="93" w:type="dxa"/>
        <w:tblBorders>
          <w:top w:val="single" w:sz="8" w:space="0" w:color="365F91" w:themeColor="accent1" w:themeShade="BF"/>
          <w:bottom w:val="single" w:sz="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5786"/>
        <w:gridCol w:w="964"/>
        <w:gridCol w:w="957"/>
        <w:gridCol w:w="957"/>
        <w:gridCol w:w="957"/>
      </w:tblGrid>
      <w:tr w:rsidR="00D51543" w:rsidRPr="00272017" w:rsidTr="00574B77">
        <w:trPr>
          <w:trHeight w:val="113"/>
        </w:trPr>
        <w:tc>
          <w:tcPr>
            <w:tcW w:w="5786" w:type="dxa"/>
            <w:vMerge w:val="restart"/>
            <w:shd w:val="clear" w:color="000000" w:fill="95B3D7"/>
            <w:vAlign w:val="center"/>
          </w:tcPr>
          <w:p w:rsidR="00D51543" w:rsidRPr="00272017" w:rsidRDefault="00D51543" w:rsidP="00574B77">
            <w:pPr>
              <w:jc w:val="center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ТРОШКОВИ СПРОВОЂЕЊА ОСИГУРАЊА</w:t>
            </w:r>
          </w:p>
        </w:tc>
        <w:tc>
          <w:tcPr>
            <w:tcW w:w="964" w:type="dxa"/>
            <w:tcBorders>
              <w:bottom w:val="single" w:sz="8" w:space="0" w:color="365F91" w:themeColor="accent1" w:themeShade="BF"/>
            </w:tcBorders>
            <w:shd w:val="clear" w:color="000000" w:fill="95B3D7"/>
            <w:noWrap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2016.</w:t>
            </w:r>
          </w:p>
        </w:tc>
        <w:tc>
          <w:tcPr>
            <w:tcW w:w="936" w:type="dxa"/>
            <w:tcBorders>
              <w:bottom w:val="single" w:sz="8" w:space="0" w:color="365F91" w:themeColor="accent1" w:themeShade="BF"/>
            </w:tcBorders>
            <w:shd w:val="clear" w:color="000000" w:fill="95B3D7"/>
            <w:noWrap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2017.</w:t>
            </w:r>
          </w:p>
        </w:tc>
        <w:tc>
          <w:tcPr>
            <w:tcW w:w="936" w:type="dxa"/>
            <w:tcBorders>
              <w:bottom w:val="single" w:sz="8" w:space="0" w:color="365F91" w:themeColor="accent1" w:themeShade="BF"/>
            </w:tcBorders>
            <w:shd w:val="clear" w:color="000000" w:fill="95B3D7"/>
            <w:noWrap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2018.</w:t>
            </w:r>
          </w:p>
        </w:tc>
        <w:tc>
          <w:tcPr>
            <w:tcW w:w="936" w:type="dxa"/>
            <w:tcBorders>
              <w:bottom w:val="single" w:sz="8" w:space="0" w:color="365F91" w:themeColor="accent1" w:themeShade="BF"/>
            </w:tcBorders>
            <w:shd w:val="clear" w:color="000000" w:fill="95B3D7"/>
            <w:noWrap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2019.</w:t>
            </w:r>
          </w:p>
        </w:tc>
      </w:tr>
      <w:tr w:rsidR="00D51543" w:rsidRPr="00272017" w:rsidTr="00574B77">
        <w:trPr>
          <w:trHeight w:val="510"/>
        </w:trPr>
        <w:tc>
          <w:tcPr>
            <w:tcW w:w="5786" w:type="dxa"/>
            <w:vMerge/>
            <w:tcBorders>
              <w:bottom w:val="single" w:sz="8" w:space="0" w:color="365F91" w:themeColor="accent1" w:themeShade="BF"/>
            </w:tcBorders>
            <w:shd w:val="clear" w:color="000000" w:fill="95B3D7"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</w:p>
        </w:tc>
        <w:tc>
          <w:tcPr>
            <w:tcW w:w="964" w:type="dxa"/>
            <w:tcBorders>
              <w:bottom w:val="single" w:sz="8" w:space="0" w:color="365F91" w:themeColor="accent1" w:themeShade="BF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79,719</w:t>
            </w:r>
          </w:p>
        </w:tc>
        <w:tc>
          <w:tcPr>
            <w:tcW w:w="936" w:type="dxa"/>
            <w:tcBorders>
              <w:bottom w:val="single" w:sz="8" w:space="0" w:color="365F91" w:themeColor="accent1" w:themeShade="BF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77,952</w:t>
            </w:r>
          </w:p>
        </w:tc>
        <w:tc>
          <w:tcPr>
            <w:tcW w:w="936" w:type="dxa"/>
            <w:tcBorders>
              <w:bottom w:val="single" w:sz="8" w:space="0" w:color="365F91" w:themeColor="accent1" w:themeShade="BF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80,288</w:t>
            </w:r>
          </w:p>
        </w:tc>
        <w:tc>
          <w:tcPr>
            <w:tcW w:w="936" w:type="dxa"/>
            <w:tcBorders>
              <w:bottom w:val="single" w:sz="8" w:space="0" w:color="365F91" w:themeColor="accent1" w:themeShade="BF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80,637</w:t>
            </w:r>
          </w:p>
        </w:tc>
      </w:tr>
      <w:tr w:rsidR="00D51543" w:rsidRPr="00272017" w:rsidTr="00574B77">
        <w:trPr>
          <w:trHeight w:val="397"/>
        </w:trPr>
        <w:tc>
          <w:tcPr>
            <w:tcW w:w="5786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000000" w:fill="DCE6F1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1. Трошкови прибаве</w:t>
            </w:r>
          </w:p>
        </w:tc>
        <w:tc>
          <w:tcPr>
            <w:tcW w:w="964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000000" w:fill="DCE6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356,173</w:t>
            </w:r>
          </w:p>
        </w:tc>
        <w:tc>
          <w:tcPr>
            <w:tcW w:w="936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000000" w:fill="DCE6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371,235</w:t>
            </w:r>
          </w:p>
        </w:tc>
        <w:tc>
          <w:tcPr>
            <w:tcW w:w="936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000000" w:fill="DCE6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380,264</w:t>
            </w:r>
          </w:p>
        </w:tc>
        <w:tc>
          <w:tcPr>
            <w:tcW w:w="936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000000" w:fill="DCE6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389,687</w:t>
            </w:r>
          </w:p>
        </w:tc>
      </w:tr>
      <w:tr w:rsidR="00D51543" w:rsidRPr="00272017" w:rsidTr="00574B77">
        <w:trPr>
          <w:trHeight w:val="340"/>
        </w:trPr>
        <w:tc>
          <w:tcPr>
            <w:tcW w:w="5786" w:type="dxa"/>
            <w:tcBorders>
              <w:top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1.1. Провизије</w:t>
            </w:r>
          </w:p>
        </w:tc>
        <w:tc>
          <w:tcPr>
            <w:tcW w:w="964" w:type="dxa"/>
            <w:tcBorders>
              <w:top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293,849</w:t>
            </w:r>
          </w:p>
        </w:tc>
        <w:tc>
          <w:tcPr>
            <w:tcW w:w="936" w:type="dxa"/>
            <w:tcBorders>
              <w:top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308,142</w:t>
            </w:r>
          </w:p>
        </w:tc>
        <w:tc>
          <w:tcPr>
            <w:tcW w:w="936" w:type="dxa"/>
            <w:tcBorders>
              <w:top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313,849</w:t>
            </w:r>
          </w:p>
        </w:tc>
        <w:tc>
          <w:tcPr>
            <w:tcW w:w="936" w:type="dxa"/>
            <w:tcBorders>
              <w:top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319,555</w:t>
            </w:r>
          </w:p>
        </w:tc>
      </w:tr>
      <w:tr w:rsidR="00D51543" w:rsidRPr="00272017" w:rsidTr="00574B77">
        <w:trPr>
          <w:trHeight w:val="340"/>
        </w:trPr>
        <w:tc>
          <w:tcPr>
            <w:tcW w:w="5786" w:type="dxa"/>
            <w:tcBorders>
              <w:bottom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1.2. Остали трошкови прибаве</w:t>
            </w:r>
          </w:p>
        </w:tc>
        <w:tc>
          <w:tcPr>
            <w:tcW w:w="964" w:type="dxa"/>
            <w:tcBorders>
              <w:bottom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62,324</w:t>
            </w:r>
          </w:p>
        </w:tc>
        <w:tc>
          <w:tcPr>
            <w:tcW w:w="936" w:type="dxa"/>
            <w:tcBorders>
              <w:bottom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63,093</w:t>
            </w:r>
          </w:p>
        </w:tc>
        <w:tc>
          <w:tcPr>
            <w:tcW w:w="936" w:type="dxa"/>
            <w:tcBorders>
              <w:bottom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66,416</w:t>
            </w:r>
          </w:p>
        </w:tc>
        <w:tc>
          <w:tcPr>
            <w:tcW w:w="936" w:type="dxa"/>
            <w:tcBorders>
              <w:bottom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70,132</w:t>
            </w:r>
          </w:p>
        </w:tc>
      </w:tr>
      <w:tr w:rsidR="00D51543" w:rsidRPr="00272017" w:rsidTr="00574B77">
        <w:trPr>
          <w:trHeight w:val="397"/>
        </w:trPr>
        <w:tc>
          <w:tcPr>
            <w:tcW w:w="5786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000000" w:fill="DCE6F1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2. Трошкови управе</w:t>
            </w:r>
          </w:p>
        </w:tc>
        <w:tc>
          <w:tcPr>
            <w:tcW w:w="964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000000" w:fill="DCE6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75,931</w:t>
            </w:r>
          </w:p>
        </w:tc>
        <w:tc>
          <w:tcPr>
            <w:tcW w:w="936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000000" w:fill="DCE6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79,644</w:t>
            </w:r>
          </w:p>
        </w:tc>
        <w:tc>
          <w:tcPr>
            <w:tcW w:w="936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000000" w:fill="DCE6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82,689</w:t>
            </w:r>
          </w:p>
        </w:tc>
        <w:tc>
          <w:tcPr>
            <w:tcW w:w="936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000000" w:fill="DCE6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83,643</w:t>
            </w:r>
          </w:p>
        </w:tc>
      </w:tr>
      <w:tr w:rsidR="00D51543" w:rsidRPr="00272017" w:rsidTr="00574B77">
        <w:trPr>
          <w:trHeight w:val="340"/>
        </w:trPr>
        <w:tc>
          <w:tcPr>
            <w:tcW w:w="5786" w:type="dxa"/>
            <w:tcBorders>
              <w:top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2.1. Амортизација</w:t>
            </w:r>
          </w:p>
        </w:tc>
        <w:tc>
          <w:tcPr>
            <w:tcW w:w="964" w:type="dxa"/>
            <w:tcBorders>
              <w:top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13,165</w:t>
            </w:r>
          </w:p>
        </w:tc>
        <w:tc>
          <w:tcPr>
            <w:tcW w:w="936" w:type="dxa"/>
            <w:tcBorders>
              <w:top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15,400</w:t>
            </w:r>
          </w:p>
        </w:tc>
        <w:tc>
          <w:tcPr>
            <w:tcW w:w="936" w:type="dxa"/>
            <w:tcBorders>
              <w:top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15,500</w:t>
            </w:r>
          </w:p>
        </w:tc>
        <w:tc>
          <w:tcPr>
            <w:tcW w:w="936" w:type="dxa"/>
            <w:tcBorders>
              <w:top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15,600</w:t>
            </w:r>
          </w:p>
        </w:tc>
      </w:tr>
      <w:tr w:rsidR="00D51543" w:rsidRPr="00272017" w:rsidTr="00574B77">
        <w:trPr>
          <w:trHeight w:val="340"/>
        </w:trPr>
        <w:tc>
          <w:tcPr>
            <w:tcW w:w="5786" w:type="dxa"/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2.2. Трошкови материјала, енергије, услуга и немат. трошкови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8,134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9,886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10,695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11,609</w:t>
            </w:r>
          </w:p>
        </w:tc>
      </w:tr>
      <w:tr w:rsidR="00D51543" w:rsidRPr="00272017" w:rsidTr="00574B77">
        <w:trPr>
          <w:trHeight w:val="340"/>
        </w:trPr>
        <w:tc>
          <w:tcPr>
            <w:tcW w:w="5786" w:type="dxa"/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2.3. Трошкови зарада, накнада зарада и остали лични трошкови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37,355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37,003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38,520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38,225</w:t>
            </w:r>
          </w:p>
        </w:tc>
      </w:tr>
      <w:tr w:rsidR="00D51543" w:rsidRPr="00272017" w:rsidTr="00574B77">
        <w:trPr>
          <w:trHeight w:val="340"/>
        </w:trPr>
        <w:tc>
          <w:tcPr>
            <w:tcW w:w="5786" w:type="dxa"/>
            <w:tcBorders>
              <w:bottom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2.4. Остали трошкови управе</w:t>
            </w:r>
          </w:p>
        </w:tc>
        <w:tc>
          <w:tcPr>
            <w:tcW w:w="964" w:type="dxa"/>
            <w:tcBorders>
              <w:bottom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17,277</w:t>
            </w:r>
          </w:p>
        </w:tc>
        <w:tc>
          <w:tcPr>
            <w:tcW w:w="936" w:type="dxa"/>
            <w:tcBorders>
              <w:bottom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17,355</w:t>
            </w:r>
          </w:p>
        </w:tc>
        <w:tc>
          <w:tcPr>
            <w:tcW w:w="936" w:type="dxa"/>
            <w:tcBorders>
              <w:bottom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17,973</w:t>
            </w:r>
          </w:p>
        </w:tc>
        <w:tc>
          <w:tcPr>
            <w:tcW w:w="936" w:type="dxa"/>
            <w:tcBorders>
              <w:bottom w:val="single" w:sz="8" w:space="0" w:color="365F91" w:themeColor="accent1" w:themeShade="BF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sz w:val="16"/>
                <w:szCs w:val="16"/>
                <w:lang w:val="sr-Cyrl-CS"/>
              </w:rPr>
              <w:t>18,209</w:t>
            </w:r>
          </w:p>
        </w:tc>
      </w:tr>
      <w:tr w:rsidR="00D51543" w:rsidRPr="00272017" w:rsidTr="00574B77">
        <w:trPr>
          <w:trHeight w:val="397"/>
        </w:trPr>
        <w:tc>
          <w:tcPr>
            <w:tcW w:w="5786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3. Остали трошкови спровођења осигурања</w:t>
            </w:r>
          </w:p>
        </w:tc>
        <w:tc>
          <w:tcPr>
            <w:tcW w:w="964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3,160</w:t>
            </w:r>
          </w:p>
        </w:tc>
        <w:tc>
          <w:tcPr>
            <w:tcW w:w="936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3,200</w:t>
            </w:r>
          </w:p>
        </w:tc>
        <w:tc>
          <w:tcPr>
            <w:tcW w:w="936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3,720</w:t>
            </w:r>
          </w:p>
        </w:tc>
        <w:tc>
          <w:tcPr>
            <w:tcW w:w="936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3,950</w:t>
            </w:r>
          </w:p>
        </w:tc>
      </w:tr>
      <w:tr w:rsidR="00D51543" w:rsidRPr="00272017" w:rsidTr="00574B77">
        <w:trPr>
          <w:trHeight w:val="397"/>
        </w:trPr>
        <w:tc>
          <w:tcPr>
            <w:tcW w:w="5786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4. Провизија од реосигурања и ретроцесија</w:t>
            </w:r>
          </w:p>
        </w:tc>
        <w:tc>
          <w:tcPr>
            <w:tcW w:w="964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355,544</w:t>
            </w:r>
          </w:p>
        </w:tc>
        <w:tc>
          <w:tcPr>
            <w:tcW w:w="936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376,127</w:t>
            </w:r>
          </w:p>
        </w:tc>
        <w:tc>
          <w:tcPr>
            <w:tcW w:w="936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386,385</w:t>
            </w:r>
          </w:p>
        </w:tc>
        <w:tc>
          <w:tcPr>
            <w:tcW w:w="936" w:type="dxa"/>
            <w:tcBorders>
              <w:top w:val="single" w:sz="8" w:space="0" w:color="365F91" w:themeColor="accent1" w:themeShade="BF"/>
              <w:bottom w:val="single" w:sz="8" w:space="0" w:color="365F91" w:themeColor="accent1" w:themeShade="BF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b/>
                <w:noProof/>
                <w:sz w:val="16"/>
                <w:szCs w:val="16"/>
                <w:lang w:val="sr-Cyrl-CS"/>
              </w:rPr>
              <w:t>396,643</w:t>
            </w:r>
          </w:p>
        </w:tc>
      </w:tr>
    </w:tbl>
    <w:p w:rsidR="00D51543" w:rsidRPr="00272017" w:rsidRDefault="00D51543" w:rsidP="00D5154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Највеће учешће у укупним трошковима имају трошкови прибаве, 81%, што је последица високог учешћа трошкова провизије реосигурања у укупним трошковима спровођења.</w:t>
      </w:r>
    </w:p>
    <w:p w:rsidR="00D51543" w:rsidRPr="00272017" w:rsidRDefault="00D51543" w:rsidP="00D5154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</w:p>
    <w:p w:rsidR="00D51543" w:rsidRPr="00272017" w:rsidRDefault="00D51543" w:rsidP="00D51543">
      <w:pPr>
        <w:pStyle w:val="Heading1"/>
        <w:numPr>
          <w:ilvl w:val="1"/>
          <w:numId w:val="3"/>
        </w:numPr>
        <w:spacing w:before="240" w:after="240"/>
        <w:ind w:left="1418" w:hanging="851"/>
        <w:jc w:val="left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119" w:name="_Toc432775074"/>
      <w:bookmarkStart w:id="120" w:name="_Toc433278721"/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План техничке резерве за период 201</w:t>
      </w:r>
      <w:r>
        <w:rPr>
          <w:rFonts w:ascii="Verdana" w:hAnsi="Verdana" w:cs="Tahoma"/>
          <w:noProof/>
          <w:color w:val="365F91"/>
          <w:sz w:val="24"/>
          <w:szCs w:val="18"/>
          <w:lang w:val="sr-Cyrl-CS"/>
        </w:rPr>
        <w:t>6</w:t>
      </w:r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. –2019. године</w:t>
      </w:r>
      <w:bookmarkEnd w:id="119"/>
      <w:bookmarkEnd w:id="120"/>
    </w:p>
    <w:p w:rsidR="00D51543" w:rsidRPr="00272017" w:rsidRDefault="00D51543" w:rsidP="00D51543">
      <w:pPr>
        <w:pStyle w:val="ListParagraph"/>
        <w:keepNext/>
        <w:numPr>
          <w:ilvl w:val="1"/>
          <w:numId w:val="2"/>
        </w:numPr>
        <w:outlineLvl w:val="1"/>
        <w:rPr>
          <w:rStyle w:val="IntenseEmphasis"/>
          <w:rFonts w:ascii="Verdana" w:hAnsi="Verdana"/>
          <w:bCs w:val="0"/>
          <w:noProof/>
          <w:vanish/>
          <w:sz w:val="22"/>
          <w:lang w:val="sr-Cyrl-CS"/>
        </w:rPr>
      </w:pPr>
      <w:bookmarkStart w:id="121" w:name="_Toc432582093"/>
      <w:bookmarkStart w:id="122" w:name="_Toc432685603"/>
      <w:bookmarkStart w:id="123" w:name="_Toc432685681"/>
      <w:bookmarkStart w:id="124" w:name="_Toc432775075"/>
      <w:bookmarkStart w:id="125" w:name="_Toc433026530"/>
      <w:bookmarkStart w:id="126" w:name="_Toc433278722"/>
      <w:bookmarkEnd w:id="121"/>
      <w:bookmarkEnd w:id="122"/>
      <w:bookmarkEnd w:id="123"/>
      <w:bookmarkEnd w:id="124"/>
      <w:bookmarkEnd w:id="125"/>
      <w:bookmarkEnd w:id="126"/>
    </w:p>
    <w:p w:rsidR="00D51543" w:rsidRPr="00272017" w:rsidRDefault="00D51543" w:rsidP="00D51543">
      <w:pPr>
        <w:pStyle w:val="Heading3"/>
        <w:tabs>
          <w:tab w:val="clear" w:pos="6870"/>
          <w:tab w:val="num" w:pos="1004"/>
        </w:tabs>
        <w:spacing w:after="240"/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127" w:name="_Toc432775076"/>
      <w:bookmarkStart w:id="128" w:name="_Toc433278723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Полазне претпоставке за израду плана                                               техничких резерви</w:t>
      </w:r>
      <w:bookmarkEnd w:id="127"/>
      <w:bookmarkEnd w:id="128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 xml:space="preserve">  </w:t>
      </w:r>
    </w:p>
    <w:p w:rsidR="00D51543" w:rsidRPr="00272017" w:rsidRDefault="00D51543" w:rsidP="00D5154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Друштво је планирало техничке резерве на основу претходно утврђеног плана свих категорија техничких резерви, Закона о осигурању ("Службени гласник РС", бр.139/2014) и Одлуке о техничким резервама („Службени гласник РС“, бр. 42/2015).</w:t>
      </w:r>
    </w:p>
    <w:p w:rsidR="00D51543" w:rsidRPr="00272017" w:rsidRDefault="00D51543" w:rsidP="00D51543">
      <w:pPr>
        <w:pStyle w:val="Heading3"/>
        <w:tabs>
          <w:tab w:val="clear" w:pos="6870"/>
          <w:tab w:val="num" w:pos="1004"/>
        </w:tabs>
        <w:spacing w:before="240" w:after="240"/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129" w:name="_Toc432775077"/>
      <w:bookmarkStart w:id="130" w:name="_Toc433278724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План техничких резерви за период 2015. – 2019. године</w:t>
      </w:r>
      <w:bookmarkEnd w:id="129"/>
      <w:bookmarkEnd w:id="130"/>
    </w:p>
    <w:p w:rsidR="00D51543" w:rsidRPr="00272017" w:rsidRDefault="00D51543" w:rsidP="00D51543">
      <w:pPr>
        <w:spacing w:before="12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Кретање техничке резерве реосигурања (активне)                                                      у периоду од 2016. до 2019. године</w:t>
      </w:r>
    </w:p>
    <w:p w:rsidR="00D51543" w:rsidRPr="00272017" w:rsidRDefault="00D51543" w:rsidP="00D51543">
      <w:pPr>
        <w:jc w:val="right"/>
        <w:rPr>
          <w:rFonts w:ascii="Verdana" w:hAnsi="Verdana"/>
          <w:noProof/>
          <w:sz w:val="20"/>
          <w:lang w:val="sr-Cyrl-CS"/>
        </w:rPr>
      </w:pPr>
      <w:r w:rsidRPr="00272017">
        <w:rPr>
          <w:rFonts w:ascii="Verdana" w:hAnsi="Verdana"/>
          <w:noProof/>
          <w:sz w:val="20"/>
          <w:lang w:val="sr-Cyrl-CS"/>
        </w:rPr>
        <w:t>у РСД</w:t>
      </w:r>
    </w:p>
    <w:tbl>
      <w:tblPr>
        <w:tblStyle w:val="MediumList1-Accent12"/>
        <w:tblW w:w="10956" w:type="dxa"/>
        <w:tblInd w:w="-432" w:type="dxa"/>
        <w:tblLayout w:type="fixed"/>
        <w:tblLook w:val="04E0" w:firstRow="1" w:lastRow="1" w:firstColumn="1" w:lastColumn="0" w:noHBand="0" w:noVBand="1"/>
      </w:tblPr>
      <w:tblGrid>
        <w:gridCol w:w="3396"/>
        <w:gridCol w:w="1890"/>
        <w:gridCol w:w="1890"/>
        <w:gridCol w:w="1890"/>
        <w:gridCol w:w="1890"/>
      </w:tblGrid>
      <w:tr w:rsidR="00D51543" w:rsidRPr="00272017" w:rsidTr="00574B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2016.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2017.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2018.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2019.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  <w:t>Преносна премија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444,059,747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469,766,286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482,578,094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495,389,901</w:t>
            </w:r>
          </w:p>
        </w:tc>
      </w:tr>
      <w:tr w:rsidR="00D51543" w:rsidRPr="00272017" w:rsidTr="00574B7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  <w:t>Резервисане штете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1,672,019,501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1,769,007,503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1,758,762,115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1,774,266,737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  <w:t>Резерве за неистекле ризике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10,256,605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10,745,014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11,038,060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11,331,106</w:t>
            </w:r>
          </w:p>
        </w:tc>
      </w:tr>
      <w:tr w:rsidR="00D51543" w:rsidRPr="00272017" w:rsidTr="00574B7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  <w:t>Резерве за изравнање ризика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379,857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564,220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753,611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948,030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  <w:t>Математичка резерва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24,229,512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29,074,729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32,658,873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37,138,178</w:t>
            </w:r>
          </w:p>
        </w:tc>
      </w:tr>
      <w:tr w:rsidR="00D51543" w:rsidRPr="00272017" w:rsidTr="00574B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suppressAutoHyphens w:val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noProof/>
                <w:color w:val="auto"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color w:val="auto"/>
                <w:sz w:val="20"/>
                <w:szCs w:val="16"/>
                <w:lang w:val="sr-Cyrl-CS"/>
              </w:rPr>
              <w:t>2,150,945,222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suppressAutoHyphens w:val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noProof/>
                <w:color w:val="auto"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color w:val="auto"/>
                <w:sz w:val="20"/>
                <w:szCs w:val="16"/>
                <w:lang w:val="sr-Cyrl-CS"/>
              </w:rPr>
              <w:t>2,279,157,752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suppressAutoHyphens w:val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noProof/>
                <w:color w:val="auto"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color w:val="auto"/>
                <w:sz w:val="20"/>
                <w:szCs w:val="16"/>
                <w:lang w:val="sr-Cyrl-CS"/>
              </w:rPr>
              <w:t>2,285,790,753</w:t>
            </w:r>
          </w:p>
        </w:tc>
        <w:tc>
          <w:tcPr>
            <w:tcW w:w="1890" w:type="dxa"/>
            <w:vAlign w:val="center"/>
          </w:tcPr>
          <w:p w:rsidR="00D51543" w:rsidRPr="00272017" w:rsidRDefault="00D51543" w:rsidP="00574B77">
            <w:pPr>
              <w:suppressAutoHyphens w:val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noProof/>
                <w:color w:val="auto"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color w:val="auto"/>
                <w:sz w:val="20"/>
                <w:szCs w:val="16"/>
                <w:lang w:val="sr-Cyrl-CS"/>
              </w:rPr>
              <w:t>2,319,073,952</w:t>
            </w:r>
          </w:p>
        </w:tc>
      </w:tr>
    </w:tbl>
    <w:p w:rsidR="00D51543" w:rsidRPr="00272017" w:rsidRDefault="00D51543" w:rsidP="00D51543">
      <w:pPr>
        <w:spacing w:before="12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</w:p>
    <w:p w:rsidR="00D51543" w:rsidRPr="00272017" w:rsidRDefault="00D51543" w:rsidP="00D51543">
      <w:pPr>
        <w:spacing w:before="12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Кретање техничке резерве у самопридржају                                                       у периоду од 2016. до 2019. године</w:t>
      </w:r>
    </w:p>
    <w:p w:rsidR="00D51543" w:rsidRPr="00272017" w:rsidRDefault="00D51543" w:rsidP="00D51543">
      <w:pPr>
        <w:jc w:val="right"/>
        <w:rPr>
          <w:rFonts w:ascii="Verdana" w:hAnsi="Verdana"/>
          <w:noProof/>
          <w:sz w:val="20"/>
          <w:lang w:val="sr-Cyrl-CS"/>
        </w:rPr>
      </w:pPr>
      <w:r w:rsidRPr="00272017">
        <w:rPr>
          <w:rFonts w:ascii="Verdana" w:hAnsi="Verdana"/>
          <w:noProof/>
          <w:sz w:val="20"/>
          <w:lang w:val="sr-Cyrl-CS"/>
        </w:rPr>
        <w:t>у РСД</w:t>
      </w:r>
    </w:p>
    <w:tbl>
      <w:tblPr>
        <w:tblStyle w:val="MediumList1-Accent12"/>
        <w:tblW w:w="10326" w:type="dxa"/>
        <w:tblInd w:w="-318" w:type="dxa"/>
        <w:tblLayout w:type="fixed"/>
        <w:tblLook w:val="04E0" w:firstRow="1" w:lastRow="1" w:firstColumn="1" w:lastColumn="0" w:noHBand="0" w:noVBand="1"/>
      </w:tblPr>
      <w:tblGrid>
        <w:gridCol w:w="3396"/>
        <w:gridCol w:w="1710"/>
        <w:gridCol w:w="1800"/>
        <w:gridCol w:w="1710"/>
        <w:gridCol w:w="1710"/>
      </w:tblGrid>
      <w:tr w:rsidR="00D51543" w:rsidRPr="00272017" w:rsidTr="00574B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2016.</w:t>
            </w:r>
          </w:p>
        </w:tc>
        <w:tc>
          <w:tcPr>
            <w:tcW w:w="1800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2017.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2018.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2019.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  <w:t>Преносна премија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18,778,131</w:t>
            </w:r>
          </w:p>
        </w:tc>
        <w:tc>
          <w:tcPr>
            <w:tcW w:w="180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23,797,891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28,351,026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32,904,163</w:t>
            </w:r>
          </w:p>
        </w:tc>
      </w:tr>
      <w:tr w:rsidR="00D51543" w:rsidRPr="00272017" w:rsidTr="00574B7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  <w:t>Резервисане штете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483,602,099</w:t>
            </w:r>
          </w:p>
        </w:tc>
        <w:tc>
          <w:tcPr>
            <w:tcW w:w="1800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505,952,206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505,954,167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511,106,145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  <w:t>Резерве за неистекле ризике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10,256,605</w:t>
            </w:r>
          </w:p>
        </w:tc>
        <w:tc>
          <w:tcPr>
            <w:tcW w:w="180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10,745,014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11,038,060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11,331,106</w:t>
            </w:r>
          </w:p>
        </w:tc>
      </w:tr>
      <w:tr w:rsidR="00D51543" w:rsidRPr="00272017" w:rsidTr="00574B7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  <w:t>Резерве за изравнање ризика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379,857</w:t>
            </w:r>
          </w:p>
        </w:tc>
        <w:tc>
          <w:tcPr>
            <w:tcW w:w="1800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564,220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753,611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948,030</w:t>
            </w:r>
          </w:p>
        </w:tc>
      </w:tr>
      <w:tr w:rsidR="00D51543" w:rsidRPr="00272017" w:rsidTr="00574B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b w:val="0"/>
                <w:noProof/>
                <w:sz w:val="20"/>
                <w:szCs w:val="16"/>
                <w:lang w:val="sr-Cyrl-CS"/>
              </w:rPr>
              <w:t>Математичка резерва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5,467,418</w:t>
            </w:r>
          </w:p>
        </w:tc>
        <w:tc>
          <w:tcPr>
            <w:tcW w:w="180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6,992,204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8,076,937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  <w:t>8,999,239</w:t>
            </w:r>
          </w:p>
        </w:tc>
      </w:tr>
      <w:tr w:rsidR="00D51543" w:rsidRPr="00272017" w:rsidTr="00574B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20"/>
                <w:szCs w:val="16"/>
                <w:lang w:val="sr-Cyrl-CS"/>
              </w:rPr>
            </w:pP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suppressAutoHyphens w:val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noProof/>
                <w:color w:val="auto"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color w:val="auto"/>
                <w:sz w:val="20"/>
                <w:szCs w:val="16"/>
                <w:lang w:val="sr-Cyrl-CS"/>
              </w:rPr>
              <w:t>518,484,110</w:t>
            </w:r>
          </w:p>
        </w:tc>
        <w:tc>
          <w:tcPr>
            <w:tcW w:w="1800" w:type="dxa"/>
            <w:vAlign w:val="center"/>
          </w:tcPr>
          <w:p w:rsidR="00D51543" w:rsidRPr="00272017" w:rsidRDefault="00D51543" w:rsidP="00574B77">
            <w:pPr>
              <w:suppressAutoHyphens w:val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noProof/>
                <w:color w:val="auto"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color w:val="auto"/>
                <w:sz w:val="20"/>
                <w:szCs w:val="16"/>
                <w:lang w:val="sr-Cyrl-CS"/>
              </w:rPr>
              <w:t>548,051,535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suppressAutoHyphens w:val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noProof/>
                <w:color w:val="auto"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color w:val="auto"/>
                <w:sz w:val="20"/>
                <w:szCs w:val="16"/>
                <w:lang w:val="sr-Cyrl-CS"/>
              </w:rPr>
              <w:t>554,173,801</w:t>
            </w:r>
          </w:p>
        </w:tc>
        <w:tc>
          <w:tcPr>
            <w:tcW w:w="1710" w:type="dxa"/>
            <w:vAlign w:val="center"/>
          </w:tcPr>
          <w:p w:rsidR="00D51543" w:rsidRPr="00272017" w:rsidRDefault="00D51543" w:rsidP="00574B77">
            <w:pPr>
              <w:suppressAutoHyphens w:val="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noProof/>
                <w:color w:val="auto"/>
                <w:sz w:val="20"/>
                <w:szCs w:val="16"/>
                <w:lang w:val="sr-Cyrl-CS"/>
              </w:rPr>
            </w:pPr>
            <w:r w:rsidRPr="00272017">
              <w:rPr>
                <w:rFonts w:ascii="Verdana" w:hAnsi="Verdana" w:cs="Calibri"/>
                <w:noProof/>
                <w:color w:val="auto"/>
                <w:sz w:val="20"/>
                <w:szCs w:val="16"/>
                <w:lang w:val="sr-Cyrl-CS"/>
              </w:rPr>
              <w:t>565,288,683</w:t>
            </w:r>
          </w:p>
        </w:tc>
      </w:tr>
    </w:tbl>
    <w:p w:rsidR="00D51543" w:rsidRPr="00272017" w:rsidRDefault="00D51543" w:rsidP="00D5154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</w:p>
    <w:p w:rsidR="00D51543" w:rsidRPr="00272017" w:rsidRDefault="00D51543" w:rsidP="00D5154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</w:p>
    <w:p w:rsidR="00D51543" w:rsidRPr="00272017" w:rsidRDefault="00D51543" w:rsidP="00D51543">
      <w:pPr>
        <w:pStyle w:val="Heading1"/>
        <w:numPr>
          <w:ilvl w:val="1"/>
          <w:numId w:val="3"/>
        </w:numPr>
        <w:spacing w:before="240" w:after="240"/>
        <w:ind w:left="1418" w:hanging="851"/>
        <w:jc w:val="left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131" w:name="_Toc432775078"/>
      <w:bookmarkStart w:id="132" w:name="_Toc433278725"/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План инвестиционог портфолиа и                                   приноса од инвестиционог портфолиа                                           за период 201</w:t>
      </w:r>
      <w:r>
        <w:rPr>
          <w:rFonts w:ascii="Verdana" w:hAnsi="Verdana" w:cs="Tahoma"/>
          <w:noProof/>
          <w:color w:val="365F91"/>
          <w:sz w:val="24"/>
          <w:szCs w:val="18"/>
          <w:lang w:val="sr-Cyrl-CS"/>
        </w:rPr>
        <w:t>6</w:t>
      </w:r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. –2019. године</w:t>
      </w:r>
      <w:bookmarkEnd w:id="131"/>
      <w:bookmarkEnd w:id="132"/>
    </w:p>
    <w:p w:rsidR="00D51543" w:rsidRPr="00272017" w:rsidRDefault="00D51543" w:rsidP="00D51543">
      <w:pPr>
        <w:pStyle w:val="ListParagraph"/>
        <w:keepNext/>
        <w:numPr>
          <w:ilvl w:val="1"/>
          <w:numId w:val="2"/>
        </w:numPr>
        <w:outlineLvl w:val="1"/>
        <w:rPr>
          <w:rStyle w:val="IntenseEmphasis"/>
          <w:rFonts w:ascii="Verdana" w:hAnsi="Verdana"/>
          <w:bCs w:val="0"/>
          <w:noProof/>
          <w:vanish/>
          <w:sz w:val="22"/>
          <w:lang w:val="sr-Cyrl-CS"/>
        </w:rPr>
      </w:pPr>
      <w:bookmarkStart w:id="133" w:name="_Toc432582097"/>
      <w:bookmarkStart w:id="134" w:name="_Toc432685607"/>
      <w:bookmarkStart w:id="135" w:name="_Toc432685685"/>
      <w:bookmarkStart w:id="136" w:name="_Toc432775079"/>
      <w:bookmarkStart w:id="137" w:name="_Toc433026534"/>
      <w:bookmarkStart w:id="138" w:name="_Toc433278726"/>
      <w:bookmarkEnd w:id="133"/>
      <w:bookmarkEnd w:id="134"/>
      <w:bookmarkEnd w:id="135"/>
      <w:bookmarkEnd w:id="136"/>
      <w:bookmarkEnd w:id="137"/>
      <w:bookmarkEnd w:id="138"/>
    </w:p>
    <w:p w:rsidR="00D51543" w:rsidRPr="00272017" w:rsidRDefault="00D51543" w:rsidP="00D51543">
      <w:pPr>
        <w:pStyle w:val="Heading3"/>
        <w:tabs>
          <w:tab w:val="clear" w:pos="6870"/>
          <w:tab w:val="num" w:pos="1004"/>
        </w:tabs>
        <w:spacing w:after="240"/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139" w:name="_Toc432775080"/>
      <w:bookmarkStart w:id="140" w:name="_Toc433278727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Полазне претпоставке за израду плана                                               инвестиционог портфолиа и приноса</w:t>
      </w:r>
      <w:bookmarkEnd w:id="139"/>
      <w:bookmarkEnd w:id="140"/>
    </w:p>
    <w:p w:rsidR="00D51543" w:rsidRDefault="00D51543" w:rsidP="00D5154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План 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инвестиционог портфолиа и приноса од инвестиционог портфолиа</w:t>
      </w: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Друштво је пројектовало на бази следећих података:</w:t>
      </w:r>
    </w:p>
    <w:p w:rsidR="00D51543" w:rsidRDefault="00D51543" w:rsidP="00D51543">
      <w:pPr>
        <w:pStyle w:val="ListParagraph"/>
        <w:numPr>
          <w:ilvl w:val="0"/>
          <w:numId w:val="44"/>
        </w:numPr>
        <w:spacing w:before="120" w:after="120" w:line="276" w:lineRule="auto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постојећег инвестиционог портфолиа,</w:t>
      </w:r>
    </w:p>
    <w:p w:rsidR="00D51543" w:rsidRDefault="00D51543" w:rsidP="00D51543">
      <w:pPr>
        <w:pStyle w:val="ListParagraph"/>
        <w:numPr>
          <w:ilvl w:val="0"/>
          <w:numId w:val="44"/>
        </w:numPr>
        <w:spacing w:before="120" w:after="120" w:line="276" w:lineRule="auto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утврђене инвестиционе политике,</w:t>
      </w:r>
    </w:p>
    <w:p w:rsidR="00D51543" w:rsidRDefault="00D51543" w:rsidP="00D51543">
      <w:pPr>
        <w:pStyle w:val="ListParagraph"/>
        <w:numPr>
          <w:ilvl w:val="0"/>
          <w:numId w:val="44"/>
        </w:numPr>
        <w:spacing w:before="120" w:after="120" w:line="276" w:lineRule="auto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стања на финансијском и тржишту хартија од вредности,</w:t>
      </w:r>
    </w:p>
    <w:p w:rsidR="00D51543" w:rsidRDefault="00D51543" w:rsidP="00D51543">
      <w:pPr>
        <w:pStyle w:val="ListParagraph"/>
        <w:numPr>
          <w:ilvl w:val="0"/>
          <w:numId w:val="44"/>
        </w:numPr>
        <w:spacing w:before="120" w:after="120" w:line="276" w:lineRule="auto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пројектованих прилива и одлива средстава из послова реосигурања,</w:t>
      </w:r>
    </w:p>
    <w:p w:rsidR="00D51543" w:rsidRDefault="00D51543" w:rsidP="00D51543">
      <w:pPr>
        <w:pStyle w:val="ListParagraph"/>
        <w:numPr>
          <w:ilvl w:val="0"/>
          <w:numId w:val="44"/>
        </w:numPr>
        <w:spacing w:before="120" w:after="120" w:line="276" w:lineRule="auto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пројектованих приноса на појединачне категорије инвестиционог портфолиа и</w:t>
      </w:r>
    </w:p>
    <w:p w:rsidR="00D51543" w:rsidRDefault="00D51543" w:rsidP="00D51543">
      <w:pPr>
        <w:pStyle w:val="ListParagraph"/>
        <w:numPr>
          <w:ilvl w:val="0"/>
          <w:numId w:val="44"/>
        </w:numPr>
        <w:spacing w:before="120" w:after="120" w:line="276" w:lineRule="auto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утицаја промене курса на висину инвестиционог портфолиа.</w:t>
      </w:r>
    </w:p>
    <w:p w:rsidR="00D51543" w:rsidRPr="00AF7152" w:rsidRDefault="00D51543" w:rsidP="00D5154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У складу са утврђеном пословном и инвестиционом политиком у наредном периоду Друштво ће највећи део свог инвесстиционог портфолиа пласирати у државне хартије од вредности, док се, имајући у виду структуру у</w:t>
      </w:r>
      <w:r w:rsidRPr="00AF7152">
        <w:rPr>
          <w:rFonts w:ascii="Verdana" w:eastAsia="Calibri" w:hAnsi="Verdana"/>
          <w:noProof/>
          <w:sz w:val="20"/>
          <w:szCs w:val="22"/>
          <w:lang w:val="sr-Cyrl-CS" w:eastAsia="en-US"/>
        </w:rPr>
        <w:t>чешћа у капиталу других правних лица (акциј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а</w:t>
      </w:r>
      <w:r w:rsidRPr="00AF7152">
        <w:rPr>
          <w:rFonts w:ascii="Verdana" w:eastAsia="Calibri" w:hAnsi="Verdana"/>
          <w:noProof/>
          <w:sz w:val="20"/>
          <w:szCs w:val="22"/>
          <w:lang w:val="sr-Cyrl-CS" w:eastAsia="en-US"/>
        </w:rPr>
        <w:t>)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у овом сегменту не планирају никакве измене у смислу продаје постојећих или куповине нових акција. </w:t>
      </w:r>
      <w:r w:rsidRPr="00FD6BBF">
        <w:rPr>
          <w:rFonts w:ascii="Verdana" w:eastAsia="Calibri" w:hAnsi="Verdana"/>
          <w:noProof/>
          <w:sz w:val="20"/>
          <w:szCs w:val="22"/>
          <w:lang w:val="sr-Cyrl-CS" w:eastAsia="en-US"/>
        </w:rPr>
        <w:t>Друштво планира да у зависности од тржишних услова постепено самањује портфолио акција и изврши улагања у хартије са већим приносима.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Због велике неизвесности у погледу динамике и услова смањења </w:t>
      </w:r>
      <w:r w:rsidRPr="00FD6BBF">
        <w:rPr>
          <w:rFonts w:ascii="Verdana" w:eastAsia="Calibri" w:hAnsi="Verdana"/>
          <w:noProof/>
          <w:sz w:val="20"/>
          <w:szCs w:val="22"/>
          <w:lang w:val="sr-Cyrl-CS" w:eastAsia="en-US"/>
        </w:rPr>
        <w:t>портфоли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ја</w:t>
      </w:r>
      <w:r w:rsidRPr="00FD6BBF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акција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овај сегмент није укључен у план.</w:t>
      </w:r>
    </w:p>
    <w:p w:rsidR="00D51543" w:rsidRDefault="00D51543" w:rsidP="00D51543">
      <w:pPr>
        <w:pStyle w:val="Heading3"/>
        <w:tabs>
          <w:tab w:val="clear" w:pos="6870"/>
          <w:tab w:val="num" w:pos="1004"/>
        </w:tabs>
        <w:spacing w:before="240" w:after="240"/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141" w:name="_Toc432775081"/>
      <w:bookmarkStart w:id="142" w:name="_Toc433278728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План инвестиционог портфолиа и приноса                                              за период 201</w:t>
      </w:r>
      <w:r>
        <w:rPr>
          <w:rStyle w:val="IntenseEmphasis"/>
          <w:rFonts w:ascii="Verdana" w:hAnsi="Verdana"/>
          <w:b/>
          <w:noProof/>
          <w:sz w:val="22"/>
          <w:lang w:val="sr-Cyrl-CS"/>
        </w:rPr>
        <w:t>6</w:t>
      </w:r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. – 2019. године</w:t>
      </w:r>
      <w:bookmarkEnd w:id="141"/>
      <w:bookmarkEnd w:id="142"/>
    </w:p>
    <w:p w:rsidR="00D51543" w:rsidRPr="00272017" w:rsidRDefault="00D51543" w:rsidP="00D51543">
      <w:pPr>
        <w:spacing w:before="12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 xml:space="preserve">Кретање инвестиционог портфолиа </w:t>
      </w:r>
      <w:r>
        <w:rPr>
          <w:rStyle w:val="IntenseEmphasis"/>
          <w:rFonts w:ascii="Verdana" w:eastAsia="Calibri" w:hAnsi="Verdana"/>
          <w:noProof/>
          <w:sz w:val="22"/>
          <w:lang w:val="sr-Cyrl-CS"/>
        </w:rPr>
        <w:t xml:space="preserve">                                                                         </w:t>
      </w: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у периоду од 2016. до 2019. године</w:t>
      </w:r>
    </w:p>
    <w:p w:rsidR="00D51543" w:rsidRPr="00B45412" w:rsidRDefault="00D51543" w:rsidP="00D51543">
      <w:pPr>
        <w:jc w:val="right"/>
        <w:rPr>
          <w:rFonts w:ascii="Verdana" w:hAnsi="Verdana"/>
          <w:noProof/>
          <w:sz w:val="20"/>
          <w:lang w:val="sr-Cyrl-CS"/>
        </w:rPr>
      </w:pPr>
      <w:r>
        <w:rPr>
          <w:rFonts w:ascii="Verdana" w:hAnsi="Verdana"/>
          <w:noProof/>
          <w:sz w:val="20"/>
          <w:lang w:val="sr-Cyrl-CS"/>
        </w:rPr>
        <w:t>у РСД</w:t>
      </w:r>
    </w:p>
    <w:tbl>
      <w:tblPr>
        <w:tblW w:w="9520" w:type="dxa"/>
        <w:tblInd w:w="89" w:type="dxa"/>
        <w:tblLook w:val="04A0" w:firstRow="1" w:lastRow="0" w:firstColumn="1" w:lastColumn="0" w:noHBand="0" w:noVBand="1"/>
      </w:tblPr>
      <w:tblGrid>
        <w:gridCol w:w="3136"/>
        <w:gridCol w:w="1596"/>
        <w:gridCol w:w="1596"/>
        <w:gridCol w:w="1596"/>
        <w:gridCol w:w="1596"/>
      </w:tblGrid>
      <w:tr w:rsidR="00D51543" w:rsidRPr="00272017" w:rsidTr="00574B77">
        <w:trPr>
          <w:trHeight w:val="510"/>
        </w:trPr>
        <w:tc>
          <w:tcPr>
            <w:tcW w:w="313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  <w:t>2016.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  <w:t>2017.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  <w:t>2018.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  <w:t>2019.</w:t>
            </w:r>
          </w:p>
        </w:tc>
      </w:tr>
      <w:tr w:rsidR="00D51543" w:rsidRPr="00272017" w:rsidTr="00574B77">
        <w:trPr>
          <w:trHeight w:val="454"/>
        </w:trPr>
        <w:tc>
          <w:tcPr>
            <w:tcW w:w="313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Учешћа у капиталу других правних лица (акције)</w:t>
            </w: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156,673,901</w:t>
            </w: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   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156,853,46</w:t>
            </w:r>
            <w:r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2</w:t>
            </w: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157,212,579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157,451,99</w:t>
            </w:r>
            <w:r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1</w:t>
            </w: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      </w:t>
            </w:r>
          </w:p>
        </w:tc>
      </w:tr>
      <w:tr w:rsidR="00D51543" w:rsidRPr="00272017" w:rsidTr="00574B77">
        <w:trPr>
          <w:trHeight w:val="340"/>
        </w:trPr>
        <w:tc>
          <w:tcPr>
            <w:tcW w:w="313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vAlign w:val="center"/>
          </w:tcPr>
          <w:p w:rsidR="00D51543" w:rsidRDefault="00D51543" w:rsidP="00574B77">
            <w:pPr>
              <w:suppressAutoHyphens w:val="0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Државне хартије од вредности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1,525,267,465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1,537,046,975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1,573,048,438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1,598,217,213      </w:t>
            </w:r>
          </w:p>
        </w:tc>
      </w:tr>
      <w:tr w:rsidR="00D51543" w:rsidRPr="00272017" w:rsidTr="00574B77">
        <w:trPr>
          <w:trHeight w:val="340"/>
        </w:trPr>
        <w:tc>
          <w:tcPr>
            <w:tcW w:w="313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vAlign w:val="center"/>
          </w:tcPr>
          <w:p w:rsidR="00D51543" w:rsidRDefault="00D51543" w:rsidP="00574B77">
            <w:pPr>
              <w:suppressAutoHyphens w:val="0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Орочени банкарски депозити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424,700,000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429,800,000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440,000,000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446,800,000      </w:t>
            </w:r>
          </w:p>
        </w:tc>
      </w:tr>
      <w:tr w:rsidR="00D51543" w:rsidRPr="00272017" w:rsidTr="00574B77">
        <w:trPr>
          <w:trHeight w:val="255"/>
        </w:trPr>
        <w:tc>
          <w:tcPr>
            <w:tcW w:w="3136" w:type="dxa"/>
            <w:tcBorders>
              <w:top w:val="single" w:sz="4" w:space="0" w:color="4F81BD" w:themeColor="accent1"/>
            </w:tcBorders>
            <w:shd w:val="clear" w:color="000000" w:fill="FFFFFF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Орочени девизни депозити</w:t>
            </w:r>
          </w:p>
        </w:tc>
        <w:tc>
          <w:tcPr>
            <w:tcW w:w="1596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409,700,000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414,800,000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425,000,000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431,800,000      </w:t>
            </w:r>
          </w:p>
        </w:tc>
      </w:tr>
      <w:tr w:rsidR="00D51543" w:rsidRPr="00272017" w:rsidTr="00574B77">
        <w:trPr>
          <w:trHeight w:val="255"/>
        </w:trPr>
        <w:tc>
          <w:tcPr>
            <w:tcW w:w="3136" w:type="dxa"/>
            <w:tcBorders>
              <w:bottom w:val="single" w:sz="4" w:space="0" w:color="4F81BD" w:themeColor="accent1"/>
            </w:tcBorders>
            <w:shd w:val="clear" w:color="000000" w:fill="FFFFFF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Орочени динарски депозити</w:t>
            </w:r>
          </w:p>
        </w:tc>
        <w:tc>
          <w:tcPr>
            <w:tcW w:w="1596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15,000,000      </w:t>
            </w:r>
          </w:p>
        </w:tc>
        <w:tc>
          <w:tcPr>
            <w:tcW w:w="1596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15,000,000      </w:t>
            </w:r>
          </w:p>
        </w:tc>
        <w:tc>
          <w:tcPr>
            <w:tcW w:w="1596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15,000,000      </w:t>
            </w:r>
          </w:p>
        </w:tc>
        <w:tc>
          <w:tcPr>
            <w:tcW w:w="1596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15,000,000      </w:t>
            </w:r>
          </w:p>
        </w:tc>
      </w:tr>
      <w:tr w:rsidR="00D51543" w:rsidRPr="00272017" w:rsidTr="00574B77">
        <w:trPr>
          <w:trHeight w:val="340"/>
        </w:trPr>
        <w:tc>
          <w:tcPr>
            <w:tcW w:w="313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Депозити по виђењу (готовина)</w:t>
            </w: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345,117,748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350,532,878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359,241,957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365,332,248      </w:t>
            </w:r>
          </w:p>
        </w:tc>
      </w:tr>
      <w:tr w:rsidR="00D51543" w:rsidRPr="00272017" w:rsidTr="00574B77">
        <w:trPr>
          <w:trHeight w:val="255"/>
        </w:trPr>
        <w:tc>
          <w:tcPr>
            <w:tcW w:w="3136" w:type="dxa"/>
            <w:tcBorders>
              <w:top w:val="single" w:sz="4" w:space="0" w:color="4F81BD" w:themeColor="accent1"/>
            </w:tcBorders>
            <w:shd w:val="clear" w:color="000000" w:fill="FFFFFF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Девизини депозити по виђењу</w:t>
            </w:r>
          </w:p>
        </w:tc>
        <w:tc>
          <w:tcPr>
            <w:tcW w:w="1596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313,300,000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317,200,000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325,000,000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330,200,000      </w:t>
            </w:r>
          </w:p>
        </w:tc>
      </w:tr>
      <w:tr w:rsidR="00D51543" w:rsidRPr="00272017" w:rsidTr="00574B77">
        <w:trPr>
          <w:trHeight w:val="255"/>
        </w:trPr>
        <w:tc>
          <w:tcPr>
            <w:tcW w:w="3136" w:type="dxa"/>
            <w:tcBorders>
              <w:bottom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Динарски депозити по виђењу</w:t>
            </w:r>
          </w:p>
        </w:tc>
        <w:tc>
          <w:tcPr>
            <w:tcW w:w="1596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31,817,748      </w:t>
            </w:r>
          </w:p>
        </w:tc>
        <w:tc>
          <w:tcPr>
            <w:tcW w:w="1596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33,332,878      </w:t>
            </w:r>
          </w:p>
        </w:tc>
        <w:tc>
          <w:tcPr>
            <w:tcW w:w="1596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34,241,957      </w:t>
            </w:r>
          </w:p>
        </w:tc>
        <w:tc>
          <w:tcPr>
            <w:tcW w:w="1596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35,132,248      </w:t>
            </w:r>
          </w:p>
        </w:tc>
      </w:tr>
      <w:tr w:rsidR="00D51543" w:rsidRPr="00B45412" w:rsidTr="00574B77">
        <w:trPr>
          <w:trHeight w:val="510"/>
        </w:trPr>
        <w:tc>
          <w:tcPr>
            <w:tcW w:w="313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  <w:r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  <w:t>УКУПАН ИНВЕСТИЦИОНИ ПОРТФОЛИО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  <w:t xml:space="preserve">2,451,759,114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  <w:t xml:space="preserve">2,474,233,315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  <w:t xml:space="preserve">2,529,502,974      </w:t>
            </w:r>
          </w:p>
        </w:tc>
        <w:tc>
          <w:tcPr>
            <w:tcW w:w="159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</w:tcPr>
          <w:p w:rsidR="00D51543" w:rsidRPr="00B45412" w:rsidRDefault="00D51543" w:rsidP="00574B77">
            <w:pPr>
              <w:suppressAutoHyphens w:val="0"/>
              <w:jc w:val="right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  <w:r w:rsidRPr="00B45412"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  <w:t xml:space="preserve">2,567,801,452      </w:t>
            </w:r>
          </w:p>
        </w:tc>
      </w:tr>
    </w:tbl>
    <w:p w:rsidR="00D51543" w:rsidRPr="00B45412" w:rsidRDefault="00D51543" w:rsidP="00D51543">
      <w:pPr>
        <w:rPr>
          <w:lang w:val="sr-Cyrl-CS"/>
        </w:rPr>
      </w:pPr>
    </w:p>
    <w:p w:rsidR="00D51543" w:rsidRPr="00272017" w:rsidRDefault="00D51543" w:rsidP="00D51543">
      <w:pPr>
        <w:spacing w:before="12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>
        <w:rPr>
          <w:rStyle w:val="IntenseEmphasis"/>
          <w:rFonts w:ascii="Verdana" w:eastAsia="Calibri" w:hAnsi="Verdana"/>
          <w:noProof/>
          <w:sz w:val="22"/>
          <w:lang w:val="sr-Cyrl-CS"/>
        </w:rPr>
        <w:t>Структура</w:t>
      </w: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 xml:space="preserve"> инвестиционог портфолиа </w:t>
      </w:r>
      <w:r>
        <w:rPr>
          <w:rStyle w:val="IntenseEmphasis"/>
          <w:rFonts w:ascii="Verdana" w:eastAsia="Calibri" w:hAnsi="Verdana"/>
          <w:noProof/>
          <w:sz w:val="22"/>
          <w:lang w:val="sr-Cyrl-CS"/>
        </w:rPr>
        <w:t xml:space="preserve">                                                                         </w:t>
      </w: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у периоду од 2016. до 2019. године</w:t>
      </w:r>
    </w:p>
    <w:p w:rsidR="00D51543" w:rsidRDefault="00D51543" w:rsidP="00D51543">
      <w:pPr>
        <w:spacing w:before="120" w:line="276" w:lineRule="auto"/>
        <w:ind w:right="-233" w:hanging="284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>
        <w:rPr>
          <w:noProof/>
          <w:lang w:val="sr-Latn-RS" w:eastAsia="sr-Latn-RS"/>
        </w:rPr>
        <w:drawing>
          <wp:inline distT="0" distB="0" distL="0" distR="0" wp14:anchorId="0B6FE6B2" wp14:editId="5EF2012C">
            <wp:extent cx="6177064" cy="2986392"/>
            <wp:effectExtent l="0" t="0" r="0" b="508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D51543" w:rsidRDefault="00D51543" w:rsidP="00D51543">
      <w:pPr>
        <w:spacing w:before="120" w:after="12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Највеће планирано учешће у инвестиционом портфолиу Друштва имају државне хартије од вредности, 62%, а затим следе орочени банкарски депозити са 17%.</w:t>
      </w:r>
    </w:p>
    <w:p w:rsidR="00D51543" w:rsidRDefault="00D51543" w:rsidP="00D51543">
      <w:pPr>
        <w:spacing w:before="120" w:after="120" w:line="276" w:lineRule="auto"/>
        <w:ind w:firstLine="284"/>
        <w:jc w:val="both"/>
        <w:rPr>
          <w:rStyle w:val="IntenseEmphasis"/>
          <w:rFonts w:ascii="Verdana" w:eastAsia="Calibri" w:hAnsi="Verdana"/>
          <w:b w:val="0"/>
          <w:bCs w:val="0"/>
          <w:i w:val="0"/>
          <w:iCs w:val="0"/>
          <w:noProof/>
          <w:color w:val="auto"/>
          <w:sz w:val="20"/>
          <w:szCs w:val="22"/>
          <w:lang w:val="sr-Cyrl-CS" w:eastAsia="en-US"/>
        </w:rPr>
      </w:pPr>
      <w:r>
        <w:rPr>
          <w:rStyle w:val="IntenseEmphasis"/>
          <w:rFonts w:ascii="Verdana" w:eastAsia="Calibri" w:hAnsi="Verdana"/>
          <w:b w:val="0"/>
          <w:bCs w:val="0"/>
          <w:i w:val="0"/>
          <w:iCs w:val="0"/>
          <w:noProof/>
          <w:color w:val="auto"/>
          <w:sz w:val="20"/>
          <w:szCs w:val="22"/>
          <w:lang w:val="sr-Cyrl-CS" w:eastAsia="en-US"/>
        </w:rPr>
        <w:t xml:space="preserve">Имајући у виду </w:t>
      </w:r>
      <w:r w:rsidRPr="004B307B">
        <w:rPr>
          <w:rStyle w:val="IntenseEmphasis"/>
          <w:rFonts w:ascii="Verdana" w:eastAsia="Calibri" w:hAnsi="Verdana"/>
          <w:b w:val="0"/>
          <w:bCs w:val="0"/>
          <w:i w:val="0"/>
          <w:iCs w:val="0"/>
          <w:noProof/>
          <w:color w:val="auto"/>
          <w:sz w:val="20"/>
          <w:szCs w:val="22"/>
          <w:lang w:val="sr-Cyrl-CS" w:eastAsia="en-US"/>
        </w:rPr>
        <w:t>валутн</w:t>
      </w:r>
      <w:r>
        <w:rPr>
          <w:rStyle w:val="IntenseEmphasis"/>
          <w:rFonts w:ascii="Verdana" w:eastAsia="Calibri" w:hAnsi="Verdana"/>
          <w:b w:val="0"/>
          <w:bCs w:val="0"/>
          <w:i w:val="0"/>
          <w:iCs w:val="0"/>
          <w:noProof/>
          <w:color w:val="auto"/>
          <w:sz w:val="20"/>
          <w:szCs w:val="22"/>
          <w:lang w:val="sr-Cyrl-CS" w:eastAsia="en-US"/>
        </w:rPr>
        <w:t>у</w:t>
      </w:r>
      <w:r w:rsidRPr="004B307B">
        <w:rPr>
          <w:rStyle w:val="IntenseEmphasis"/>
          <w:rFonts w:ascii="Verdana" w:eastAsia="Calibri" w:hAnsi="Verdana"/>
          <w:b w:val="0"/>
          <w:bCs w:val="0"/>
          <w:i w:val="0"/>
          <w:iCs w:val="0"/>
          <w:noProof/>
          <w:color w:val="auto"/>
          <w:sz w:val="20"/>
          <w:szCs w:val="22"/>
          <w:lang w:val="sr-Cyrl-CS" w:eastAsia="en-US"/>
        </w:rPr>
        <w:t xml:space="preserve"> структур</w:t>
      </w:r>
      <w:r>
        <w:rPr>
          <w:rStyle w:val="IntenseEmphasis"/>
          <w:rFonts w:ascii="Verdana" w:eastAsia="Calibri" w:hAnsi="Verdana"/>
          <w:b w:val="0"/>
          <w:bCs w:val="0"/>
          <w:i w:val="0"/>
          <w:iCs w:val="0"/>
          <w:noProof/>
          <w:color w:val="auto"/>
          <w:sz w:val="20"/>
          <w:szCs w:val="22"/>
          <w:lang w:val="sr-Cyrl-CS" w:eastAsia="en-US"/>
        </w:rPr>
        <w:t>у</w:t>
      </w:r>
      <w:r w:rsidRPr="004B307B">
        <w:rPr>
          <w:rStyle w:val="IntenseEmphasis"/>
          <w:rFonts w:ascii="Verdana" w:eastAsia="Calibri" w:hAnsi="Verdana"/>
          <w:b w:val="0"/>
          <w:bCs w:val="0"/>
          <w:i w:val="0"/>
          <w:iCs w:val="0"/>
          <w:noProof/>
          <w:color w:val="auto"/>
          <w:sz w:val="20"/>
          <w:szCs w:val="22"/>
          <w:lang w:val="sr-Cyrl-CS" w:eastAsia="en-US"/>
        </w:rPr>
        <w:t xml:space="preserve"> обавеза Друштва</w:t>
      </w:r>
      <w:r>
        <w:rPr>
          <w:rStyle w:val="IntenseEmphasis"/>
          <w:rFonts w:ascii="Verdana" w:eastAsia="Calibri" w:hAnsi="Verdana"/>
          <w:b w:val="0"/>
          <w:bCs w:val="0"/>
          <w:i w:val="0"/>
          <w:iCs w:val="0"/>
          <w:noProof/>
          <w:color w:val="auto"/>
          <w:sz w:val="20"/>
          <w:szCs w:val="22"/>
          <w:lang w:val="sr-Cyrl-CS" w:eastAsia="en-US"/>
        </w:rPr>
        <w:t>, највећи део инвестиционог портфолиа Друштво држи у девизама, око 90%.</w:t>
      </w:r>
    </w:p>
    <w:p w:rsidR="00D51543" w:rsidRPr="004B307B" w:rsidRDefault="00D51543" w:rsidP="00D51543">
      <w:pPr>
        <w:spacing w:before="120" w:after="120" w:line="276" w:lineRule="auto"/>
        <w:ind w:firstLine="284"/>
        <w:jc w:val="both"/>
        <w:rPr>
          <w:rStyle w:val="IntenseEmphasis"/>
          <w:rFonts w:ascii="Verdana" w:eastAsia="Calibri" w:hAnsi="Verdana"/>
          <w:b w:val="0"/>
          <w:bCs w:val="0"/>
          <w:i w:val="0"/>
          <w:iCs w:val="0"/>
          <w:noProof/>
          <w:color w:val="auto"/>
          <w:sz w:val="20"/>
          <w:szCs w:val="22"/>
          <w:lang w:val="sr-Cyrl-CS" w:eastAsia="en-US"/>
        </w:rPr>
      </w:pPr>
      <w:r>
        <w:rPr>
          <w:rStyle w:val="IntenseEmphasis"/>
          <w:rFonts w:ascii="Verdana" w:eastAsia="Calibri" w:hAnsi="Verdana"/>
          <w:b w:val="0"/>
          <w:bCs w:val="0"/>
          <w:i w:val="0"/>
          <w:iCs w:val="0"/>
          <w:noProof/>
          <w:color w:val="auto"/>
          <w:sz w:val="20"/>
          <w:szCs w:val="22"/>
          <w:lang w:val="sr-Cyrl-CS" w:eastAsia="en-US"/>
        </w:rPr>
        <w:t xml:space="preserve">Приликом инвестирања средстава техничких резерви Друштво ће инвестиционе одлуке доносити у складу са ограничењима утврђеним </w:t>
      </w:r>
      <w:r w:rsidRPr="00842856">
        <w:rPr>
          <w:rStyle w:val="IntenseEmphasis"/>
          <w:rFonts w:ascii="Verdana" w:eastAsia="Calibri" w:hAnsi="Verdana"/>
          <w:b w:val="0"/>
          <w:bCs w:val="0"/>
          <w:i w:val="0"/>
          <w:iCs w:val="0"/>
          <w:noProof/>
          <w:color w:val="auto"/>
          <w:sz w:val="20"/>
          <w:szCs w:val="22"/>
          <w:lang w:val="sr-Cyrl-CS" w:eastAsia="en-US"/>
        </w:rPr>
        <w:t>Одлук</w:t>
      </w:r>
      <w:r>
        <w:rPr>
          <w:rStyle w:val="IntenseEmphasis"/>
          <w:rFonts w:ascii="Verdana" w:eastAsia="Calibri" w:hAnsi="Verdana"/>
          <w:b w:val="0"/>
          <w:bCs w:val="0"/>
          <w:i w:val="0"/>
          <w:iCs w:val="0"/>
          <w:noProof/>
          <w:color w:val="auto"/>
          <w:sz w:val="20"/>
          <w:szCs w:val="22"/>
          <w:lang w:val="sr-Cyrl-CS" w:eastAsia="en-US"/>
        </w:rPr>
        <w:t>ом Народне банке Србије</w:t>
      </w:r>
      <w:r w:rsidRPr="00842856">
        <w:rPr>
          <w:rStyle w:val="IntenseEmphasis"/>
          <w:rFonts w:ascii="Verdana" w:eastAsia="Calibri" w:hAnsi="Verdana"/>
          <w:b w:val="0"/>
          <w:bCs w:val="0"/>
          <w:i w:val="0"/>
          <w:iCs w:val="0"/>
          <w:noProof/>
          <w:color w:val="auto"/>
          <w:sz w:val="20"/>
          <w:szCs w:val="22"/>
          <w:lang w:val="sr-Cyrl-CS" w:eastAsia="en-US"/>
        </w:rPr>
        <w:t xml:space="preserve"> о инвестирању средстава осигурања </w:t>
      </w:r>
      <w:r>
        <w:rPr>
          <w:rStyle w:val="IntenseEmphasis"/>
          <w:rFonts w:ascii="Verdana" w:eastAsia="Calibri" w:hAnsi="Verdana"/>
          <w:b w:val="0"/>
          <w:bCs w:val="0"/>
          <w:i w:val="0"/>
          <w:iCs w:val="0"/>
          <w:noProof/>
          <w:color w:val="auto"/>
          <w:sz w:val="20"/>
          <w:szCs w:val="22"/>
          <w:lang w:val="sr-Cyrl-CS" w:eastAsia="en-US"/>
        </w:rPr>
        <w:t>(</w:t>
      </w:r>
      <w:r w:rsidRPr="00842856">
        <w:rPr>
          <w:rStyle w:val="IntenseEmphasis"/>
          <w:rFonts w:ascii="Verdana" w:eastAsia="Calibri" w:hAnsi="Verdana"/>
          <w:b w:val="0"/>
          <w:bCs w:val="0"/>
          <w:i w:val="0"/>
          <w:iCs w:val="0"/>
          <w:noProof/>
          <w:color w:val="auto"/>
          <w:sz w:val="20"/>
          <w:szCs w:val="22"/>
          <w:lang w:val="sr-Cyrl-CS" w:eastAsia="en-US"/>
        </w:rPr>
        <w:t>"Службени гласник РС", бр. 55/2015</w:t>
      </w:r>
      <w:r>
        <w:rPr>
          <w:rStyle w:val="IntenseEmphasis"/>
          <w:rFonts w:ascii="Verdana" w:eastAsia="Calibri" w:hAnsi="Verdana"/>
          <w:b w:val="0"/>
          <w:bCs w:val="0"/>
          <w:i w:val="0"/>
          <w:iCs w:val="0"/>
          <w:noProof/>
          <w:color w:val="auto"/>
          <w:sz w:val="20"/>
          <w:szCs w:val="22"/>
          <w:lang w:val="sr-Cyrl-CS" w:eastAsia="en-US"/>
        </w:rPr>
        <w:t>).</w:t>
      </w:r>
    </w:p>
    <w:p w:rsidR="00D51543" w:rsidRPr="00272017" w:rsidRDefault="00D51543" w:rsidP="00D51543">
      <w:pPr>
        <w:spacing w:before="12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Кретање приноса од инвестиционог портфолиа                                                       у периоду од 2016. до 2019. године</w:t>
      </w:r>
    </w:p>
    <w:p w:rsidR="00D51543" w:rsidRPr="00272017" w:rsidRDefault="00D51543" w:rsidP="00D51543">
      <w:pPr>
        <w:jc w:val="right"/>
        <w:rPr>
          <w:rFonts w:ascii="Verdana" w:hAnsi="Verdana"/>
          <w:noProof/>
          <w:sz w:val="20"/>
          <w:lang w:val="sr-Cyrl-CS"/>
        </w:rPr>
      </w:pPr>
      <w:r w:rsidRPr="00272017">
        <w:rPr>
          <w:rFonts w:ascii="Verdana" w:hAnsi="Verdana"/>
          <w:noProof/>
          <w:sz w:val="20"/>
          <w:lang w:val="sr-Cyrl-CS"/>
        </w:rPr>
        <w:t>у РСД</w:t>
      </w:r>
    </w:p>
    <w:tbl>
      <w:tblPr>
        <w:tblW w:w="9520" w:type="dxa"/>
        <w:tblInd w:w="89" w:type="dxa"/>
        <w:tblLook w:val="04A0" w:firstRow="1" w:lastRow="0" w:firstColumn="1" w:lastColumn="0" w:noHBand="0" w:noVBand="1"/>
      </w:tblPr>
      <w:tblGrid>
        <w:gridCol w:w="5120"/>
        <w:gridCol w:w="1100"/>
        <w:gridCol w:w="1100"/>
        <w:gridCol w:w="1100"/>
        <w:gridCol w:w="1100"/>
      </w:tblGrid>
      <w:tr w:rsidR="00D51543" w:rsidRPr="00272017" w:rsidTr="00574B77">
        <w:trPr>
          <w:trHeight w:val="454"/>
        </w:trPr>
        <w:tc>
          <w:tcPr>
            <w:tcW w:w="512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</w:p>
        </w:tc>
        <w:tc>
          <w:tcPr>
            <w:tcW w:w="110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  <w:t>2016.</w:t>
            </w:r>
          </w:p>
        </w:tc>
        <w:tc>
          <w:tcPr>
            <w:tcW w:w="110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  <w:t>2017.</w:t>
            </w:r>
          </w:p>
        </w:tc>
        <w:tc>
          <w:tcPr>
            <w:tcW w:w="110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  <w:t>2018.</w:t>
            </w:r>
          </w:p>
        </w:tc>
        <w:tc>
          <w:tcPr>
            <w:tcW w:w="110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  <w:t>2019.</w:t>
            </w:r>
          </w:p>
        </w:tc>
      </w:tr>
      <w:tr w:rsidR="00D51543" w:rsidRPr="00272017" w:rsidTr="00574B77">
        <w:trPr>
          <w:trHeight w:val="454"/>
        </w:trPr>
        <w:tc>
          <w:tcPr>
            <w:tcW w:w="512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ПРИХОДИ ОД ИНВЕСТИРАЊА СРЕДСТАВА </w:t>
            </w:r>
          </w:p>
        </w:tc>
        <w:tc>
          <w:tcPr>
            <w:tcW w:w="110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57,765</w:t>
            </w:r>
          </w:p>
        </w:tc>
        <w:tc>
          <w:tcPr>
            <w:tcW w:w="110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65,085</w:t>
            </w:r>
          </w:p>
        </w:tc>
        <w:tc>
          <w:tcPr>
            <w:tcW w:w="110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62,809</w:t>
            </w:r>
          </w:p>
        </w:tc>
        <w:tc>
          <w:tcPr>
            <w:tcW w:w="110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61,773</w:t>
            </w:r>
          </w:p>
        </w:tc>
      </w:tr>
      <w:tr w:rsidR="00D51543" w:rsidRPr="00272017" w:rsidTr="00574B77">
        <w:trPr>
          <w:trHeight w:val="255"/>
        </w:trPr>
        <w:tc>
          <w:tcPr>
            <w:tcW w:w="5120" w:type="dxa"/>
            <w:tcBorders>
              <w:top w:val="single" w:sz="4" w:space="0" w:color="4F81BD" w:themeColor="accent1"/>
            </w:tcBorders>
            <w:shd w:val="clear" w:color="000000" w:fill="FFFFFF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Приходи од камата</w:t>
            </w:r>
          </w:p>
        </w:tc>
        <w:tc>
          <w:tcPr>
            <w:tcW w:w="1100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36,309</w:t>
            </w:r>
          </w:p>
        </w:tc>
        <w:tc>
          <w:tcPr>
            <w:tcW w:w="1100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43,361</w:t>
            </w:r>
          </w:p>
        </w:tc>
        <w:tc>
          <w:tcPr>
            <w:tcW w:w="1100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40,551</w:t>
            </w:r>
          </w:p>
        </w:tc>
        <w:tc>
          <w:tcPr>
            <w:tcW w:w="1100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39,123</w:t>
            </w:r>
          </w:p>
        </w:tc>
      </w:tr>
      <w:tr w:rsidR="00D51543" w:rsidRPr="00272017" w:rsidTr="00574B77">
        <w:trPr>
          <w:trHeight w:val="255"/>
        </w:trPr>
        <w:tc>
          <w:tcPr>
            <w:tcW w:w="5120" w:type="dxa"/>
            <w:tcBorders>
              <w:bottom w:val="single" w:sz="4" w:space="0" w:color="4F81BD" w:themeColor="accent1"/>
            </w:tcBorders>
            <w:shd w:val="clear" w:color="000000" w:fill="FFFFFF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Позитивне курсне разлике из активности инвестирања</w:t>
            </w:r>
          </w:p>
        </w:tc>
        <w:tc>
          <w:tcPr>
            <w:tcW w:w="1100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21,456</w:t>
            </w:r>
          </w:p>
        </w:tc>
        <w:tc>
          <w:tcPr>
            <w:tcW w:w="1100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21,723</w:t>
            </w:r>
          </w:p>
        </w:tc>
        <w:tc>
          <w:tcPr>
            <w:tcW w:w="1100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22,258</w:t>
            </w:r>
          </w:p>
        </w:tc>
        <w:tc>
          <w:tcPr>
            <w:tcW w:w="1100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22,650</w:t>
            </w:r>
          </w:p>
        </w:tc>
      </w:tr>
      <w:tr w:rsidR="00D51543" w:rsidRPr="00272017" w:rsidTr="00574B77">
        <w:trPr>
          <w:trHeight w:val="454"/>
        </w:trPr>
        <w:tc>
          <w:tcPr>
            <w:tcW w:w="512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 xml:space="preserve">РАСХОДИ ПО ОСНОВУ ИНВЕСТИРАЊА СРЕДСТАВА </w:t>
            </w:r>
          </w:p>
        </w:tc>
        <w:tc>
          <w:tcPr>
            <w:tcW w:w="110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28,364</w:t>
            </w:r>
          </w:p>
        </w:tc>
        <w:tc>
          <w:tcPr>
            <w:tcW w:w="110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28,717</w:t>
            </w:r>
          </w:p>
        </w:tc>
        <w:tc>
          <w:tcPr>
            <w:tcW w:w="110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29,423</w:t>
            </w:r>
          </w:p>
        </w:tc>
        <w:tc>
          <w:tcPr>
            <w:tcW w:w="110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29,894</w:t>
            </w:r>
          </w:p>
        </w:tc>
      </w:tr>
      <w:tr w:rsidR="00D51543" w:rsidRPr="00272017" w:rsidTr="00574B77">
        <w:trPr>
          <w:trHeight w:val="510"/>
        </w:trPr>
        <w:tc>
          <w:tcPr>
            <w:tcW w:w="5120" w:type="dxa"/>
            <w:tcBorders>
              <w:top w:val="single" w:sz="4" w:space="0" w:color="4F81BD" w:themeColor="accent1"/>
            </w:tcBorders>
            <w:shd w:val="clear" w:color="000000" w:fill="FFFFFF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Расходи по основу усклађивања вредности финансијских средстава која се исказују по фер вредности кроз БУ</w:t>
            </w:r>
          </w:p>
        </w:tc>
        <w:tc>
          <w:tcPr>
            <w:tcW w:w="1100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1,108</w:t>
            </w:r>
          </w:p>
        </w:tc>
        <w:tc>
          <w:tcPr>
            <w:tcW w:w="1100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1,122</w:t>
            </w:r>
          </w:p>
        </w:tc>
        <w:tc>
          <w:tcPr>
            <w:tcW w:w="1100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1,150</w:t>
            </w:r>
          </w:p>
        </w:tc>
        <w:tc>
          <w:tcPr>
            <w:tcW w:w="1100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1,168</w:t>
            </w:r>
          </w:p>
        </w:tc>
      </w:tr>
      <w:tr w:rsidR="00D51543" w:rsidRPr="00272017" w:rsidTr="00574B77">
        <w:trPr>
          <w:trHeight w:val="255"/>
        </w:trPr>
        <w:tc>
          <w:tcPr>
            <w:tcW w:w="5120" w:type="dxa"/>
            <w:tcBorders>
              <w:bottom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Негативне курсне разлике из активности инвестирања</w:t>
            </w:r>
          </w:p>
        </w:tc>
        <w:tc>
          <w:tcPr>
            <w:tcW w:w="1100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27,256</w:t>
            </w:r>
          </w:p>
        </w:tc>
        <w:tc>
          <w:tcPr>
            <w:tcW w:w="1100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27,595</w:t>
            </w:r>
          </w:p>
        </w:tc>
        <w:tc>
          <w:tcPr>
            <w:tcW w:w="1100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28,274</w:t>
            </w:r>
          </w:p>
        </w:tc>
        <w:tc>
          <w:tcPr>
            <w:tcW w:w="1100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noProof/>
                <w:sz w:val="20"/>
                <w:szCs w:val="20"/>
                <w:lang w:val="sr-Cyrl-CS" w:eastAsia="en-US"/>
              </w:rPr>
              <w:t>28,726</w:t>
            </w:r>
          </w:p>
        </w:tc>
      </w:tr>
      <w:tr w:rsidR="00D51543" w:rsidRPr="00272017" w:rsidTr="00574B77">
        <w:trPr>
          <w:trHeight w:val="510"/>
        </w:trPr>
        <w:tc>
          <w:tcPr>
            <w:tcW w:w="512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  <w:t xml:space="preserve">ДОБИТАК ИЗ ИНВЕСТИЦИОНЕ АКТИВНОСТИ </w:t>
            </w:r>
          </w:p>
        </w:tc>
        <w:tc>
          <w:tcPr>
            <w:tcW w:w="110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  <w:t>29,401</w:t>
            </w:r>
          </w:p>
        </w:tc>
        <w:tc>
          <w:tcPr>
            <w:tcW w:w="110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  <w:t>36,368</w:t>
            </w:r>
          </w:p>
        </w:tc>
        <w:tc>
          <w:tcPr>
            <w:tcW w:w="110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  <w:t>33,385</w:t>
            </w:r>
          </w:p>
        </w:tc>
        <w:tc>
          <w:tcPr>
            <w:tcW w:w="110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</w:pPr>
            <w:r w:rsidRPr="00272017">
              <w:rPr>
                <w:rFonts w:ascii="Calibri" w:hAnsi="Calibri" w:cs="Arial"/>
                <w:b/>
                <w:noProof/>
                <w:sz w:val="20"/>
                <w:szCs w:val="20"/>
                <w:lang w:val="sr-Cyrl-CS" w:eastAsia="en-US"/>
              </w:rPr>
              <w:t>31,879</w:t>
            </w:r>
          </w:p>
        </w:tc>
      </w:tr>
    </w:tbl>
    <w:p w:rsidR="00D51543" w:rsidRPr="00272017" w:rsidRDefault="00D51543" w:rsidP="00D51543">
      <w:pPr>
        <w:pStyle w:val="Heading1"/>
        <w:numPr>
          <w:ilvl w:val="1"/>
          <w:numId w:val="3"/>
        </w:numPr>
        <w:spacing w:before="240" w:after="240"/>
        <w:ind w:left="1418" w:hanging="851"/>
        <w:jc w:val="left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143" w:name="_Toc432775082"/>
      <w:bookmarkStart w:id="144" w:name="_Toc433278729"/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План биланса успеха за период 201</w:t>
      </w:r>
      <w:r>
        <w:rPr>
          <w:rFonts w:ascii="Verdana" w:hAnsi="Verdana" w:cs="Tahoma"/>
          <w:noProof/>
          <w:color w:val="365F91"/>
          <w:sz w:val="24"/>
          <w:szCs w:val="18"/>
          <w:lang w:val="sr-Cyrl-CS"/>
        </w:rPr>
        <w:t>6</w:t>
      </w:r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. –2019. године</w:t>
      </w:r>
      <w:bookmarkEnd w:id="143"/>
      <w:bookmarkEnd w:id="144"/>
    </w:p>
    <w:tbl>
      <w:tblPr>
        <w:tblW w:w="10772" w:type="dxa"/>
        <w:tblInd w:w="-612" w:type="dxa"/>
        <w:tblLook w:val="04A0" w:firstRow="1" w:lastRow="0" w:firstColumn="1" w:lastColumn="0" w:noHBand="0" w:noVBand="1"/>
      </w:tblPr>
      <w:tblGrid>
        <w:gridCol w:w="5760"/>
        <w:gridCol w:w="1253"/>
        <w:gridCol w:w="1253"/>
        <w:gridCol w:w="1253"/>
        <w:gridCol w:w="1253"/>
      </w:tblGrid>
      <w:tr w:rsidR="00D51543" w:rsidRPr="00272017" w:rsidTr="00574B77">
        <w:trPr>
          <w:trHeight w:val="432"/>
        </w:trPr>
        <w:tc>
          <w:tcPr>
            <w:tcW w:w="5760" w:type="dxa"/>
            <w:vMerge w:val="restart"/>
            <w:tcBorders>
              <w:top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  <w:t>Позиција</w:t>
            </w:r>
          </w:p>
        </w:tc>
        <w:tc>
          <w:tcPr>
            <w:tcW w:w="5012" w:type="dxa"/>
            <w:gridSpan w:val="4"/>
            <w:tcBorders>
              <w:top w:val="single" w:sz="4" w:space="0" w:color="4F81BD" w:themeColor="accent1"/>
            </w:tcBorders>
            <w:shd w:val="clear" w:color="auto" w:fill="95B3D7" w:themeFill="accent1" w:themeFillTint="99"/>
            <w:vAlign w:val="center"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  <w:t>ИЗНОС</w:t>
            </w:r>
          </w:p>
        </w:tc>
      </w:tr>
      <w:tr w:rsidR="00D51543" w:rsidRPr="00272017" w:rsidTr="00574B77">
        <w:trPr>
          <w:trHeight w:val="288"/>
        </w:trPr>
        <w:tc>
          <w:tcPr>
            <w:tcW w:w="5760" w:type="dxa"/>
            <w:vMerge/>
            <w:tcBorders>
              <w:bottom w:val="single" w:sz="4" w:space="0" w:color="4F81BD" w:themeColor="accent1"/>
            </w:tcBorders>
            <w:shd w:val="clear" w:color="auto" w:fill="95B3D7" w:themeFill="accent1" w:themeFillTint="99"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</w:pP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95B3D7" w:themeFill="accent1" w:themeFillTint="99"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  <w:t>2016.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95B3D7" w:themeFill="accent1" w:themeFillTint="99"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  <w:t>2017.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95B3D7" w:themeFill="accent1" w:themeFillTint="99"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  <w:t>2018.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95B3D7" w:themeFill="accent1" w:themeFillTint="99"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  <w:t>2019.</w:t>
            </w:r>
          </w:p>
        </w:tc>
      </w:tr>
      <w:tr w:rsidR="00D51543" w:rsidRPr="00272017" w:rsidTr="00574B77">
        <w:trPr>
          <w:trHeight w:val="576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  <w:t>А. ПОСЛОВНИ ПРИХОДИ И РАСХОДИ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</w:p>
        </w:tc>
      </w:tr>
      <w:tr w:rsidR="00D51543" w:rsidRPr="00272017" w:rsidTr="00574B77">
        <w:trPr>
          <w:trHeight w:val="576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I. ПОСЛОВНИ (ФУНКЦИОНАЛНИ) ПРИХОДИ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415,704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461,885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496,707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531,061</w:t>
            </w:r>
          </w:p>
        </w:tc>
      </w:tr>
      <w:tr w:rsidR="00D51543" w:rsidRPr="00272017" w:rsidTr="00574B77">
        <w:trPr>
          <w:trHeight w:val="576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Приходи од премија реосигурања и ретроцесија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415,704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461,885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496,707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531,061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Обрачуната премија реосигурања и ретроцесија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2,775,971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2,936,672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3,016,763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3,096,854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Премија пренета ретроцесијом реосигурања и ретроцесија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  <w:t>2,330,829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  <w:t>2,449,080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  <w:t>2,507,244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  <w:t>2,552,981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tcBorders>
              <w:bottom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Повећање резерви за преносне премије и резерви за неистекле ризике реосигурања и ретроцесија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  <w:t>29,438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  <w:t>25,707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  <w:t>12,812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  <w:t>12,812</w:t>
            </w:r>
          </w:p>
        </w:tc>
      </w:tr>
      <w:tr w:rsidR="00D51543" w:rsidRPr="00272017" w:rsidTr="00574B77">
        <w:trPr>
          <w:trHeight w:val="576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II. ПОСЛОВНИ (ФУНКЦИОНАЛНИ) РАСХОДИ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197,223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217,418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201,624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215,023</w:t>
            </w:r>
          </w:p>
        </w:tc>
      </w:tr>
      <w:tr w:rsidR="00D51543" w:rsidRPr="00272017" w:rsidTr="00574B77">
        <w:trPr>
          <w:trHeight w:val="576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Расходи за дугорочна резервисања и функционалне доприносе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8,171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4,845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3,584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4,479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Математичка резерва животних осигурања -повећање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8,171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4,845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3,584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4,479</w:t>
            </w:r>
          </w:p>
        </w:tc>
      </w:tr>
      <w:tr w:rsidR="00D51543" w:rsidRPr="00272017" w:rsidTr="00574B77">
        <w:trPr>
          <w:trHeight w:val="576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Расходи накнада штета и уговорених износа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202,421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202,605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209,885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218,386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tcBorders>
              <w:top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Ликвидиране штете - удели у штетама реосигурања и ретроцесија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525,169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471,076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507,625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544,173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Расходи извиђаја, процене, ликвидације и исплате накнада штета и уговорених износа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9,943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10,829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9,843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10,078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tcBorders>
              <w:bottom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Приходи од учешћа реосигурања и ретроцесија у накнади штета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332,691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279,301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307,583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335,865</w:t>
            </w:r>
          </w:p>
        </w:tc>
      </w:tr>
      <w:tr w:rsidR="00D51543" w:rsidRPr="00272017" w:rsidTr="00574B77">
        <w:trPr>
          <w:trHeight w:val="576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Резервисане штете – повећање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5,019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19,030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0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1,595</w:t>
            </w:r>
          </w:p>
        </w:tc>
      </w:tr>
      <w:tr w:rsidR="00D51543" w:rsidRPr="00272017" w:rsidTr="00574B77">
        <w:trPr>
          <w:trHeight w:val="576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Резервисане штете – смањење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0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0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2,497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0</w:t>
            </w:r>
          </w:p>
        </w:tc>
      </w:tr>
      <w:tr w:rsidR="00D51543" w:rsidRPr="00272017" w:rsidTr="00574B77">
        <w:trPr>
          <w:trHeight w:val="510"/>
        </w:trPr>
        <w:tc>
          <w:tcPr>
            <w:tcW w:w="5760" w:type="dxa"/>
            <w:tcBorders>
              <w:top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Резервисане штете саосигурања, реосигурања и ретроцесија – повећање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  <w:t>237,385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  <w:t>96,988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  <w:t>10,247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  <w:t>15,505</w:t>
            </w:r>
          </w:p>
        </w:tc>
      </w:tr>
      <w:tr w:rsidR="00D51543" w:rsidRPr="00272017" w:rsidTr="00574B77">
        <w:trPr>
          <w:trHeight w:val="510"/>
        </w:trPr>
        <w:tc>
          <w:tcPr>
            <w:tcW w:w="5760" w:type="dxa"/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Резервисане штете саосигурања, реосигурања и ретроцесија – смањење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  <w:t>232,366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  <w:t>77,958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  <w:t>12,745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color w:val="000000"/>
                <w:sz w:val="16"/>
                <w:szCs w:val="16"/>
                <w:lang w:val="sr-Cyrl-CS" w:eastAsia="en-US"/>
              </w:rPr>
              <w:t>13,910</w:t>
            </w:r>
          </w:p>
        </w:tc>
      </w:tr>
      <w:tr w:rsidR="00D51543" w:rsidRPr="00272017" w:rsidTr="00574B77">
        <w:trPr>
          <w:trHeight w:val="510"/>
        </w:trPr>
        <w:tc>
          <w:tcPr>
            <w:tcW w:w="5760" w:type="dxa"/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Приходи по основу регреса и продаје осигураних оштећених ствари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10,020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10,320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10,421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10,522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Повећање осталих техничких резерви - нето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182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673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482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487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Смањење осталих техничких резерви - нето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9,120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0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Остали пословни расходи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569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586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592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598</w:t>
            </w:r>
          </w:p>
        </w:tc>
      </w:tr>
      <w:tr w:rsidR="00D51543" w:rsidRPr="00272017" w:rsidTr="00574B77">
        <w:trPr>
          <w:trHeight w:val="720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III. ДОБИТАК - БРУТО ПОСЛОВНИ РЕЗУЛТАТ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218,481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244,467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295,082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316,038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vMerge w:val="restart"/>
            <w:tcBorders>
              <w:top w:val="single" w:sz="4" w:space="0" w:color="4F81BD" w:themeColor="accent1"/>
            </w:tcBorders>
            <w:shd w:val="clear" w:color="auto" w:fill="95B3D7" w:themeFill="accent1" w:themeFillTint="99"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  <w:t>Позиција</w:t>
            </w:r>
          </w:p>
        </w:tc>
        <w:tc>
          <w:tcPr>
            <w:tcW w:w="5012" w:type="dxa"/>
            <w:gridSpan w:val="4"/>
            <w:tcBorders>
              <w:top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  <w:t>ИЗНОС</w:t>
            </w:r>
          </w:p>
        </w:tc>
      </w:tr>
      <w:tr w:rsidR="00D51543" w:rsidRPr="00272017" w:rsidTr="00574B77">
        <w:trPr>
          <w:trHeight w:val="288"/>
        </w:trPr>
        <w:tc>
          <w:tcPr>
            <w:tcW w:w="5760" w:type="dxa"/>
            <w:vMerge/>
            <w:tcBorders>
              <w:bottom w:val="single" w:sz="4" w:space="0" w:color="4F81BD" w:themeColor="accent1"/>
            </w:tcBorders>
            <w:shd w:val="clear" w:color="auto" w:fill="95B3D7" w:themeFill="accent1" w:themeFillTint="99"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</w:pP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  <w:t>2016.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  <w:t>2017.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  <w:t>2018.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center"/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  <w:t>2019.</w:t>
            </w:r>
          </w:p>
        </w:tc>
      </w:tr>
      <w:tr w:rsidR="00D51543" w:rsidRPr="00272017" w:rsidTr="00574B77">
        <w:trPr>
          <w:trHeight w:val="570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ПРИХОДИ ОД ИНВЕСТИРАЊА СРЕДСТАВА ОСИГУРАЊА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57,765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65,085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62,809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61,773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tcBorders>
              <w:top w:val="single" w:sz="4" w:space="0" w:color="4F81BD" w:themeColor="accent1"/>
            </w:tcBorders>
            <w:shd w:val="clear" w:color="000000" w:fill="FFFFFF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Приходи од камата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36,309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43,361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40,551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39,123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tcBorders>
              <w:bottom w:val="single" w:sz="4" w:space="0" w:color="4F81BD" w:themeColor="accent1"/>
            </w:tcBorders>
            <w:shd w:val="clear" w:color="000000" w:fill="FFFFFF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Позитивне курсне разлике из активности инвестирања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21,456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21,723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22,258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22,650</w:t>
            </w:r>
          </w:p>
        </w:tc>
      </w:tr>
      <w:tr w:rsidR="00D51543" w:rsidRPr="00272017" w:rsidTr="00574B77">
        <w:trPr>
          <w:trHeight w:val="576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РАСХОДИ ПО ОСНОВУ ИНВЕСТИРАЊА СРЕДСТАВА ОСИГУРАЊА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28,364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28,717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29,423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29,894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tcBorders>
              <w:top w:val="single" w:sz="4" w:space="0" w:color="4F81BD" w:themeColor="accent1"/>
            </w:tcBorders>
            <w:shd w:val="clear" w:color="000000" w:fill="FFFFFF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Расходи по основу усклађивања вредности финансијских средстава која се исказују по фер вредности кроз биланс успеха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1,108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1,122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1,150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1,168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tcBorders>
              <w:bottom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Негативне курсне разлике из активности инвестирања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27,256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27,595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28,274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28,726</w:t>
            </w:r>
          </w:p>
        </w:tc>
      </w:tr>
      <w:tr w:rsidR="00D51543" w:rsidRPr="00272017" w:rsidTr="00574B77">
        <w:trPr>
          <w:trHeight w:val="576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ДОБИТАК ИЗ ИНВЕСТИЦИОНЕ АКТИВНОСТИ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29,401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36,368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33,385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31,879</w:t>
            </w:r>
          </w:p>
        </w:tc>
      </w:tr>
      <w:tr w:rsidR="00D51543" w:rsidRPr="00272017" w:rsidTr="00574B77">
        <w:trPr>
          <w:trHeight w:val="576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ТРОШКОВИ СПРОВОЂЕЊА ОСИГУРАЊА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79,719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77,952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80,288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80,637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Трошкови прибаве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356,173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371,235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380,264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389,687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Провизије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293,849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308,142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313,849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319,555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Остали трошкови прибаве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62,324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63,093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66,416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70,132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Трошкови управе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75,931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79,644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82,689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DBE5F1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83,643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Амортизација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13,165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15,400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15,500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15,600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Трошкови материјала, енергије, услуга и нематеријални трошкови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8,134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9,886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10,695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11,609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Трошкови зарада, накнада зарада и остали лични трошкови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37,355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37,003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38,520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38,225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Остали трошкови управе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17,277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17,355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17,973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18,209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Остали трошкови спровођења осигурања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3,160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3,200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3,720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3,950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Провизија од реосигурања и ретроцесија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355,544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376,127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386,385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396,643</w:t>
            </w:r>
          </w:p>
        </w:tc>
      </w:tr>
      <w:tr w:rsidR="00D51543" w:rsidRPr="00272017" w:rsidTr="00574B77">
        <w:trPr>
          <w:trHeight w:val="576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ПОСЛОВНИ ДОБИТАК - НЕТО ПОСЛОВНИ РЕЗУЛТАТ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138,762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166,514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214,794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235,401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tcBorders>
              <w:top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Финансијски приходи, осим финансијских прихода по основу инвестиционе активности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75,632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76,573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78,456</w:t>
            </w:r>
          </w:p>
        </w:tc>
        <w:tc>
          <w:tcPr>
            <w:tcW w:w="1253" w:type="dxa"/>
            <w:tcBorders>
              <w:top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79,877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Финансијски расходи, осим финансијских расхода по основу инвестиционе активности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91,701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92,842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95,125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96,647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Приходи од усклађивања вредности потраживања и друге имовине која служи за обављање делатности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47,524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47,657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48,250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49,437</w:t>
            </w:r>
          </w:p>
        </w:tc>
      </w:tr>
      <w:tr w:rsidR="00D51543" w:rsidRPr="00272017" w:rsidTr="00574B77">
        <w:trPr>
          <w:trHeight w:val="432"/>
        </w:trPr>
        <w:tc>
          <w:tcPr>
            <w:tcW w:w="5760" w:type="dxa"/>
            <w:tcBorders>
              <w:bottom w:val="single" w:sz="4" w:space="0" w:color="4F81BD" w:themeColor="accent1"/>
            </w:tcBorders>
            <w:shd w:val="clear" w:color="auto" w:fill="auto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Расходи по основу обезвређења потраживања и друге имовине која служи за обављање делатности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47,657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48,250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49,437</w:t>
            </w:r>
          </w:p>
        </w:tc>
        <w:tc>
          <w:tcPr>
            <w:tcW w:w="1253" w:type="dxa"/>
            <w:tcBorders>
              <w:bottom w:val="single" w:sz="4" w:space="0" w:color="4F81BD" w:themeColor="accent1"/>
            </w:tcBorders>
            <w:shd w:val="clear" w:color="auto" w:fill="auto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noProof/>
                <w:sz w:val="16"/>
                <w:szCs w:val="16"/>
                <w:lang w:val="sr-Cyrl-CS" w:eastAsia="en-US"/>
              </w:rPr>
              <w:t>50,228</w:t>
            </w:r>
          </w:p>
        </w:tc>
      </w:tr>
      <w:tr w:rsidR="00D51543" w:rsidRPr="00272017" w:rsidTr="00574B77">
        <w:trPr>
          <w:trHeight w:val="576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ДОБИТАК ИЗ РЕДОВНОГ ПОСЛОВАЊА ПРЕ ОПОРЕЗИВАЊА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122,560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149,652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196,938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217,840</w:t>
            </w:r>
          </w:p>
        </w:tc>
      </w:tr>
      <w:tr w:rsidR="00D51543" w:rsidRPr="00272017" w:rsidTr="00574B77">
        <w:trPr>
          <w:trHeight w:val="576"/>
        </w:trPr>
        <w:tc>
          <w:tcPr>
            <w:tcW w:w="576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bCs/>
                <w:noProof/>
                <w:sz w:val="16"/>
                <w:szCs w:val="16"/>
                <w:lang w:val="sr-Cyrl-CS" w:eastAsia="en-US"/>
              </w:rPr>
              <w:t>ДОБИТАК ПРЕ ОПОРЕЗИВАЊА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122,560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149,652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196,938</w:t>
            </w:r>
          </w:p>
        </w:tc>
        <w:tc>
          <w:tcPr>
            <w:tcW w:w="125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000000" w:fill="95B3D7"/>
            <w:noWrap/>
            <w:vAlign w:val="center"/>
            <w:hideMark/>
          </w:tcPr>
          <w:p w:rsidR="00D51543" w:rsidRPr="00272017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</w:pPr>
            <w:r w:rsidRPr="00272017">
              <w:rPr>
                <w:rFonts w:ascii="Verdana" w:hAnsi="Verdana" w:cs="Arial"/>
                <w:b/>
                <w:noProof/>
                <w:sz w:val="16"/>
                <w:szCs w:val="16"/>
                <w:lang w:val="sr-Cyrl-CS" w:eastAsia="en-US"/>
              </w:rPr>
              <w:t>217,840</w:t>
            </w:r>
          </w:p>
        </w:tc>
      </w:tr>
    </w:tbl>
    <w:p w:rsidR="00D51543" w:rsidRPr="00272017" w:rsidRDefault="00D51543" w:rsidP="00D51543">
      <w:pPr>
        <w:rPr>
          <w:noProof/>
          <w:lang w:val="sr-Cyrl-CS"/>
        </w:rPr>
      </w:pPr>
    </w:p>
    <w:p w:rsidR="00D51543" w:rsidRPr="00272017" w:rsidRDefault="00D51543" w:rsidP="00D51543">
      <w:pPr>
        <w:pStyle w:val="Heading1"/>
        <w:numPr>
          <w:ilvl w:val="1"/>
          <w:numId w:val="3"/>
        </w:numPr>
        <w:spacing w:before="240" w:after="240"/>
        <w:ind w:left="1418" w:hanging="851"/>
        <w:jc w:val="left"/>
        <w:rPr>
          <w:rFonts w:ascii="Verdana" w:hAnsi="Verdana" w:cs="Tahoma"/>
          <w:noProof/>
          <w:color w:val="365F91"/>
          <w:sz w:val="24"/>
          <w:szCs w:val="18"/>
          <w:lang w:val="sr-Cyrl-CS"/>
        </w:rPr>
      </w:pPr>
      <w:bookmarkStart w:id="145" w:name="_Toc432775083"/>
      <w:bookmarkStart w:id="146" w:name="_Toc433278730"/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Пројекција имовине која ће служити за покриће обавеза по основу реосигурања                                                   за период 201</w:t>
      </w:r>
      <w:r>
        <w:rPr>
          <w:rFonts w:ascii="Verdana" w:hAnsi="Verdana" w:cs="Tahoma"/>
          <w:noProof/>
          <w:color w:val="365F91"/>
          <w:sz w:val="24"/>
          <w:szCs w:val="18"/>
          <w:lang w:val="sr-Cyrl-CS"/>
        </w:rPr>
        <w:t>6</w:t>
      </w:r>
      <w:r w:rsidRPr="00272017">
        <w:rPr>
          <w:rFonts w:ascii="Verdana" w:hAnsi="Verdana" w:cs="Tahoma"/>
          <w:noProof/>
          <w:color w:val="365F91"/>
          <w:sz w:val="24"/>
          <w:szCs w:val="18"/>
          <w:lang w:val="sr-Cyrl-CS"/>
        </w:rPr>
        <w:t>. –2019. године</w:t>
      </w:r>
      <w:bookmarkEnd w:id="145"/>
      <w:bookmarkEnd w:id="146"/>
    </w:p>
    <w:p w:rsidR="00D51543" w:rsidRPr="00D51543" w:rsidRDefault="00D51543" w:rsidP="00D51543">
      <w:pPr>
        <w:pStyle w:val="ListParagraph"/>
        <w:keepNext/>
        <w:numPr>
          <w:ilvl w:val="1"/>
          <w:numId w:val="2"/>
        </w:numPr>
        <w:outlineLvl w:val="1"/>
        <w:rPr>
          <w:rStyle w:val="IntenseEmphasis"/>
          <w:rFonts w:ascii="Verdana" w:hAnsi="Verdana"/>
          <w:bCs w:val="0"/>
          <w:noProof/>
          <w:vanish/>
          <w:sz w:val="22"/>
          <w:lang w:val="sr-Cyrl-CS"/>
        </w:rPr>
      </w:pPr>
      <w:bookmarkStart w:id="147" w:name="_Toc432582103"/>
      <w:bookmarkStart w:id="148" w:name="_Toc432685612"/>
      <w:bookmarkStart w:id="149" w:name="_Toc432685690"/>
      <w:bookmarkStart w:id="150" w:name="_Toc432775084"/>
      <w:bookmarkStart w:id="151" w:name="_Toc433026539"/>
      <w:bookmarkStart w:id="152" w:name="_Toc433278731"/>
      <w:bookmarkStart w:id="153" w:name="_Toc432775087"/>
      <w:bookmarkEnd w:id="147"/>
      <w:bookmarkEnd w:id="148"/>
      <w:bookmarkEnd w:id="149"/>
      <w:bookmarkEnd w:id="150"/>
      <w:bookmarkEnd w:id="151"/>
      <w:bookmarkEnd w:id="152"/>
    </w:p>
    <w:p w:rsidR="00D51543" w:rsidRPr="00D51543" w:rsidRDefault="00D51543" w:rsidP="00D51543">
      <w:pPr>
        <w:pStyle w:val="ListParagraph"/>
        <w:keepNext/>
        <w:numPr>
          <w:ilvl w:val="1"/>
          <w:numId w:val="2"/>
        </w:numPr>
        <w:outlineLvl w:val="1"/>
        <w:rPr>
          <w:rStyle w:val="IntenseEmphasis"/>
          <w:rFonts w:ascii="Verdana" w:hAnsi="Verdana"/>
          <w:bCs w:val="0"/>
          <w:noProof/>
          <w:vanish/>
          <w:sz w:val="22"/>
          <w:lang w:val="sr-Cyrl-CS"/>
        </w:rPr>
      </w:pPr>
      <w:bookmarkStart w:id="154" w:name="_Toc433026540"/>
      <w:bookmarkStart w:id="155" w:name="_Toc433278732"/>
      <w:bookmarkEnd w:id="154"/>
      <w:bookmarkEnd w:id="155"/>
    </w:p>
    <w:p w:rsidR="00D51543" w:rsidRPr="00272017" w:rsidRDefault="00D51543" w:rsidP="00D51543">
      <w:pPr>
        <w:pStyle w:val="Heading3"/>
        <w:tabs>
          <w:tab w:val="clear" w:pos="6870"/>
          <w:tab w:val="num" w:pos="1004"/>
        </w:tabs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156" w:name="_Toc433278733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Полазне претпоставке за израду плана имовине која ће служити                                          за покриће обавеза по основу реосигурања</w:t>
      </w:r>
      <w:bookmarkEnd w:id="153"/>
      <w:bookmarkEnd w:id="156"/>
    </w:p>
    <w:p w:rsidR="00D51543" w:rsidRDefault="00D51543" w:rsidP="00D51543">
      <w:pPr>
        <w:spacing w:before="60" w:after="60" w:line="276" w:lineRule="auto"/>
        <w:ind w:firstLine="284"/>
        <w:jc w:val="both"/>
        <w:rPr>
          <w:rFonts w:ascii="Verdana" w:hAnsi="Verdana"/>
          <w:noProof/>
          <w:sz w:val="20"/>
          <w:szCs w:val="20"/>
          <w:lang w:val="sr-Cyrl-CS"/>
        </w:rPr>
      </w:pPr>
      <w:r w:rsidRPr="00A37E3D">
        <w:rPr>
          <w:rFonts w:ascii="Verdana" w:hAnsi="Verdana"/>
          <w:noProof/>
          <w:sz w:val="20"/>
          <w:szCs w:val="20"/>
          <w:lang w:val="sr-Cyrl-CS"/>
        </w:rPr>
        <w:t>Друштво редовно прати, анализира и процењује ризике</w:t>
      </w:r>
      <w:r>
        <w:rPr>
          <w:rFonts w:ascii="Verdana" w:hAnsi="Verdana"/>
          <w:noProof/>
          <w:sz w:val="20"/>
          <w:szCs w:val="20"/>
          <w:lang w:val="sr-Latn-RS"/>
        </w:rPr>
        <w:t xml:space="preserve"> </w:t>
      </w:r>
      <w:r>
        <w:rPr>
          <w:rFonts w:ascii="Verdana" w:hAnsi="Verdana"/>
          <w:noProof/>
          <w:sz w:val="20"/>
          <w:szCs w:val="20"/>
          <w:lang w:val="sr-Cyrl-RS"/>
        </w:rPr>
        <w:t>пословања</w:t>
      </w:r>
      <w:r w:rsidRPr="00A37E3D">
        <w:rPr>
          <w:rFonts w:ascii="Verdana" w:hAnsi="Verdana"/>
          <w:noProof/>
          <w:sz w:val="20"/>
          <w:szCs w:val="20"/>
          <w:lang w:val="sr-Cyrl-CS"/>
        </w:rPr>
        <w:t xml:space="preserve"> и предузима </w:t>
      </w:r>
      <w:r>
        <w:rPr>
          <w:rFonts w:ascii="Verdana" w:hAnsi="Verdana"/>
          <w:noProof/>
          <w:sz w:val="20"/>
          <w:szCs w:val="20"/>
          <w:lang w:val="sr-Cyrl-CS"/>
        </w:rPr>
        <w:t>одговарајуће</w:t>
      </w:r>
      <w:r w:rsidRPr="00A37E3D">
        <w:rPr>
          <w:rFonts w:ascii="Verdana" w:hAnsi="Verdana"/>
          <w:noProof/>
          <w:sz w:val="20"/>
          <w:szCs w:val="20"/>
          <w:lang w:val="sr-Cyrl-CS"/>
        </w:rPr>
        <w:t xml:space="preserve"> мере</w:t>
      </w:r>
      <w:r>
        <w:rPr>
          <w:rFonts w:ascii="Verdana" w:hAnsi="Verdana"/>
          <w:noProof/>
          <w:sz w:val="20"/>
          <w:szCs w:val="20"/>
          <w:lang w:val="sr-Cyrl-CS"/>
        </w:rPr>
        <w:t xml:space="preserve"> за смањење или преношење ових ризика</w:t>
      </w:r>
      <w:r w:rsidRPr="00A37E3D">
        <w:rPr>
          <w:rFonts w:ascii="Verdana" w:hAnsi="Verdana"/>
          <w:noProof/>
          <w:sz w:val="20"/>
          <w:szCs w:val="20"/>
          <w:lang w:val="sr-Cyrl-CS"/>
        </w:rPr>
        <w:t xml:space="preserve">, уколико се за тиме укаже потреба. </w:t>
      </w:r>
    </w:p>
    <w:p w:rsidR="00D51543" w:rsidRDefault="00D51543" w:rsidP="00D51543">
      <w:pPr>
        <w:spacing w:before="60" w:after="60" w:line="276" w:lineRule="auto"/>
        <w:ind w:firstLine="284"/>
        <w:jc w:val="both"/>
        <w:rPr>
          <w:rFonts w:ascii="Verdana" w:hAnsi="Verdana"/>
          <w:noProof/>
          <w:sz w:val="20"/>
          <w:szCs w:val="20"/>
          <w:lang w:val="sr-Cyrl-CS"/>
        </w:rPr>
      </w:pPr>
      <w:r>
        <w:rPr>
          <w:rFonts w:ascii="Verdana" w:hAnsi="Verdana"/>
          <w:noProof/>
          <w:sz w:val="20"/>
          <w:szCs w:val="20"/>
          <w:lang w:val="sr-Cyrl-CS"/>
        </w:rPr>
        <w:t xml:space="preserve">У оквиру сектора за реосигурање врши се контрола свих ризика преузетих у реосигуравајуће покриће са аспекта: </w:t>
      </w:r>
    </w:p>
    <w:p w:rsidR="00D51543" w:rsidRDefault="00D51543" w:rsidP="00D51543">
      <w:pPr>
        <w:pStyle w:val="ListParagraph"/>
        <w:numPr>
          <w:ilvl w:val="0"/>
          <w:numId w:val="46"/>
        </w:numPr>
        <w:spacing w:line="276" w:lineRule="auto"/>
        <w:ind w:left="1003" w:hanging="357"/>
        <w:jc w:val="both"/>
        <w:rPr>
          <w:rFonts w:ascii="Verdana" w:hAnsi="Verdana"/>
          <w:noProof/>
          <w:sz w:val="20"/>
          <w:szCs w:val="20"/>
          <w:lang w:val="sr-Cyrl-CS"/>
        </w:rPr>
      </w:pPr>
      <w:r w:rsidRPr="00131927">
        <w:rPr>
          <w:rFonts w:ascii="Verdana" w:hAnsi="Verdana"/>
          <w:noProof/>
          <w:sz w:val="20"/>
          <w:szCs w:val="20"/>
          <w:lang w:val="sr-Cyrl-CS"/>
        </w:rPr>
        <w:t xml:space="preserve">адекватности одређене премије реосигурања, </w:t>
      </w:r>
    </w:p>
    <w:p w:rsidR="00D51543" w:rsidRDefault="00D51543" w:rsidP="00D51543">
      <w:pPr>
        <w:pStyle w:val="ListParagraph"/>
        <w:numPr>
          <w:ilvl w:val="0"/>
          <w:numId w:val="46"/>
        </w:numPr>
        <w:spacing w:line="276" w:lineRule="auto"/>
        <w:ind w:left="1003" w:hanging="357"/>
        <w:jc w:val="both"/>
        <w:rPr>
          <w:rFonts w:ascii="Verdana" w:hAnsi="Verdana"/>
          <w:noProof/>
          <w:sz w:val="20"/>
          <w:szCs w:val="20"/>
          <w:lang w:val="sr-Cyrl-CS"/>
        </w:rPr>
      </w:pPr>
      <w:r w:rsidRPr="00131927">
        <w:rPr>
          <w:rFonts w:ascii="Verdana" w:hAnsi="Verdana"/>
          <w:noProof/>
          <w:sz w:val="20"/>
          <w:szCs w:val="20"/>
          <w:lang w:val="sr-Cyrl-CS"/>
        </w:rPr>
        <w:t xml:space="preserve">одговарајућег утврђивања услова  реосигурања, </w:t>
      </w:r>
    </w:p>
    <w:p w:rsidR="00D51543" w:rsidRDefault="00D51543" w:rsidP="00D51543">
      <w:pPr>
        <w:pStyle w:val="ListParagraph"/>
        <w:numPr>
          <w:ilvl w:val="0"/>
          <w:numId w:val="46"/>
        </w:numPr>
        <w:spacing w:line="276" w:lineRule="auto"/>
        <w:ind w:left="1003" w:hanging="357"/>
        <w:jc w:val="both"/>
        <w:rPr>
          <w:rFonts w:ascii="Verdana" w:hAnsi="Verdana"/>
          <w:noProof/>
          <w:sz w:val="20"/>
          <w:szCs w:val="20"/>
          <w:lang w:val="sr-Cyrl-CS"/>
        </w:rPr>
      </w:pPr>
      <w:r w:rsidRPr="00131927">
        <w:rPr>
          <w:rFonts w:ascii="Verdana" w:hAnsi="Verdana"/>
          <w:noProof/>
          <w:sz w:val="20"/>
          <w:szCs w:val="20"/>
          <w:lang w:val="sr-Cyrl-CS"/>
        </w:rPr>
        <w:t>адекватног одређивања нивоа самопридржаја</w:t>
      </w:r>
      <w:r>
        <w:rPr>
          <w:rFonts w:ascii="Verdana" w:hAnsi="Verdana"/>
          <w:noProof/>
          <w:sz w:val="20"/>
          <w:szCs w:val="20"/>
          <w:lang w:val="sr-Cyrl-CS"/>
        </w:rPr>
        <w:t>,</w:t>
      </w:r>
    </w:p>
    <w:p w:rsidR="00D51543" w:rsidRDefault="00D51543" w:rsidP="00D51543">
      <w:pPr>
        <w:pStyle w:val="ListParagraph"/>
        <w:numPr>
          <w:ilvl w:val="0"/>
          <w:numId w:val="46"/>
        </w:numPr>
        <w:spacing w:line="276" w:lineRule="auto"/>
        <w:ind w:left="1003" w:hanging="357"/>
        <w:jc w:val="both"/>
        <w:rPr>
          <w:rFonts w:ascii="Verdana" w:hAnsi="Verdana"/>
          <w:noProof/>
          <w:sz w:val="20"/>
          <w:szCs w:val="20"/>
          <w:lang w:val="sr-Cyrl-CS"/>
        </w:rPr>
      </w:pPr>
      <w:r w:rsidRPr="00131927">
        <w:rPr>
          <w:rFonts w:ascii="Verdana" w:hAnsi="Verdana"/>
          <w:noProof/>
          <w:sz w:val="20"/>
          <w:szCs w:val="20"/>
          <w:lang w:val="sr-Cyrl-CS"/>
        </w:rPr>
        <w:t>адекватности техничких резерви</w:t>
      </w:r>
      <w:r>
        <w:rPr>
          <w:rFonts w:ascii="Verdana" w:hAnsi="Verdana"/>
          <w:noProof/>
          <w:sz w:val="20"/>
          <w:szCs w:val="20"/>
          <w:lang w:val="sr-Cyrl-CS"/>
        </w:rPr>
        <w:t>.</w:t>
      </w:r>
    </w:p>
    <w:p w:rsidR="00D51543" w:rsidRDefault="00D51543" w:rsidP="00D51543">
      <w:pPr>
        <w:spacing w:before="60" w:after="60" w:line="276" w:lineRule="auto"/>
        <w:ind w:firstLine="284"/>
        <w:jc w:val="both"/>
        <w:rPr>
          <w:rFonts w:ascii="Verdana" w:hAnsi="Verdana"/>
          <w:noProof/>
          <w:sz w:val="20"/>
          <w:szCs w:val="20"/>
          <w:lang w:val="sr-Cyrl-CS"/>
        </w:rPr>
      </w:pPr>
      <w:r>
        <w:rPr>
          <w:rFonts w:ascii="Verdana" w:hAnsi="Verdana"/>
          <w:noProof/>
          <w:sz w:val="20"/>
          <w:szCs w:val="20"/>
          <w:lang w:val="sr-Cyrl-CS"/>
        </w:rPr>
        <w:t>Квартално се врши анализа реализације плана и утврђује остварени пословни резултат, како би се благовремено идентификовали параметри који указују на потренцијани раст изложености ризику пословања и адекватности спровођења политике реосигурања и ретроцесије.</w:t>
      </w:r>
    </w:p>
    <w:p w:rsidR="00D51543" w:rsidRDefault="00D51543" w:rsidP="00D51543">
      <w:pPr>
        <w:spacing w:before="60" w:after="60" w:line="276" w:lineRule="auto"/>
        <w:ind w:firstLine="284"/>
        <w:jc w:val="both"/>
        <w:rPr>
          <w:rFonts w:ascii="Verdana" w:hAnsi="Verdana"/>
          <w:noProof/>
          <w:sz w:val="20"/>
          <w:szCs w:val="20"/>
          <w:lang w:val="sr-Cyrl-CS"/>
        </w:rPr>
      </w:pPr>
      <w:r>
        <w:rPr>
          <w:rFonts w:ascii="Verdana" w:hAnsi="Verdana"/>
          <w:noProof/>
          <w:sz w:val="20"/>
          <w:szCs w:val="20"/>
          <w:lang w:val="sr-Cyrl-CS"/>
        </w:rPr>
        <w:t xml:space="preserve">У оквиру сектора за економске и информатичке послови инвестирања средстава врше се уз поштовање </w:t>
      </w:r>
      <w:r w:rsidRPr="00ED2DCA">
        <w:rPr>
          <w:rFonts w:ascii="Verdana" w:hAnsi="Verdana"/>
          <w:noProof/>
          <w:sz w:val="20"/>
          <w:szCs w:val="20"/>
          <w:lang w:val="sr-Cyrl-CS"/>
        </w:rPr>
        <w:t xml:space="preserve">начела сигурности, диверсификације инвестиционог портфеља и </w:t>
      </w:r>
      <w:r>
        <w:rPr>
          <w:rFonts w:ascii="Verdana" w:hAnsi="Verdana"/>
          <w:noProof/>
          <w:sz w:val="20"/>
          <w:szCs w:val="20"/>
          <w:lang w:val="sr-Cyrl-CS"/>
        </w:rPr>
        <w:t xml:space="preserve">на начин да се ризици </w:t>
      </w:r>
      <w:r w:rsidRPr="00A37E3D">
        <w:rPr>
          <w:rFonts w:ascii="Verdana" w:hAnsi="Verdana"/>
          <w:noProof/>
          <w:sz w:val="20"/>
          <w:szCs w:val="20"/>
          <w:lang w:val="sr-Cyrl-CS"/>
        </w:rPr>
        <w:t>солвентности и ликвидности</w:t>
      </w:r>
      <w:r>
        <w:rPr>
          <w:rFonts w:ascii="Verdana" w:hAnsi="Verdana"/>
          <w:noProof/>
          <w:sz w:val="20"/>
          <w:szCs w:val="20"/>
          <w:lang w:val="sr-Cyrl-CS"/>
        </w:rPr>
        <w:t>, као</w:t>
      </w:r>
      <w:r w:rsidRPr="00A37E3D">
        <w:rPr>
          <w:rFonts w:ascii="Verdana" w:hAnsi="Verdana"/>
          <w:noProof/>
          <w:sz w:val="20"/>
          <w:szCs w:val="20"/>
          <w:lang w:val="sr-Cyrl-CS"/>
        </w:rPr>
        <w:t xml:space="preserve"> и ризик неадекватног управљања имовином и обавезама</w:t>
      </w:r>
      <w:r>
        <w:rPr>
          <w:rFonts w:ascii="Verdana" w:hAnsi="Verdana"/>
          <w:noProof/>
          <w:sz w:val="20"/>
          <w:szCs w:val="20"/>
          <w:lang w:val="sr-Cyrl-CS"/>
        </w:rPr>
        <w:t xml:space="preserve"> сведу на минимално могући ниво.</w:t>
      </w:r>
    </w:p>
    <w:p w:rsidR="00D51543" w:rsidRDefault="00D51543" w:rsidP="00D51543">
      <w:pPr>
        <w:spacing w:before="60" w:after="60" w:line="276" w:lineRule="auto"/>
        <w:ind w:firstLine="284"/>
        <w:jc w:val="both"/>
        <w:rPr>
          <w:rFonts w:ascii="Verdana" w:hAnsi="Verdana"/>
          <w:noProof/>
          <w:sz w:val="20"/>
          <w:szCs w:val="20"/>
          <w:lang w:val="sr-Cyrl-CS"/>
        </w:rPr>
      </w:pPr>
      <w:r>
        <w:rPr>
          <w:rFonts w:ascii="Verdana" w:hAnsi="Verdana"/>
          <w:noProof/>
          <w:sz w:val="20"/>
          <w:szCs w:val="20"/>
          <w:lang w:val="sr-Cyrl-CS"/>
        </w:rPr>
        <w:t>Поред наведених, у делу који се односи на могућност краткорочног и дугорочног измирења свих обавеза из пословања, сектор за финансијске и информатичке послове управља и следећим ризицима:</w:t>
      </w:r>
    </w:p>
    <w:p w:rsidR="00D51543" w:rsidRDefault="00D51543" w:rsidP="00D51543">
      <w:pPr>
        <w:pStyle w:val="ListParagraph"/>
        <w:numPr>
          <w:ilvl w:val="0"/>
          <w:numId w:val="45"/>
        </w:numPr>
        <w:spacing w:line="276" w:lineRule="auto"/>
        <w:ind w:left="1003" w:hanging="357"/>
        <w:jc w:val="both"/>
        <w:rPr>
          <w:rFonts w:ascii="Verdana" w:hAnsi="Verdana"/>
          <w:noProof/>
          <w:sz w:val="20"/>
          <w:szCs w:val="20"/>
          <w:lang w:val="sr-Cyrl-CS"/>
        </w:rPr>
      </w:pPr>
      <w:r>
        <w:rPr>
          <w:rFonts w:ascii="Verdana" w:hAnsi="Verdana"/>
          <w:noProof/>
          <w:sz w:val="20"/>
          <w:szCs w:val="20"/>
          <w:lang w:val="sr-Cyrl-CS"/>
        </w:rPr>
        <w:t>р</w:t>
      </w:r>
      <w:r w:rsidRPr="00A37E3D">
        <w:rPr>
          <w:rFonts w:ascii="Verdana" w:hAnsi="Verdana"/>
          <w:noProof/>
          <w:sz w:val="20"/>
          <w:szCs w:val="20"/>
          <w:lang w:val="sr-Cyrl-CS"/>
        </w:rPr>
        <w:t>изик</w:t>
      </w:r>
      <w:r>
        <w:rPr>
          <w:rFonts w:ascii="Verdana" w:hAnsi="Verdana"/>
          <w:noProof/>
          <w:sz w:val="20"/>
          <w:szCs w:val="20"/>
          <w:lang w:val="sr-Cyrl-CS"/>
        </w:rPr>
        <w:t>ом</w:t>
      </w:r>
      <w:r w:rsidRPr="00A37E3D">
        <w:rPr>
          <w:rFonts w:ascii="Verdana" w:hAnsi="Verdana"/>
          <w:noProof/>
          <w:sz w:val="20"/>
          <w:szCs w:val="20"/>
          <w:lang w:val="sr-Cyrl-CS"/>
        </w:rPr>
        <w:t xml:space="preserve"> немогућности наплате </w:t>
      </w:r>
      <w:r>
        <w:rPr>
          <w:rFonts w:ascii="Verdana" w:hAnsi="Verdana"/>
          <w:noProof/>
          <w:sz w:val="20"/>
          <w:szCs w:val="20"/>
          <w:lang w:val="sr-Cyrl-CS"/>
        </w:rPr>
        <w:t>инвестираних</w:t>
      </w:r>
      <w:r w:rsidRPr="00A37E3D">
        <w:rPr>
          <w:rFonts w:ascii="Verdana" w:hAnsi="Verdana"/>
          <w:noProof/>
          <w:sz w:val="20"/>
          <w:szCs w:val="20"/>
          <w:lang w:val="sr-Cyrl-CS"/>
        </w:rPr>
        <w:t xml:space="preserve"> средстава Друштва и приноса од </w:t>
      </w:r>
      <w:r>
        <w:rPr>
          <w:rFonts w:ascii="Verdana" w:hAnsi="Verdana"/>
          <w:noProof/>
          <w:sz w:val="20"/>
          <w:szCs w:val="20"/>
          <w:lang w:val="sr-Cyrl-CS"/>
        </w:rPr>
        <w:t>инвестираних</w:t>
      </w:r>
      <w:r w:rsidRPr="00A37E3D">
        <w:rPr>
          <w:rFonts w:ascii="Verdana" w:hAnsi="Verdana"/>
          <w:noProof/>
          <w:sz w:val="20"/>
          <w:szCs w:val="20"/>
          <w:lang w:val="sr-Cyrl-CS"/>
        </w:rPr>
        <w:t xml:space="preserve"> средстава</w:t>
      </w:r>
      <w:r>
        <w:rPr>
          <w:rFonts w:ascii="Verdana" w:hAnsi="Verdana"/>
          <w:noProof/>
          <w:sz w:val="20"/>
          <w:szCs w:val="20"/>
          <w:lang w:val="sr-Cyrl-CS"/>
        </w:rPr>
        <w:t>,</w:t>
      </w:r>
    </w:p>
    <w:p w:rsidR="00D51543" w:rsidRPr="00A37E3D" w:rsidRDefault="00D51543" w:rsidP="00D51543">
      <w:pPr>
        <w:pStyle w:val="ListParagraph"/>
        <w:numPr>
          <w:ilvl w:val="0"/>
          <w:numId w:val="45"/>
        </w:numPr>
        <w:spacing w:line="276" w:lineRule="auto"/>
        <w:ind w:left="1003" w:hanging="357"/>
        <w:jc w:val="both"/>
        <w:rPr>
          <w:rFonts w:ascii="Verdana" w:hAnsi="Verdana"/>
          <w:noProof/>
          <w:sz w:val="20"/>
          <w:szCs w:val="20"/>
          <w:lang w:val="sr-Cyrl-CS"/>
        </w:rPr>
      </w:pPr>
      <w:r>
        <w:rPr>
          <w:rFonts w:ascii="Verdana" w:hAnsi="Verdana"/>
          <w:noProof/>
          <w:sz w:val="20"/>
          <w:szCs w:val="20"/>
          <w:lang w:val="sr-Cyrl-CS"/>
        </w:rPr>
        <w:t>р</w:t>
      </w:r>
      <w:r w:rsidRPr="00A37E3D">
        <w:rPr>
          <w:rFonts w:ascii="Verdana" w:hAnsi="Verdana"/>
          <w:noProof/>
          <w:sz w:val="20"/>
          <w:szCs w:val="20"/>
          <w:lang w:val="sr-Cyrl-CS"/>
        </w:rPr>
        <w:t>изик</w:t>
      </w:r>
      <w:r>
        <w:rPr>
          <w:rFonts w:ascii="Verdana" w:hAnsi="Verdana"/>
          <w:noProof/>
          <w:sz w:val="20"/>
          <w:szCs w:val="20"/>
          <w:lang w:val="sr-Cyrl-CS"/>
        </w:rPr>
        <w:t>ом</w:t>
      </w:r>
      <w:r w:rsidRPr="00A37E3D">
        <w:rPr>
          <w:rFonts w:ascii="Verdana" w:hAnsi="Verdana"/>
          <w:noProof/>
          <w:sz w:val="20"/>
          <w:szCs w:val="20"/>
          <w:lang w:val="sr-Cyrl-CS"/>
        </w:rPr>
        <w:t xml:space="preserve"> немогућности наплате</w:t>
      </w:r>
      <w:r>
        <w:rPr>
          <w:rFonts w:ascii="Verdana" w:hAnsi="Verdana"/>
          <w:noProof/>
          <w:sz w:val="20"/>
          <w:szCs w:val="20"/>
          <w:lang w:val="sr-Cyrl-CS"/>
        </w:rPr>
        <w:t xml:space="preserve"> потраживања,</w:t>
      </w:r>
    </w:p>
    <w:p w:rsidR="00D51543" w:rsidRDefault="00D51543" w:rsidP="00D51543">
      <w:pPr>
        <w:pStyle w:val="ListParagraph"/>
        <w:numPr>
          <w:ilvl w:val="0"/>
          <w:numId w:val="45"/>
        </w:numPr>
        <w:spacing w:line="276" w:lineRule="auto"/>
        <w:ind w:left="1003" w:hanging="357"/>
        <w:jc w:val="both"/>
        <w:rPr>
          <w:rFonts w:ascii="Verdana" w:hAnsi="Verdana"/>
          <w:noProof/>
          <w:sz w:val="20"/>
          <w:szCs w:val="20"/>
          <w:lang w:val="sr-Cyrl-CS"/>
        </w:rPr>
      </w:pPr>
      <w:r>
        <w:rPr>
          <w:rFonts w:ascii="Verdana" w:hAnsi="Verdana"/>
          <w:noProof/>
          <w:sz w:val="20"/>
          <w:szCs w:val="20"/>
          <w:lang w:val="sr-Cyrl-CS"/>
        </w:rPr>
        <w:t>р</w:t>
      </w:r>
      <w:r w:rsidRPr="00A37E3D">
        <w:rPr>
          <w:rFonts w:ascii="Verdana" w:hAnsi="Verdana"/>
          <w:noProof/>
          <w:sz w:val="20"/>
          <w:szCs w:val="20"/>
          <w:lang w:val="sr-Cyrl-CS"/>
        </w:rPr>
        <w:t>изик</w:t>
      </w:r>
      <w:r>
        <w:rPr>
          <w:rFonts w:ascii="Verdana" w:hAnsi="Verdana"/>
          <w:noProof/>
          <w:sz w:val="20"/>
          <w:szCs w:val="20"/>
          <w:lang w:val="sr-Cyrl-CS"/>
        </w:rPr>
        <w:t>ом</w:t>
      </w:r>
      <w:r w:rsidRPr="00A37E3D">
        <w:rPr>
          <w:rFonts w:ascii="Verdana" w:hAnsi="Verdana"/>
          <w:noProof/>
          <w:sz w:val="20"/>
          <w:szCs w:val="20"/>
          <w:lang w:val="sr-Cyrl-CS"/>
        </w:rPr>
        <w:t xml:space="preserve"> концентрације улагања</w:t>
      </w:r>
      <w:r>
        <w:rPr>
          <w:rFonts w:ascii="Verdana" w:hAnsi="Verdana"/>
          <w:noProof/>
          <w:sz w:val="20"/>
          <w:szCs w:val="20"/>
          <w:lang w:val="sr-Cyrl-CS"/>
        </w:rPr>
        <w:t>,</w:t>
      </w:r>
    </w:p>
    <w:p w:rsidR="00D51543" w:rsidRDefault="00D51543" w:rsidP="00D51543">
      <w:pPr>
        <w:pStyle w:val="ListParagraph"/>
        <w:numPr>
          <w:ilvl w:val="0"/>
          <w:numId w:val="45"/>
        </w:numPr>
        <w:spacing w:line="276" w:lineRule="auto"/>
        <w:ind w:left="1003" w:hanging="357"/>
        <w:jc w:val="both"/>
        <w:rPr>
          <w:rFonts w:ascii="Verdana" w:hAnsi="Verdana"/>
          <w:noProof/>
          <w:sz w:val="20"/>
          <w:szCs w:val="20"/>
          <w:lang w:val="sr-Cyrl-CS"/>
        </w:rPr>
      </w:pPr>
      <w:r>
        <w:rPr>
          <w:rFonts w:ascii="Verdana" w:hAnsi="Verdana"/>
          <w:noProof/>
          <w:sz w:val="20"/>
          <w:szCs w:val="20"/>
          <w:lang w:val="sr-Cyrl-CS"/>
        </w:rPr>
        <w:t>р</w:t>
      </w:r>
      <w:r w:rsidRPr="00D876F3">
        <w:rPr>
          <w:rFonts w:ascii="Verdana" w:hAnsi="Verdana"/>
          <w:noProof/>
          <w:sz w:val="20"/>
          <w:szCs w:val="20"/>
          <w:lang w:val="sr-Cyrl-CS"/>
        </w:rPr>
        <w:t>изик</w:t>
      </w:r>
      <w:r>
        <w:rPr>
          <w:rFonts w:ascii="Verdana" w:hAnsi="Verdana"/>
          <w:noProof/>
          <w:sz w:val="20"/>
          <w:szCs w:val="20"/>
          <w:lang w:val="sr-Cyrl-CS"/>
        </w:rPr>
        <w:t>ом</w:t>
      </w:r>
      <w:r w:rsidRPr="00D876F3">
        <w:rPr>
          <w:rFonts w:ascii="Verdana" w:hAnsi="Verdana"/>
          <w:noProof/>
          <w:sz w:val="20"/>
          <w:szCs w:val="20"/>
          <w:lang w:val="sr-Cyrl-CS"/>
        </w:rPr>
        <w:t xml:space="preserve"> смањењ</w:t>
      </w:r>
      <w:r>
        <w:rPr>
          <w:rFonts w:ascii="Verdana" w:hAnsi="Verdana"/>
          <w:noProof/>
          <w:sz w:val="20"/>
          <w:szCs w:val="20"/>
          <w:lang w:val="sr-Cyrl-CS"/>
        </w:rPr>
        <w:t>а</w:t>
      </w:r>
      <w:r w:rsidRPr="00D876F3">
        <w:rPr>
          <w:rFonts w:ascii="Verdana" w:hAnsi="Verdana"/>
          <w:noProof/>
          <w:sz w:val="20"/>
          <w:szCs w:val="20"/>
          <w:lang w:val="sr-Cyrl-CS"/>
        </w:rPr>
        <w:t xml:space="preserve"> приноса од </w:t>
      </w:r>
      <w:r>
        <w:rPr>
          <w:rFonts w:ascii="Verdana" w:hAnsi="Verdana"/>
          <w:noProof/>
          <w:sz w:val="20"/>
          <w:szCs w:val="20"/>
          <w:lang w:val="sr-Cyrl-CS"/>
        </w:rPr>
        <w:t>инвестирања</w:t>
      </w:r>
      <w:r w:rsidRPr="00D876F3">
        <w:rPr>
          <w:rFonts w:ascii="Verdana" w:hAnsi="Verdana"/>
          <w:noProof/>
          <w:sz w:val="20"/>
          <w:szCs w:val="20"/>
          <w:lang w:val="sr-Cyrl-CS"/>
        </w:rPr>
        <w:t xml:space="preserve"> средстава услед смањења каматних стопа, цена власничких хартија од вредности</w:t>
      </w:r>
      <w:r>
        <w:rPr>
          <w:rFonts w:ascii="Verdana" w:hAnsi="Verdana"/>
          <w:noProof/>
          <w:sz w:val="20"/>
          <w:szCs w:val="20"/>
          <w:lang w:val="sr-Cyrl-CS"/>
        </w:rPr>
        <w:t xml:space="preserve"> и</w:t>
      </w:r>
    </w:p>
    <w:p w:rsidR="00D51543" w:rsidRDefault="00D51543" w:rsidP="00D51543">
      <w:pPr>
        <w:pStyle w:val="ListParagraph"/>
        <w:numPr>
          <w:ilvl w:val="0"/>
          <w:numId w:val="45"/>
        </w:numPr>
        <w:spacing w:line="276" w:lineRule="auto"/>
        <w:ind w:left="1003" w:hanging="357"/>
        <w:jc w:val="both"/>
        <w:rPr>
          <w:rFonts w:ascii="Verdana" w:hAnsi="Verdana"/>
          <w:noProof/>
          <w:sz w:val="20"/>
          <w:szCs w:val="20"/>
          <w:lang w:val="sr-Cyrl-CS"/>
        </w:rPr>
      </w:pPr>
      <w:r>
        <w:rPr>
          <w:rFonts w:ascii="Verdana" w:hAnsi="Verdana"/>
          <w:noProof/>
          <w:sz w:val="20"/>
          <w:szCs w:val="20"/>
          <w:lang w:val="sr-Cyrl-CS"/>
        </w:rPr>
        <w:t>д</w:t>
      </w:r>
      <w:r w:rsidRPr="00A37E3D">
        <w:rPr>
          <w:rFonts w:ascii="Verdana" w:hAnsi="Verdana"/>
          <w:noProof/>
          <w:sz w:val="20"/>
          <w:szCs w:val="20"/>
          <w:lang w:val="sr-Cyrl-CS"/>
        </w:rPr>
        <w:t>евизни</w:t>
      </w:r>
      <w:r>
        <w:rPr>
          <w:rFonts w:ascii="Verdana" w:hAnsi="Verdana"/>
          <w:noProof/>
          <w:sz w:val="20"/>
          <w:szCs w:val="20"/>
          <w:lang w:val="sr-Cyrl-CS"/>
        </w:rPr>
        <w:t>м</w:t>
      </w:r>
      <w:r w:rsidRPr="00A37E3D">
        <w:rPr>
          <w:rFonts w:ascii="Verdana" w:hAnsi="Verdana"/>
          <w:noProof/>
          <w:sz w:val="20"/>
          <w:szCs w:val="20"/>
          <w:lang w:val="sr-Cyrl-CS"/>
        </w:rPr>
        <w:t xml:space="preserve"> ризик</w:t>
      </w:r>
      <w:r>
        <w:rPr>
          <w:rFonts w:ascii="Verdana" w:hAnsi="Verdana"/>
          <w:noProof/>
          <w:sz w:val="20"/>
          <w:szCs w:val="20"/>
          <w:lang w:val="sr-Cyrl-CS"/>
        </w:rPr>
        <w:t>ом.</w:t>
      </w:r>
    </w:p>
    <w:p w:rsidR="00D51543" w:rsidRPr="00A37E3D" w:rsidRDefault="00D51543" w:rsidP="00D51543">
      <w:pPr>
        <w:spacing w:before="60" w:after="60" w:line="276" w:lineRule="auto"/>
        <w:ind w:firstLine="284"/>
        <w:jc w:val="both"/>
        <w:rPr>
          <w:rFonts w:ascii="Verdana" w:hAnsi="Verdana"/>
          <w:noProof/>
          <w:sz w:val="20"/>
          <w:szCs w:val="20"/>
          <w:lang w:val="sr-Latn-RS"/>
        </w:rPr>
      </w:pPr>
      <w:r w:rsidRPr="00A37E3D">
        <w:rPr>
          <w:rFonts w:ascii="Verdana" w:hAnsi="Verdana"/>
          <w:noProof/>
          <w:sz w:val="20"/>
          <w:szCs w:val="20"/>
          <w:lang w:val="sr-Cyrl-CS"/>
        </w:rPr>
        <w:t>Друштво у претходном периоду никада није имало проблема са покрићем техничке и гарантне резерве</w:t>
      </w:r>
      <w:r>
        <w:rPr>
          <w:rFonts w:ascii="Verdana" w:hAnsi="Verdana"/>
          <w:noProof/>
          <w:sz w:val="20"/>
          <w:szCs w:val="20"/>
          <w:lang w:val="sr-Latn-RS"/>
        </w:rPr>
        <w:t>,</w:t>
      </w:r>
      <w:r w:rsidRPr="00A37E3D">
        <w:rPr>
          <w:rFonts w:ascii="Verdana" w:hAnsi="Verdana"/>
          <w:noProof/>
          <w:sz w:val="20"/>
          <w:szCs w:val="20"/>
          <w:lang w:val="sr-Cyrl-CS"/>
        </w:rPr>
        <w:t xml:space="preserve"> </w:t>
      </w:r>
      <w:r>
        <w:rPr>
          <w:rFonts w:ascii="Verdana" w:hAnsi="Verdana"/>
          <w:noProof/>
          <w:sz w:val="20"/>
          <w:szCs w:val="20"/>
          <w:lang w:val="sr-Latn-RS"/>
        </w:rPr>
        <w:t>a</w:t>
      </w:r>
      <w:r w:rsidRPr="00A37E3D">
        <w:rPr>
          <w:rFonts w:ascii="Verdana" w:hAnsi="Verdana"/>
          <w:noProof/>
          <w:sz w:val="20"/>
          <w:szCs w:val="20"/>
          <w:lang w:val="sr-Cyrl-CS"/>
        </w:rPr>
        <w:t xml:space="preserve"> ликвидност </w:t>
      </w:r>
      <w:r>
        <w:rPr>
          <w:rFonts w:ascii="Verdana" w:hAnsi="Verdana"/>
          <w:noProof/>
          <w:sz w:val="20"/>
          <w:szCs w:val="20"/>
          <w:lang w:val="sr-Latn-RS"/>
        </w:rPr>
        <w:t>je</w:t>
      </w:r>
      <w:r>
        <w:rPr>
          <w:rFonts w:ascii="Verdana" w:hAnsi="Verdana"/>
          <w:noProof/>
          <w:sz w:val="20"/>
          <w:szCs w:val="20"/>
          <w:lang w:val="sr-Cyrl-RS"/>
        </w:rPr>
        <w:t xml:space="preserve"> континуирано</w:t>
      </w:r>
      <w:r>
        <w:rPr>
          <w:rFonts w:ascii="Verdana" w:hAnsi="Verdana"/>
          <w:noProof/>
          <w:sz w:val="20"/>
          <w:szCs w:val="20"/>
          <w:lang w:val="sr-Latn-RS"/>
        </w:rPr>
        <w:t xml:space="preserve"> </w:t>
      </w:r>
      <w:r w:rsidRPr="00A37E3D">
        <w:rPr>
          <w:rFonts w:ascii="Verdana" w:hAnsi="Verdana"/>
          <w:noProof/>
          <w:sz w:val="20"/>
          <w:szCs w:val="20"/>
          <w:lang w:val="sr-Cyrl-CS"/>
        </w:rPr>
        <w:t>на високом нивоу</w:t>
      </w:r>
      <w:r>
        <w:rPr>
          <w:rFonts w:ascii="Verdana" w:hAnsi="Verdana"/>
          <w:noProof/>
          <w:sz w:val="20"/>
          <w:szCs w:val="20"/>
          <w:lang w:val="sr-Latn-RS"/>
        </w:rPr>
        <w:t>.</w:t>
      </w:r>
    </w:p>
    <w:p w:rsidR="00D51543" w:rsidRDefault="00D51543" w:rsidP="00D51543">
      <w:pPr>
        <w:spacing w:before="60" w:after="60" w:line="276" w:lineRule="auto"/>
        <w:ind w:firstLine="284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План </w:t>
      </w:r>
      <w:r w:rsidRPr="00D876F3">
        <w:rPr>
          <w:rFonts w:ascii="Verdana" w:eastAsia="Calibri" w:hAnsi="Verdana"/>
          <w:noProof/>
          <w:sz w:val="20"/>
          <w:szCs w:val="22"/>
          <w:lang w:val="sr-Cyrl-CS" w:eastAsia="en-US"/>
        </w:rPr>
        <w:t>имовине која ће служити</w:t>
      </w: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 </w:t>
      </w:r>
      <w:r w:rsidRPr="00D876F3">
        <w:rPr>
          <w:rFonts w:ascii="Verdana" w:eastAsia="Calibri" w:hAnsi="Verdana"/>
          <w:noProof/>
          <w:sz w:val="20"/>
          <w:szCs w:val="22"/>
          <w:lang w:val="sr-Cyrl-CS" w:eastAsia="en-US"/>
        </w:rPr>
        <w:t xml:space="preserve">за покриће обавеза по основу реосигурања </w:t>
      </w:r>
      <w:r w:rsidRPr="00272017">
        <w:rPr>
          <w:rFonts w:ascii="Verdana" w:eastAsia="Calibri" w:hAnsi="Verdana"/>
          <w:noProof/>
          <w:sz w:val="20"/>
          <w:szCs w:val="22"/>
          <w:lang w:val="sr-Cyrl-CS" w:eastAsia="en-US"/>
        </w:rPr>
        <w:t>Друштво је пројектовало на бази следећих података:</w:t>
      </w:r>
    </w:p>
    <w:p w:rsidR="00D51543" w:rsidRDefault="00D51543" w:rsidP="00D51543">
      <w:pPr>
        <w:pStyle w:val="ListParagraph"/>
        <w:numPr>
          <w:ilvl w:val="0"/>
          <w:numId w:val="47"/>
        </w:numPr>
        <w:spacing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постојећег стања инвестиционог портфолиа Друштва,</w:t>
      </w:r>
    </w:p>
    <w:p w:rsidR="00D51543" w:rsidRDefault="00D51543" w:rsidP="00D51543">
      <w:pPr>
        <w:pStyle w:val="ListParagraph"/>
        <w:numPr>
          <w:ilvl w:val="0"/>
          <w:numId w:val="47"/>
        </w:numPr>
        <w:spacing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планираних измена у структури и висини инвестиционог портфолиа,</w:t>
      </w:r>
    </w:p>
    <w:p w:rsidR="00D51543" w:rsidRDefault="00D51543" w:rsidP="00D51543">
      <w:pPr>
        <w:pStyle w:val="ListParagraph"/>
        <w:numPr>
          <w:ilvl w:val="0"/>
          <w:numId w:val="47"/>
        </w:numPr>
        <w:spacing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планираних прилива и одлива по основу премије реосигурања и ретроцесије,</w:t>
      </w:r>
    </w:p>
    <w:p w:rsidR="00D51543" w:rsidRDefault="00D51543" w:rsidP="00D51543">
      <w:pPr>
        <w:pStyle w:val="ListParagraph"/>
        <w:numPr>
          <w:ilvl w:val="0"/>
          <w:numId w:val="47"/>
        </w:numPr>
        <w:spacing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планираних одлива и прилива по основу штета реосигурања и ретроцесије,</w:t>
      </w:r>
    </w:p>
    <w:p w:rsidR="00D51543" w:rsidRDefault="00D51543" w:rsidP="00D51543">
      <w:pPr>
        <w:pStyle w:val="ListParagraph"/>
        <w:numPr>
          <w:ilvl w:val="0"/>
          <w:numId w:val="47"/>
        </w:numPr>
        <w:spacing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планираних прилива и одлива по основу трошкова спровођења реосигурања и</w:t>
      </w:r>
    </w:p>
    <w:p w:rsidR="00D51543" w:rsidRPr="00E82CD8" w:rsidRDefault="00D51543" w:rsidP="00D51543">
      <w:pPr>
        <w:pStyle w:val="ListParagraph"/>
        <w:numPr>
          <w:ilvl w:val="0"/>
          <w:numId w:val="47"/>
        </w:numPr>
        <w:spacing w:line="276" w:lineRule="auto"/>
        <w:ind w:left="1003" w:hanging="357"/>
        <w:jc w:val="both"/>
        <w:rPr>
          <w:rFonts w:ascii="Verdana" w:eastAsia="Calibri" w:hAnsi="Verdana"/>
          <w:noProof/>
          <w:sz w:val="20"/>
          <w:szCs w:val="22"/>
          <w:lang w:val="sr-Cyrl-CS" w:eastAsia="en-US"/>
        </w:rPr>
      </w:pPr>
      <w:r>
        <w:rPr>
          <w:rFonts w:ascii="Verdana" w:eastAsia="Calibri" w:hAnsi="Verdana"/>
          <w:noProof/>
          <w:sz w:val="20"/>
          <w:szCs w:val="22"/>
          <w:lang w:val="sr-Cyrl-CS" w:eastAsia="en-US"/>
        </w:rPr>
        <w:t>пројектоване висине техничких и гарантних резерви Друштва.</w:t>
      </w:r>
    </w:p>
    <w:p w:rsidR="00D51543" w:rsidRPr="00272017" w:rsidRDefault="00D51543" w:rsidP="00D51543">
      <w:pPr>
        <w:pStyle w:val="Heading3"/>
        <w:tabs>
          <w:tab w:val="clear" w:pos="6870"/>
          <w:tab w:val="num" w:pos="1004"/>
        </w:tabs>
        <w:spacing w:after="240"/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157" w:name="_Toc432775088"/>
      <w:bookmarkStart w:id="158" w:name="_Toc433278734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План имовине која ће служити за покриће обавеза по основу реосигурања за период 201</w:t>
      </w:r>
      <w:r>
        <w:rPr>
          <w:rStyle w:val="IntenseEmphasis"/>
          <w:rFonts w:ascii="Verdana" w:hAnsi="Verdana"/>
          <w:b/>
          <w:noProof/>
          <w:sz w:val="22"/>
          <w:lang w:val="sr-Cyrl-CS"/>
        </w:rPr>
        <w:t>6</w:t>
      </w:r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. – 201</w:t>
      </w:r>
      <w:r>
        <w:rPr>
          <w:rStyle w:val="IntenseEmphasis"/>
          <w:rFonts w:ascii="Verdana" w:hAnsi="Verdana"/>
          <w:b/>
          <w:noProof/>
          <w:sz w:val="22"/>
          <w:lang w:val="sr-Cyrl-CS"/>
        </w:rPr>
        <w:t>9</w:t>
      </w:r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.</w:t>
      </w:r>
      <w:bookmarkEnd w:id="157"/>
      <w:bookmarkEnd w:id="158"/>
    </w:p>
    <w:p w:rsidR="00D51543" w:rsidRDefault="00D51543" w:rsidP="00D51543">
      <w:pPr>
        <w:spacing w:before="60" w:after="60" w:line="276" w:lineRule="auto"/>
        <w:ind w:firstLine="284"/>
        <w:jc w:val="both"/>
        <w:rPr>
          <w:rFonts w:ascii="Verdana" w:hAnsi="Verdana"/>
          <w:noProof/>
          <w:sz w:val="20"/>
          <w:szCs w:val="20"/>
          <w:lang w:val="sr-Cyrl-RS"/>
        </w:rPr>
      </w:pPr>
      <w:r>
        <w:rPr>
          <w:rFonts w:ascii="Verdana" w:hAnsi="Verdana"/>
          <w:noProof/>
          <w:sz w:val="20"/>
          <w:szCs w:val="20"/>
          <w:lang w:val="sr-Cyrl-CS"/>
        </w:rPr>
        <w:t>На основу планираног инвестиционог портфолиа и пројектованих техничких и гарантних резерви, Друштво је обезбедило пуно покриће ових резерви одговарајућом иновином</w:t>
      </w:r>
      <w:r w:rsidRPr="008E6B5B">
        <w:rPr>
          <w:rFonts w:ascii="Verdana" w:hAnsi="Verdana"/>
          <w:noProof/>
          <w:sz w:val="20"/>
          <w:szCs w:val="20"/>
          <w:lang w:val="sr-Latn-RS"/>
        </w:rPr>
        <w:t>.</w:t>
      </w:r>
    </w:p>
    <w:p w:rsidR="00D51543" w:rsidRDefault="00D51543" w:rsidP="00D51543">
      <w:pPr>
        <w:spacing w:before="60" w:after="60" w:line="276" w:lineRule="auto"/>
        <w:ind w:firstLine="284"/>
        <w:jc w:val="both"/>
        <w:rPr>
          <w:rFonts w:ascii="Verdana" w:hAnsi="Verdana"/>
          <w:noProof/>
          <w:sz w:val="20"/>
          <w:szCs w:val="20"/>
          <w:lang w:val="sr-Cyrl-RS"/>
        </w:rPr>
      </w:pPr>
      <w:r>
        <w:rPr>
          <w:rFonts w:ascii="Verdana" w:hAnsi="Verdana"/>
          <w:noProof/>
          <w:sz w:val="20"/>
          <w:szCs w:val="20"/>
          <w:lang w:val="sr-Cyrl-RS"/>
        </w:rPr>
        <w:t xml:space="preserve">У претходном периоду покриће ових резерви није ни једном била угрожена а у наредном период Друшво ће процес инвестирања спроводити у складу са пословном и инвестиционом политиком и Одлуком о </w:t>
      </w:r>
      <w:r w:rsidRPr="00F1598F">
        <w:rPr>
          <w:rFonts w:ascii="Verdana" w:hAnsi="Verdana"/>
          <w:noProof/>
          <w:sz w:val="20"/>
          <w:szCs w:val="20"/>
          <w:lang w:val="sr-Cyrl-RS"/>
        </w:rPr>
        <w:t xml:space="preserve">инвестирању средстава осигурања </w:t>
      </w:r>
      <w:r>
        <w:rPr>
          <w:rFonts w:ascii="Verdana" w:hAnsi="Verdana"/>
          <w:noProof/>
          <w:sz w:val="20"/>
          <w:szCs w:val="20"/>
          <w:lang w:val="sr-Cyrl-RS"/>
        </w:rPr>
        <w:t>(</w:t>
      </w:r>
      <w:r w:rsidRPr="00F1598F">
        <w:rPr>
          <w:rFonts w:ascii="Verdana" w:hAnsi="Verdana"/>
          <w:noProof/>
          <w:sz w:val="20"/>
          <w:szCs w:val="20"/>
          <w:lang w:val="sr-Cyrl-RS"/>
        </w:rPr>
        <w:t>"Службени гласник РС", бр. 55/2015</w:t>
      </w:r>
      <w:r>
        <w:rPr>
          <w:rFonts w:ascii="Verdana" w:hAnsi="Verdana"/>
          <w:noProof/>
          <w:sz w:val="20"/>
          <w:szCs w:val="20"/>
          <w:lang w:val="sr-Cyrl-RS"/>
        </w:rPr>
        <w:t>).</w:t>
      </w:r>
    </w:p>
    <w:p w:rsidR="00D51543" w:rsidRPr="00272017" w:rsidRDefault="00D51543" w:rsidP="00D51543">
      <w:pPr>
        <w:spacing w:before="120" w:line="276" w:lineRule="auto"/>
        <w:jc w:val="center"/>
        <w:rPr>
          <w:rStyle w:val="IntenseEmphasis"/>
          <w:rFonts w:ascii="Verdana" w:eastAsia="Calibri" w:hAnsi="Verdana"/>
          <w:noProof/>
          <w:sz w:val="22"/>
          <w:lang w:val="sr-Cyrl-CS"/>
        </w:rPr>
      </w:pP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 xml:space="preserve">Кретање </w:t>
      </w:r>
      <w:r>
        <w:rPr>
          <w:rStyle w:val="IntenseEmphasis"/>
          <w:rFonts w:ascii="Verdana" w:eastAsia="Calibri" w:hAnsi="Verdana"/>
          <w:noProof/>
          <w:sz w:val="22"/>
          <w:lang w:val="sr-Cyrl-CS"/>
        </w:rPr>
        <w:t xml:space="preserve">техничких и гарантних резерви и имовине која служи за покриће </w:t>
      </w: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>у периоду од 2016. до 2019. године</w:t>
      </w:r>
    </w:p>
    <w:tbl>
      <w:tblPr>
        <w:tblW w:w="11338" w:type="dxa"/>
        <w:tblInd w:w="-743" w:type="dxa"/>
        <w:tblLook w:val="04A0" w:firstRow="1" w:lastRow="0" w:firstColumn="1" w:lastColumn="0" w:noHBand="0" w:noVBand="1"/>
      </w:tblPr>
      <w:tblGrid>
        <w:gridCol w:w="344"/>
        <w:gridCol w:w="4220"/>
        <w:gridCol w:w="1701"/>
        <w:gridCol w:w="1691"/>
        <w:gridCol w:w="1691"/>
        <w:gridCol w:w="1691"/>
      </w:tblGrid>
      <w:tr w:rsidR="00D51543" w:rsidRPr="00737197" w:rsidTr="00D03AB5">
        <w:trPr>
          <w:trHeight w:val="340"/>
        </w:trPr>
        <w:tc>
          <w:tcPr>
            <w:tcW w:w="344" w:type="dxa"/>
            <w:tcBorders>
              <w:top w:val="nil"/>
              <w:left w:val="nil"/>
              <w:right w:val="nil"/>
            </w:tcBorders>
            <w:shd w:val="clear" w:color="auto" w:fill="4F81BD" w:themeFill="accent1"/>
            <w:noWrap/>
            <w:vAlign w:val="center"/>
            <w:hideMark/>
          </w:tcPr>
          <w:p w:rsidR="00D51543" w:rsidRPr="0073719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4220" w:type="dxa"/>
            <w:tcBorders>
              <w:top w:val="nil"/>
              <w:left w:val="nil"/>
              <w:right w:val="nil"/>
            </w:tcBorders>
            <w:shd w:val="clear" w:color="auto" w:fill="4F81BD" w:themeFill="accent1"/>
            <w:noWrap/>
            <w:vAlign w:val="center"/>
            <w:hideMark/>
          </w:tcPr>
          <w:p w:rsidR="00D51543" w:rsidRPr="00737197" w:rsidRDefault="00D51543" w:rsidP="00574B77">
            <w:pPr>
              <w:suppressAutoHyphens w:val="0"/>
              <w:jc w:val="right"/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4F81BD" w:themeFill="accent1"/>
            <w:noWrap/>
            <w:vAlign w:val="center"/>
            <w:hideMark/>
          </w:tcPr>
          <w:p w:rsidR="00D51543" w:rsidRPr="00737197" w:rsidRDefault="00D51543" w:rsidP="00574B77">
            <w:pPr>
              <w:suppressAutoHyphens w:val="0"/>
              <w:jc w:val="center"/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Cyrl-RS" w:eastAsia="sr-Latn-RS"/>
              </w:rPr>
            </w:pPr>
            <w:r w:rsidRPr="00737197"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Cyrl-RS" w:eastAsia="sr-Latn-RS"/>
              </w:rPr>
              <w:t>2016</w:t>
            </w:r>
          </w:p>
        </w:tc>
        <w:tc>
          <w:tcPr>
            <w:tcW w:w="1691" w:type="dxa"/>
            <w:tcBorders>
              <w:top w:val="nil"/>
              <w:left w:val="nil"/>
              <w:right w:val="nil"/>
            </w:tcBorders>
            <w:shd w:val="clear" w:color="auto" w:fill="4F81BD" w:themeFill="accent1"/>
            <w:noWrap/>
            <w:vAlign w:val="center"/>
            <w:hideMark/>
          </w:tcPr>
          <w:p w:rsidR="00D51543" w:rsidRPr="00737197" w:rsidRDefault="00D51543" w:rsidP="00574B77">
            <w:pPr>
              <w:suppressAutoHyphens w:val="0"/>
              <w:jc w:val="center"/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Cyrl-RS" w:eastAsia="sr-Latn-RS"/>
              </w:rPr>
            </w:pPr>
            <w:r w:rsidRPr="00737197"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Cyrl-RS" w:eastAsia="sr-Latn-RS"/>
              </w:rPr>
              <w:t>2017</w:t>
            </w:r>
          </w:p>
        </w:tc>
        <w:tc>
          <w:tcPr>
            <w:tcW w:w="1691" w:type="dxa"/>
            <w:tcBorders>
              <w:top w:val="nil"/>
              <w:left w:val="nil"/>
              <w:right w:val="nil"/>
            </w:tcBorders>
            <w:shd w:val="clear" w:color="auto" w:fill="4F81BD" w:themeFill="accent1"/>
            <w:noWrap/>
            <w:vAlign w:val="center"/>
            <w:hideMark/>
          </w:tcPr>
          <w:p w:rsidR="00D51543" w:rsidRPr="00737197" w:rsidRDefault="00D51543" w:rsidP="00574B77">
            <w:pPr>
              <w:suppressAutoHyphens w:val="0"/>
              <w:jc w:val="center"/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Cyrl-RS" w:eastAsia="sr-Latn-RS"/>
              </w:rPr>
            </w:pPr>
            <w:r w:rsidRPr="00737197"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Cyrl-RS" w:eastAsia="sr-Latn-RS"/>
              </w:rPr>
              <w:t>2018</w:t>
            </w:r>
          </w:p>
        </w:tc>
        <w:tc>
          <w:tcPr>
            <w:tcW w:w="1691" w:type="dxa"/>
            <w:tcBorders>
              <w:top w:val="nil"/>
              <w:left w:val="nil"/>
              <w:right w:val="nil"/>
            </w:tcBorders>
            <w:shd w:val="clear" w:color="auto" w:fill="4F81BD" w:themeFill="accent1"/>
            <w:noWrap/>
            <w:vAlign w:val="center"/>
            <w:hideMark/>
          </w:tcPr>
          <w:p w:rsidR="00D51543" w:rsidRPr="00737197" w:rsidRDefault="00D51543" w:rsidP="00574B77">
            <w:pPr>
              <w:suppressAutoHyphens w:val="0"/>
              <w:jc w:val="center"/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Cyrl-RS" w:eastAsia="sr-Latn-RS"/>
              </w:rPr>
            </w:pPr>
            <w:r w:rsidRPr="00737197"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Cyrl-RS" w:eastAsia="sr-Latn-RS"/>
              </w:rPr>
              <w:t>2019</w:t>
            </w:r>
          </w:p>
        </w:tc>
      </w:tr>
      <w:tr w:rsidR="005C3010" w:rsidRPr="00737197" w:rsidTr="00D03AB5">
        <w:trPr>
          <w:trHeight w:val="283"/>
        </w:trPr>
        <w:tc>
          <w:tcPr>
            <w:tcW w:w="344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737197" w:rsidRDefault="005C3010" w:rsidP="00574B77">
            <w:pPr>
              <w:suppressAutoHyphens w:val="0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</w:pPr>
            <w:r w:rsidRPr="00737197"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737197" w:rsidRDefault="005C3010" w:rsidP="00574B77">
            <w:pPr>
              <w:suppressAutoHyphens w:val="0"/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</w:pPr>
            <w:r w:rsidRPr="00737197"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  <w:t>Техничке резерве реосигурања (активно)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2,150,945,222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2,279,157,752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2,285,790,753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2,319,073,952</w:t>
            </w:r>
          </w:p>
        </w:tc>
      </w:tr>
      <w:tr w:rsidR="005C3010" w:rsidRPr="00737197" w:rsidTr="00D03AB5">
        <w:trPr>
          <w:trHeight w:val="283"/>
        </w:trPr>
        <w:tc>
          <w:tcPr>
            <w:tcW w:w="344" w:type="dxa"/>
            <w:tcBorders>
              <w:top w:val="single" w:sz="4" w:space="0" w:color="DBE5F1" w:themeColor="accent1" w:themeTint="33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737197" w:rsidRDefault="005C3010" w:rsidP="00574B77">
            <w:pPr>
              <w:suppressAutoHyphens w:val="0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</w:pPr>
            <w:r w:rsidRPr="00737197"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  <w:t>2</w:t>
            </w:r>
          </w:p>
        </w:tc>
        <w:tc>
          <w:tcPr>
            <w:tcW w:w="4220" w:type="dxa"/>
            <w:tcBorders>
              <w:top w:val="single" w:sz="4" w:space="0" w:color="DBE5F1" w:themeColor="accent1" w:themeTint="33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737197" w:rsidRDefault="005C3010" w:rsidP="00574B77">
            <w:pPr>
              <w:suppressAutoHyphens w:val="0"/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</w:pPr>
            <w:r w:rsidRPr="00737197"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  <w:t>Гарантна резерва, коначни резултат</w:t>
            </w:r>
          </w:p>
        </w:tc>
        <w:tc>
          <w:tcPr>
            <w:tcW w:w="1701" w:type="dxa"/>
            <w:tcBorders>
              <w:top w:val="single" w:sz="4" w:space="0" w:color="DBE5F1" w:themeColor="accent1" w:themeTint="33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1,062,123,593</w:t>
            </w:r>
          </w:p>
        </w:tc>
        <w:tc>
          <w:tcPr>
            <w:tcW w:w="1691" w:type="dxa"/>
            <w:tcBorders>
              <w:top w:val="single" w:sz="4" w:space="0" w:color="DBE5F1" w:themeColor="accent1" w:themeTint="33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1,181,816,147</w:t>
            </w:r>
          </w:p>
        </w:tc>
        <w:tc>
          <w:tcPr>
            <w:tcW w:w="1691" w:type="dxa"/>
            <w:tcBorders>
              <w:top w:val="single" w:sz="4" w:space="0" w:color="DBE5F1" w:themeColor="accent1" w:themeTint="33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1,245,234,897</w:t>
            </w:r>
          </w:p>
        </w:tc>
        <w:tc>
          <w:tcPr>
            <w:tcW w:w="1691" w:type="dxa"/>
            <w:tcBorders>
              <w:top w:val="single" w:sz="4" w:space="0" w:color="DBE5F1" w:themeColor="accent1" w:themeTint="33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1,317,406,147</w:t>
            </w:r>
          </w:p>
        </w:tc>
      </w:tr>
      <w:tr w:rsidR="005C3010" w:rsidRPr="00737197" w:rsidTr="00D03AB5">
        <w:trPr>
          <w:trHeight w:val="397"/>
        </w:trPr>
        <w:tc>
          <w:tcPr>
            <w:tcW w:w="344" w:type="dxa"/>
            <w:tcBorders>
              <w:top w:val="nil"/>
              <w:left w:val="nil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5C3010" w:rsidRPr="00737197" w:rsidRDefault="005C3010" w:rsidP="00574B77">
            <w:pPr>
              <w:suppressAutoHyphens w:val="0"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val="sr-Cyrl-RS" w:eastAsia="sr-Latn-RS"/>
              </w:rPr>
            </w:pPr>
            <w:r w:rsidRPr="00737197">
              <w:rPr>
                <w:rFonts w:ascii="Verdana" w:hAnsi="Verdana" w:cs="Calibri"/>
                <w:b/>
                <w:color w:val="000000"/>
                <w:sz w:val="18"/>
                <w:szCs w:val="18"/>
                <w:lang w:val="sr-Cyrl-RS" w:eastAsia="sr-Latn-RS"/>
              </w:rPr>
              <w:t>3</w:t>
            </w:r>
          </w:p>
        </w:tc>
        <w:tc>
          <w:tcPr>
            <w:tcW w:w="4220" w:type="dxa"/>
            <w:tcBorders>
              <w:top w:val="nil"/>
              <w:left w:val="nil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5C3010" w:rsidRPr="00737197" w:rsidRDefault="005C3010" w:rsidP="00574B77">
            <w:pPr>
              <w:suppressAutoHyphens w:val="0"/>
              <w:rPr>
                <w:rFonts w:ascii="Verdana" w:hAnsi="Verdana" w:cs="Calibri"/>
                <w:b/>
                <w:color w:val="000000"/>
                <w:sz w:val="18"/>
                <w:szCs w:val="18"/>
                <w:lang w:val="sr-Cyrl-RS" w:eastAsia="sr-Latn-RS"/>
              </w:rPr>
            </w:pPr>
            <w:r w:rsidRPr="00737197">
              <w:rPr>
                <w:rFonts w:ascii="Verdana" w:hAnsi="Verdana" w:cs="Calibri"/>
                <w:b/>
                <w:color w:val="000000"/>
                <w:sz w:val="18"/>
                <w:szCs w:val="18"/>
                <w:lang w:val="sr-Latn-RS" w:eastAsia="sr-Latn-RS"/>
              </w:rPr>
              <w:t>УКУПНЕ РЕЗЕРВЕ</w:t>
            </w:r>
            <w:r w:rsidRPr="00737197">
              <w:rPr>
                <w:rFonts w:ascii="Verdana" w:hAnsi="Verdana" w:cs="Calibri"/>
                <w:b/>
                <w:color w:val="000000"/>
                <w:sz w:val="18"/>
                <w:szCs w:val="18"/>
                <w:lang w:val="sr-Cyrl-RS" w:eastAsia="sr-Latn-RS"/>
              </w:rPr>
              <w:t xml:space="preserve"> (1+2)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b/>
                <w:noProof/>
                <w:sz w:val="18"/>
                <w:szCs w:val="16"/>
                <w:lang w:val="sr-Cyrl-CS" w:eastAsia="en-US"/>
              </w:rPr>
              <w:t>3,213,068,815</w:t>
            </w:r>
          </w:p>
        </w:tc>
        <w:tc>
          <w:tcPr>
            <w:tcW w:w="1691" w:type="dxa"/>
            <w:tcBorders>
              <w:top w:val="nil"/>
              <w:left w:val="nil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b/>
                <w:noProof/>
                <w:sz w:val="18"/>
                <w:szCs w:val="16"/>
                <w:lang w:val="sr-Cyrl-CS" w:eastAsia="en-US"/>
              </w:rPr>
              <w:t>3,460,973,899</w:t>
            </w:r>
          </w:p>
        </w:tc>
        <w:tc>
          <w:tcPr>
            <w:tcW w:w="1691" w:type="dxa"/>
            <w:tcBorders>
              <w:top w:val="nil"/>
              <w:left w:val="nil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b/>
                <w:noProof/>
                <w:sz w:val="18"/>
                <w:szCs w:val="16"/>
                <w:lang w:val="sr-Cyrl-CS" w:eastAsia="en-US"/>
              </w:rPr>
              <w:t>3,531,025,650</w:t>
            </w:r>
          </w:p>
        </w:tc>
        <w:tc>
          <w:tcPr>
            <w:tcW w:w="1691" w:type="dxa"/>
            <w:tcBorders>
              <w:top w:val="nil"/>
              <w:left w:val="nil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b/>
                <w:noProof/>
                <w:sz w:val="18"/>
                <w:szCs w:val="16"/>
                <w:lang w:val="sr-Cyrl-CS" w:eastAsia="en-US"/>
              </w:rPr>
              <w:t>3,636,480,099</w:t>
            </w:r>
          </w:p>
        </w:tc>
      </w:tr>
      <w:tr w:rsidR="005C3010" w:rsidRPr="00737197" w:rsidTr="00D03AB5">
        <w:trPr>
          <w:trHeight w:val="283"/>
        </w:trPr>
        <w:tc>
          <w:tcPr>
            <w:tcW w:w="344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737197" w:rsidRDefault="005C3010" w:rsidP="00574B77">
            <w:pPr>
              <w:suppressAutoHyphens w:val="0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</w:pPr>
            <w:r w:rsidRPr="00737197"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  <w:t>4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737197" w:rsidRDefault="005C3010" w:rsidP="00574B77">
            <w:pPr>
              <w:suppressAutoHyphens w:val="0"/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</w:pPr>
            <w:r w:rsidRPr="00737197"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  <w:t>Инвестициони портфолио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2,451,759,114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2,474,233,315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2,529,502,974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2,567,801,452</w:t>
            </w:r>
          </w:p>
        </w:tc>
      </w:tr>
      <w:tr w:rsidR="005C3010" w:rsidRPr="00737197" w:rsidTr="00D03AB5">
        <w:trPr>
          <w:trHeight w:val="283"/>
        </w:trPr>
        <w:tc>
          <w:tcPr>
            <w:tcW w:w="344" w:type="dxa"/>
            <w:tcBorders>
              <w:top w:val="single" w:sz="4" w:space="0" w:color="DBE5F1" w:themeColor="accent1" w:themeTint="33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737197" w:rsidRDefault="005C3010" w:rsidP="00574B77">
            <w:pPr>
              <w:suppressAutoHyphens w:val="0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</w:pPr>
            <w:r w:rsidRPr="00737197"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  <w:t>5</w:t>
            </w:r>
          </w:p>
        </w:tc>
        <w:tc>
          <w:tcPr>
            <w:tcW w:w="4220" w:type="dxa"/>
            <w:tcBorders>
              <w:top w:val="single" w:sz="4" w:space="0" w:color="DBE5F1" w:themeColor="accent1" w:themeTint="33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737197" w:rsidRDefault="005C3010" w:rsidP="00574B77">
            <w:pPr>
              <w:suppressAutoHyphens w:val="0"/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  <w:t>T</w:t>
            </w:r>
            <w:r w:rsidRPr="00737197"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  <w:t>ехничке резерве ретроцесије (пасивно)</w:t>
            </w:r>
          </w:p>
        </w:tc>
        <w:tc>
          <w:tcPr>
            <w:tcW w:w="1701" w:type="dxa"/>
            <w:tcBorders>
              <w:top w:val="single" w:sz="4" w:space="0" w:color="DBE5F1" w:themeColor="accent1" w:themeTint="33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1,632,461,112</w:t>
            </w:r>
          </w:p>
        </w:tc>
        <w:tc>
          <w:tcPr>
            <w:tcW w:w="1691" w:type="dxa"/>
            <w:tcBorders>
              <w:top w:val="single" w:sz="4" w:space="0" w:color="DBE5F1" w:themeColor="accent1" w:themeTint="33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1,731,106,217</w:t>
            </w:r>
          </w:p>
        </w:tc>
        <w:tc>
          <w:tcPr>
            <w:tcW w:w="1691" w:type="dxa"/>
            <w:tcBorders>
              <w:top w:val="single" w:sz="4" w:space="0" w:color="DBE5F1" w:themeColor="accent1" w:themeTint="33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1,731,616,952</w:t>
            </w:r>
          </w:p>
        </w:tc>
        <w:tc>
          <w:tcPr>
            <w:tcW w:w="1691" w:type="dxa"/>
            <w:tcBorders>
              <w:top w:val="single" w:sz="4" w:space="0" w:color="DBE5F1" w:themeColor="accent1" w:themeTint="33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1,753,785,269</w:t>
            </w:r>
          </w:p>
        </w:tc>
      </w:tr>
      <w:tr w:rsidR="005C3010" w:rsidRPr="00737197" w:rsidTr="00D03AB5">
        <w:trPr>
          <w:trHeight w:val="624"/>
        </w:trPr>
        <w:tc>
          <w:tcPr>
            <w:tcW w:w="344" w:type="dxa"/>
            <w:tcBorders>
              <w:top w:val="nil"/>
              <w:left w:val="nil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5C3010" w:rsidRPr="00737197" w:rsidRDefault="005C3010" w:rsidP="00574B77">
            <w:pPr>
              <w:suppressAutoHyphens w:val="0"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val="sr-Cyrl-RS" w:eastAsia="sr-Latn-RS"/>
              </w:rPr>
            </w:pPr>
            <w:r w:rsidRPr="00737197">
              <w:rPr>
                <w:rFonts w:ascii="Verdana" w:hAnsi="Verdana" w:cs="Calibri"/>
                <w:b/>
                <w:color w:val="000000"/>
                <w:sz w:val="18"/>
                <w:szCs w:val="18"/>
                <w:lang w:val="sr-Cyrl-RS" w:eastAsia="sr-Latn-RS"/>
              </w:rPr>
              <w:t>6</w:t>
            </w:r>
          </w:p>
        </w:tc>
        <w:tc>
          <w:tcPr>
            <w:tcW w:w="4220" w:type="dxa"/>
            <w:tcBorders>
              <w:top w:val="nil"/>
              <w:left w:val="nil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5C3010" w:rsidRPr="00737197" w:rsidRDefault="005C3010" w:rsidP="00574B77">
            <w:pPr>
              <w:suppressAutoHyphens w:val="0"/>
              <w:rPr>
                <w:rFonts w:ascii="Verdana" w:hAnsi="Verdana" w:cs="Calibri"/>
                <w:b/>
                <w:color w:val="000000"/>
                <w:sz w:val="18"/>
                <w:szCs w:val="18"/>
                <w:lang w:val="sr-Cyrl-RS" w:eastAsia="sr-Latn-RS"/>
              </w:rPr>
            </w:pPr>
            <w:r w:rsidRPr="00737197">
              <w:rPr>
                <w:rFonts w:ascii="Verdana" w:hAnsi="Verdana" w:cs="Calibri"/>
                <w:b/>
                <w:color w:val="000000"/>
                <w:sz w:val="18"/>
                <w:szCs w:val="18"/>
                <w:lang w:val="sr-Latn-RS" w:eastAsia="sr-Latn-RS"/>
              </w:rPr>
              <w:t>УКУПНА ИМОВИНА ЗА ПОКРИЋЕ ОБАВЕЗА ПО ОСНОВУ РЕОСИГУРАЊА</w:t>
            </w:r>
            <w:r w:rsidRPr="00737197">
              <w:rPr>
                <w:rFonts w:ascii="Verdana" w:hAnsi="Verdana" w:cs="Calibri"/>
                <w:b/>
                <w:color w:val="000000"/>
                <w:sz w:val="18"/>
                <w:szCs w:val="18"/>
                <w:lang w:val="sr-Cyrl-RS" w:eastAsia="sr-Latn-RS"/>
              </w:rPr>
              <w:t xml:space="preserve"> (4+5)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b/>
                <w:noProof/>
                <w:sz w:val="18"/>
                <w:szCs w:val="16"/>
                <w:lang w:val="sr-Cyrl-CS" w:eastAsia="en-US"/>
              </w:rPr>
              <w:t>4,084,220,226</w:t>
            </w:r>
          </w:p>
        </w:tc>
        <w:tc>
          <w:tcPr>
            <w:tcW w:w="1691" w:type="dxa"/>
            <w:tcBorders>
              <w:top w:val="nil"/>
              <w:left w:val="nil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b/>
                <w:noProof/>
                <w:sz w:val="18"/>
                <w:szCs w:val="16"/>
                <w:lang w:val="sr-Cyrl-CS" w:eastAsia="en-US"/>
              </w:rPr>
              <w:t>4,205,339,532</w:t>
            </w:r>
          </w:p>
        </w:tc>
        <w:tc>
          <w:tcPr>
            <w:tcW w:w="1691" w:type="dxa"/>
            <w:tcBorders>
              <w:top w:val="nil"/>
              <w:left w:val="nil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b/>
                <w:noProof/>
                <w:sz w:val="18"/>
                <w:szCs w:val="16"/>
                <w:lang w:val="sr-Cyrl-CS" w:eastAsia="en-US"/>
              </w:rPr>
              <w:t>4,261,119,926</w:t>
            </w:r>
          </w:p>
        </w:tc>
        <w:tc>
          <w:tcPr>
            <w:tcW w:w="1691" w:type="dxa"/>
            <w:tcBorders>
              <w:top w:val="nil"/>
              <w:left w:val="nil"/>
              <w:right w:val="nil"/>
            </w:tcBorders>
            <w:shd w:val="clear" w:color="auto" w:fill="DBE5F1" w:themeFill="accent1" w:themeFillTint="33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b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b/>
                <w:noProof/>
                <w:sz w:val="18"/>
                <w:szCs w:val="16"/>
                <w:lang w:val="sr-Cyrl-CS" w:eastAsia="en-US"/>
              </w:rPr>
              <w:t>4,321,586,721</w:t>
            </w:r>
          </w:p>
        </w:tc>
      </w:tr>
      <w:tr w:rsidR="005C3010" w:rsidRPr="00737197" w:rsidTr="00D03AB5">
        <w:trPr>
          <w:trHeight w:val="340"/>
        </w:trPr>
        <w:tc>
          <w:tcPr>
            <w:tcW w:w="344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737197" w:rsidRDefault="005C3010" w:rsidP="00574B77">
            <w:pPr>
              <w:suppressAutoHyphens w:val="0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</w:pPr>
            <w:r w:rsidRPr="00737197"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  <w:t>7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737197" w:rsidRDefault="005C3010" w:rsidP="00574B77">
            <w:pPr>
              <w:suppressAutoHyphens w:val="0"/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</w:pPr>
            <w:r w:rsidRPr="00737197"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  <w:t>Слободна средства у РСД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  <w:t xml:space="preserve"> (6-3)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871,151,411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744,365,633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730,094,276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DBE5F1" w:themeColor="accent1" w:themeTint="33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685,106,622</w:t>
            </w:r>
          </w:p>
        </w:tc>
      </w:tr>
      <w:tr w:rsidR="005C3010" w:rsidRPr="00737197" w:rsidTr="00D03AB5">
        <w:trPr>
          <w:trHeight w:val="397"/>
        </w:trPr>
        <w:tc>
          <w:tcPr>
            <w:tcW w:w="344" w:type="dxa"/>
            <w:tcBorders>
              <w:top w:val="single" w:sz="4" w:space="0" w:color="DBE5F1" w:themeColor="accent1" w:themeTint="33"/>
              <w:left w:val="nil"/>
              <w:bottom w:val="single" w:sz="4" w:space="0" w:color="4F81BD" w:themeColor="accent1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737197" w:rsidRDefault="005C3010" w:rsidP="00574B77">
            <w:pPr>
              <w:suppressAutoHyphens w:val="0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</w:pPr>
            <w:r w:rsidRPr="00737197"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  <w:t>8</w:t>
            </w:r>
          </w:p>
        </w:tc>
        <w:tc>
          <w:tcPr>
            <w:tcW w:w="4220" w:type="dxa"/>
            <w:tcBorders>
              <w:top w:val="single" w:sz="4" w:space="0" w:color="DBE5F1" w:themeColor="accent1" w:themeTint="33"/>
              <w:left w:val="nil"/>
              <w:bottom w:val="single" w:sz="4" w:space="0" w:color="4F81BD" w:themeColor="accent1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737197" w:rsidRDefault="005C3010" w:rsidP="00574B77">
            <w:pPr>
              <w:suppressAutoHyphens w:val="0"/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  <w:t>Слободна средств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  <w:t>а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  <w:t xml:space="preserve"> у % </w:t>
            </w:r>
            <w:r w:rsidRPr="00737197"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  <w:t>у односу на висину укупних резерви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  <w:t xml:space="preserve"> (7/3) </w:t>
            </w:r>
          </w:p>
        </w:tc>
        <w:tc>
          <w:tcPr>
            <w:tcW w:w="1701" w:type="dxa"/>
            <w:tcBorders>
              <w:top w:val="single" w:sz="4" w:space="0" w:color="DBE5F1" w:themeColor="accent1" w:themeTint="33"/>
              <w:left w:val="nil"/>
              <w:bottom w:val="single" w:sz="4" w:space="0" w:color="4F81BD" w:themeColor="accent1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27.11%</w:t>
            </w:r>
          </w:p>
        </w:tc>
        <w:tc>
          <w:tcPr>
            <w:tcW w:w="1691" w:type="dxa"/>
            <w:tcBorders>
              <w:top w:val="single" w:sz="4" w:space="0" w:color="DBE5F1" w:themeColor="accent1" w:themeTint="33"/>
              <w:left w:val="nil"/>
              <w:bottom w:val="single" w:sz="4" w:space="0" w:color="4F81BD" w:themeColor="accent1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21.51%</w:t>
            </w:r>
          </w:p>
        </w:tc>
        <w:tc>
          <w:tcPr>
            <w:tcW w:w="1691" w:type="dxa"/>
            <w:tcBorders>
              <w:top w:val="single" w:sz="4" w:space="0" w:color="DBE5F1" w:themeColor="accent1" w:themeTint="33"/>
              <w:left w:val="nil"/>
              <w:bottom w:val="single" w:sz="4" w:space="0" w:color="4F81BD" w:themeColor="accent1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20.68%</w:t>
            </w:r>
          </w:p>
        </w:tc>
        <w:tc>
          <w:tcPr>
            <w:tcW w:w="1691" w:type="dxa"/>
            <w:tcBorders>
              <w:top w:val="single" w:sz="4" w:space="0" w:color="DBE5F1" w:themeColor="accent1" w:themeTint="33"/>
              <w:left w:val="nil"/>
              <w:bottom w:val="single" w:sz="4" w:space="0" w:color="4F81BD" w:themeColor="accent1"/>
              <w:right w:val="nil"/>
            </w:tcBorders>
            <w:shd w:val="clear" w:color="auto" w:fill="auto"/>
            <w:noWrap/>
            <w:vAlign w:val="center"/>
            <w:hideMark/>
          </w:tcPr>
          <w:p w:rsidR="005C3010" w:rsidRPr="005C3010" w:rsidRDefault="005C3010" w:rsidP="005C3010">
            <w:pPr>
              <w:suppressAutoHyphens w:val="0"/>
              <w:jc w:val="right"/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</w:pPr>
            <w:r w:rsidRPr="005C3010">
              <w:rPr>
                <w:rFonts w:ascii="Verdana" w:hAnsi="Verdana" w:cs="Arial"/>
                <w:noProof/>
                <w:sz w:val="18"/>
                <w:szCs w:val="16"/>
                <w:lang w:val="sr-Cyrl-CS" w:eastAsia="en-US"/>
              </w:rPr>
              <w:t>18.84%</w:t>
            </w:r>
          </w:p>
        </w:tc>
      </w:tr>
    </w:tbl>
    <w:p w:rsidR="005C3010" w:rsidRPr="005C3010" w:rsidRDefault="005C3010" w:rsidP="00D51543">
      <w:pPr>
        <w:spacing w:before="60" w:after="60" w:line="276" w:lineRule="auto"/>
        <w:ind w:firstLine="284"/>
        <w:jc w:val="both"/>
        <w:rPr>
          <w:rFonts w:ascii="Verdana" w:hAnsi="Verdana"/>
          <w:noProof/>
          <w:sz w:val="20"/>
          <w:szCs w:val="20"/>
          <w:lang w:val="sr-Latn-RS"/>
        </w:rPr>
      </w:pPr>
    </w:p>
    <w:p w:rsidR="005C3010" w:rsidRDefault="00D03AB5" w:rsidP="00D51543">
      <w:pPr>
        <w:pStyle w:val="Heading3"/>
        <w:tabs>
          <w:tab w:val="clear" w:pos="6870"/>
          <w:tab w:val="num" w:pos="1004"/>
        </w:tabs>
        <w:spacing w:after="240"/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159" w:name="_Toc433278735"/>
      <w:bookmarkStart w:id="160" w:name="_Toc432775089"/>
      <w:r>
        <w:rPr>
          <w:rStyle w:val="IntenseEmphasis"/>
          <w:rFonts w:ascii="Verdana" w:hAnsi="Verdana"/>
          <w:b/>
          <w:noProof/>
          <w:sz w:val="22"/>
          <w:lang w:val="sr-Cyrl-RS"/>
        </w:rPr>
        <w:t xml:space="preserve">План биланса стања </w:t>
      </w:r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за период 201</w:t>
      </w:r>
      <w:r>
        <w:rPr>
          <w:rStyle w:val="IntenseEmphasis"/>
          <w:rFonts w:ascii="Verdana" w:hAnsi="Verdana"/>
          <w:b/>
          <w:noProof/>
          <w:sz w:val="22"/>
          <w:lang w:val="sr-Cyrl-CS"/>
        </w:rPr>
        <w:t>6</w:t>
      </w:r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. – 201</w:t>
      </w:r>
      <w:r>
        <w:rPr>
          <w:rStyle w:val="IntenseEmphasis"/>
          <w:rFonts w:ascii="Verdana" w:hAnsi="Verdana"/>
          <w:b/>
          <w:noProof/>
          <w:sz w:val="22"/>
          <w:lang w:val="sr-Cyrl-CS"/>
        </w:rPr>
        <w:t>9</w:t>
      </w:r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.</w:t>
      </w:r>
      <w:r>
        <w:rPr>
          <w:rStyle w:val="IntenseEmphasis"/>
          <w:rFonts w:ascii="Verdana" w:hAnsi="Verdana"/>
          <w:b/>
          <w:noProof/>
          <w:sz w:val="22"/>
          <w:lang w:val="sr-Cyrl-CS"/>
        </w:rPr>
        <w:t xml:space="preserve"> године</w:t>
      </w:r>
      <w:bookmarkEnd w:id="159"/>
    </w:p>
    <w:p w:rsidR="00D03AB5" w:rsidRPr="00D03AB5" w:rsidRDefault="00D03AB5" w:rsidP="00D03AB5">
      <w:pPr>
        <w:spacing w:before="120" w:after="120"/>
        <w:rPr>
          <w:lang w:val="sr-Cyrl-CS"/>
        </w:rPr>
      </w:pPr>
      <w:r>
        <w:rPr>
          <w:rStyle w:val="IntenseEmphasis"/>
          <w:rFonts w:ascii="Verdana" w:eastAsia="Calibri" w:hAnsi="Verdana"/>
          <w:noProof/>
          <w:sz w:val="22"/>
          <w:lang w:val="sr-Cyrl-CS"/>
        </w:rPr>
        <w:t>Актива биланса стања на дан 31.12.</w:t>
      </w: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 xml:space="preserve"> од 2016. до 2019. године</w:t>
      </w:r>
    </w:p>
    <w:tbl>
      <w:tblPr>
        <w:tblW w:w="11246" w:type="dxa"/>
        <w:tblInd w:w="-743" w:type="dxa"/>
        <w:tblLook w:val="04A0" w:firstRow="1" w:lastRow="0" w:firstColumn="1" w:lastColumn="0" w:noHBand="0" w:noVBand="1"/>
      </w:tblPr>
      <w:tblGrid>
        <w:gridCol w:w="5671"/>
        <w:gridCol w:w="1418"/>
        <w:gridCol w:w="1417"/>
        <w:gridCol w:w="1370"/>
        <w:gridCol w:w="1370"/>
      </w:tblGrid>
      <w:tr w:rsidR="00D03AB5" w:rsidRPr="00D03AB5" w:rsidTr="00D03AB5">
        <w:trPr>
          <w:trHeight w:val="330"/>
        </w:trPr>
        <w:tc>
          <w:tcPr>
            <w:tcW w:w="5671" w:type="dxa"/>
            <w:shd w:val="clear" w:color="auto" w:fill="4F81BD" w:themeFill="accent1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418" w:type="dxa"/>
            <w:shd w:val="clear" w:color="auto" w:fill="4F81BD" w:themeFill="accent1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center"/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Latn-RS" w:eastAsia="sr-Latn-RS"/>
              </w:rPr>
              <w:t>31.12.2016</w:t>
            </w:r>
          </w:p>
        </w:tc>
        <w:tc>
          <w:tcPr>
            <w:tcW w:w="1417" w:type="dxa"/>
            <w:shd w:val="clear" w:color="auto" w:fill="4F81BD" w:themeFill="accent1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center"/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Latn-RS" w:eastAsia="sr-Latn-RS"/>
              </w:rPr>
              <w:t>31.12.2017</w:t>
            </w:r>
          </w:p>
        </w:tc>
        <w:tc>
          <w:tcPr>
            <w:tcW w:w="1370" w:type="dxa"/>
            <w:shd w:val="clear" w:color="auto" w:fill="4F81BD" w:themeFill="accent1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center"/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Latn-RS" w:eastAsia="sr-Latn-RS"/>
              </w:rPr>
              <w:t>31.12.2018</w:t>
            </w:r>
          </w:p>
        </w:tc>
        <w:tc>
          <w:tcPr>
            <w:tcW w:w="1370" w:type="dxa"/>
            <w:shd w:val="clear" w:color="auto" w:fill="4F81BD" w:themeFill="accent1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center"/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color w:val="FFFFFF" w:themeColor="background1"/>
                <w:sz w:val="18"/>
                <w:szCs w:val="18"/>
                <w:lang w:val="sr-Latn-RS" w:eastAsia="sr-Latn-RS"/>
              </w:rPr>
              <w:t>31.12.2019</w:t>
            </w:r>
          </w:p>
        </w:tc>
      </w:tr>
      <w:tr w:rsidR="00D03AB5" w:rsidRPr="00D03AB5" w:rsidTr="00D03AB5">
        <w:trPr>
          <w:trHeight w:val="300"/>
        </w:trPr>
        <w:tc>
          <w:tcPr>
            <w:tcW w:w="5671" w:type="dxa"/>
            <w:shd w:val="clear" w:color="auto" w:fill="DBE5F1" w:themeFill="accent1" w:themeFillTint="33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Cyrl-RS" w:eastAsia="sr-Latn-RS"/>
              </w:rPr>
            </w:pPr>
            <w:r w:rsidRPr="00D03AB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 xml:space="preserve">I СТАЛНА  ИМОВИНА и одложена пореска средства </w:t>
            </w:r>
          </w:p>
        </w:tc>
        <w:tc>
          <w:tcPr>
            <w:tcW w:w="1418" w:type="dxa"/>
            <w:shd w:val="clear" w:color="auto" w:fill="DBE5F1" w:themeFill="accent1" w:themeFillTint="33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333,000</w:t>
            </w:r>
          </w:p>
        </w:tc>
        <w:tc>
          <w:tcPr>
            <w:tcW w:w="1417" w:type="dxa"/>
            <w:shd w:val="clear" w:color="auto" w:fill="DBE5F1" w:themeFill="accent1" w:themeFillTint="33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81,164</w:t>
            </w:r>
          </w:p>
        </w:tc>
        <w:tc>
          <w:tcPr>
            <w:tcW w:w="1370" w:type="dxa"/>
            <w:shd w:val="clear" w:color="auto" w:fill="DBE5F1" w:themeFill="accent1" w:themeFillTint="33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76,900</w:t>
            </w:r>
          </w:p>
        </w:tc>
        <w:tc>
          <w:tcPr>
            <w:tcW w:w="1370" w:type="dxa"/>
            <w:shd w:val="clear" w:color="auto" w:fill="DBE5F1" w:themeFill="accent1" w:themeFillTint="33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72,850</w:t>
            </w:r>
          </w:p>
        </w:tc>
      </w:tr>
      <w:tr w:rsidR="00D03AB5" w:rsidRPr="00D03AB5" w:rsidTr="00D03AB5">
        <w:trPr>
          <w:trHeight w:val="300"/>
        </w:trPr>
        <w:tc>
          <w:tcPr>
            <w:tcW w:w="5671" w:type="dxa"/>
            <w:tcBorders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1.нематеријална  имовина</w:t>
            </w:r>
          </w:p>
        </w:tc>
        <w:tc>
          <w:tcPr>
            <w:tcW w:w="1418" w:type="dxa"/>
            <w:tcBorders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44,000</w:t>
            </w:r>
          </w:p>
        </w:tc>
        <w:tc>
          <w:tcPr>
            <w:tcW w:w="1417" w:type="dxa"/>
            <w:tcBorders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40,000</w:t>
            </w:r>
          </w:p>
        </w:tc>
        <w:tc>
          <w:tcPr>
            <w:tcW w:w="1370" w:type="dxa"/>
            <w:tcBorders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35,000</w:t>
            </w:r>
          </w:p>
        </w:tc>
        <w:tc>
          <w:tcPr>
            <w:tcW w:w="1370" w:type="dxa"/>
            <w:tcBorders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30,000</w:t>
            </w:r>
          </w:p>
        </w:tc>
      </w:tr>
      <w:tr w:rsidR="00D03AB5" w:rsidRPr="00D03AB5" w:rsidTr="00D03AB5">
        <w:trPr>
          <w:trHeight w:val="300"/>
        </w:trPr>
        <w:tc>
          <w:tcPr>
            <w:tcW w:w="5671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2.некретнине, постројења, опрема и биолошка средства</w:t>
            </w:r>
          </w:p>
        </w:tc>
        <w:tc>
          <w:tcPr>
            <w:tcW w:w="1418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12,000</w:t>
            </w:r>
          </w:p>
        </w:tc>
        <w:tc>
          <w:tcPr>
            <w:tcW w:w="1417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14,000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18,000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20,000</w:t>
            </w:r>
          </w:p>
        </w:tc>
      </w:tr>
      <w:tr w:rsidR="00D03AB5" w:rsidRPr="00D03AB5" w:rsidTr="00D03AB5">
        <w:trPr>
          <w:trHeight w:val="300"/>
        </w:trPr>
        <w:tc>
          <w:tcPr>
            <w:tcW w:w="5671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3.дугорочни финансијски пласмани и дугорочна потраживања</w:t>
            </w:r>
          </w:p>
        </w:tc>
        <w:tc>
          <w:tcPr>
            <w:tcW w:w="1418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277,000</w:t>
            </w:r>
          </w:p>
        </w:tc>
        <w:tc>
          <w:tcPr>
            <w:tcW w:w="1417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27,164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23,900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22,850</w:t>
            </w:r>
          </w:p>
        </w:tc>
      </w:tr>
      <w:tr w:rsidR="00D03AB5" w:rsidRPr="00D03AB5" w:rsidTr="00D03AB5">
        <w:trPr>
          <w:trHeight w:val="300"/>
        </w:trPr>
        <w:tc>
          <w:tcPr>
            <w:tcW w:w="5671" w:type="dxa"/>
            <w:tcBorders>
              <w:top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4.одложена пореска средства</w:t>
            </w:r>
          </w:p>
        </w:tc>
        <w:tc>
          <w:tcPr>
            <w:tcW w:w="1418" w:type="dxa"/>
            <w:tcBorders>
              <w:top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 </w:t>
            </w:r>
          </w:p>
        </w:tc>
        <w:tc>
          <w:tcPr>
            <w:tcW w:w="1417" w:type="dxa"/>
            <w:tcBorders>
              <w:top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 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 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 </w:t>
            </w:r>
          </w:p>
        </w:tc>
      </w:tr>
      <w:tr w:rsidR="00D03AB5" w:rsidRPr="00D03AB5" w:rsidTr="00D03AB5">
        <w:trPr>
          <w:trHeight w:val="300"/>
        </w:trPr>
        <w:tc>
          <w:tcPr>
            <w:tcW w:w="5671" w:type="dxa"/>
            <w:shd w:val="clear" w:color="auto" w:fill="DBE5F1" w:themeFill="accent1" w:themeFillTint="33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 xml:space="preserve">II  ОБРТНА  ИМОВИНА </w:t>
            </w:r>
          </w:p>
        </w:tc>
        <w:tc>
          <w:tcPr>
            <w:tcW w:w="1418" w:type="dxa"/>
            <w:shd w:val="clear" w:color="auto" w:fill="DBE5F1" w:themeFill="accent1" w:themeFillTint="33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4,849,579</w:t>
            </w:r>
          </w:p>
        </w:tc>
        <w:tc>
          <w:tcPr>
            <w:tcW w:w="1417" w:type="dxa"/>
            <w:shd w:val="clear" w:color="auto" w:fill="DBE5F1" w:themeFill="accent1" w:themeFillTint="33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5,261,214</w:t>
            </w:r>
          </w:p>
        </w:tc>
        <w:tc>
          <w:tcPr>
            <w:tcW w:w="1370" w:type="dxa"/>
            <w:shd w:val="clear" w:color="auto" w:fill="DBE5F1" w:themeFill="accent1" w:themeFillTint="33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5,354,566</w:t>
            </w:r>
          </w:p>
        </w:tc>
        <w:tc>
          <w:tcPr>
            <w:tcW w:w="1370" w:type="dxa"/>
            <w:shd w:val="clear" w:color="auto" w:fill="DBE5F1" w:themeFill="accent1" w:themeFillTint="33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5,451,751</w:t>
            </w:r>
          </w:p>
        </w:tc>
      </w:tr>
      <w:tr w:rsidR="00D03AB5" w:rsidRPr="00D03AB5" w:rsidTr="00D03AB5">
        <w:trPr>
          <w:trHeight w:val="300"/>
        </w:trPr>
        <w:tc>
          <w:tcPr>
            <w:tcW w:w="5671" w:type="dxa"/>
            <w:tcBorders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1. залихе</w:t>
            </w:r>
          </w:p>
        </w:tc>
        <w:tc>
          <w:tcPr>
            <w:tcW w:w="1418" w:type="dxa"/>
            <w:tcBorders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150</w:t>
            </w:r>
          </w:p>
        </w:tc>
        <w:tc>
          <w:tcPr>
            <w:tcW w:w="1370" w:type="dxa"/>
            <w:tcBorders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100</w:t>
            </w:r>
          </w:p>
        </w:tc>
        <w:tc>
          <w:tcPr>
            <w:tcW w:w="1370" w:type="dxa"/>
            <w:tcBorders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200</w:t>
            </w:r>
          </w:p>
        </w:tc>
      </w:tr>
      <w:tr w:rsidR="00D03AB5" w:rsidRPr="00D03AB5" w:rsidTr="00D03AB5">
        <w:trPr>
          <w:trHeight w:val="300"/>
        </w:trPr>
        <w:tc>
          <w:tcPr>
            <w:tcW w:w="5671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2. краткорочна потраживања</w:t>
            </w:r>
          </w:p>
        </w:tc>
        <w:tc>
          <w:tcPr>
            <w:tcW w:w="1418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1,042,268</w:t>
            </w:r>
          </w:p>
        </w:tc>
        <w:tc>
          <w:tcPr>
            <w:tcW w:w="1417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1,080,726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1,116,346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1,151,965</w:t>
            </w:r>
          </w:p>
        </w:tc>
      </w:tr>
      <w:tr w:rsidR="00D03AB5" w:rsidRPr="00D03AB5" w:rsidTr="00D03AB5">
        <w:trPr>
          <w:trHeight w:val="300"/>
        </w:trPr>
        <w:tc>
          <w:tcPr>
            <w:tcW w:w="5671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3. краткорочни пласмани, готовина и готовински екививаленти</w:t>
            </w:r>
          </w:p>
        </w:tc>
        <w:tc>
          <w:tcPr>
            <w:tcW w:w="1418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2,174,759</w:t>
            </w:r>
          </w:p>
        </w:tc>
        <w:tc>
          <w:tcPr>
            <w:tcW w:w="1417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2,449,233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2,506,503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2,545,801</w:t>
            </w:r>
          </w:p>
        </w:tc>
      </w:tr>
      <w:tr w:rsidR="00D03AB5" w:rsidRPr="00D03AB5" w:rsidTr="00D03AB5">
        <w:trPr>
          <w:trHeight w:val="300"/>
        </w:trPr>
        <w:tc>
          <w:tcPr>
            <w:tcW w:w="5671" w:type="dxa"/>
            <w:tcBorders>
              <w:top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4. порез  на  додату  вредност и авр</w:t>
            </w:r>
          </w:p>
        </w:tc>
        <w:tc>
          <w:tcPr>
            <w:tcW w:w="1418" w:type="dxa"/>
            <w:tcBorders>
              <w:top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1,632,462</w:t>
            </w:r>
          </w:p>
        </w:tc>
        <w:tc>
          <w:tcPr>
            <w:tcW w:w="1417" w:type="dxa"/>
            <w:tcBorders>
              <w:top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1,731,105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1,731,617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1,753,785</w:t>
            </w:r>
          </w:p>
        </w:tc>
      </w:tr>
      <w:tr w:rsidR="00D03AB5" w:rsidRPr="00D03AB5" w:rsidTr="00D03AB5">
        <w:trPr>
          <w:trHeight w:val="300"/>
        </w:trPr>
        <w:tc>
          <w:tcPr>
            <w:tcW w:w="5671" w:type="dxa"/>
            <w:shd w:val="clear" w:color="auto" w:fill="4F81BD" w:themeFill="accent1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rPr>
                <w:rFonts w:ascii="Verdana" w:hAnsi="Verdana" w:cs="Calibri"/>
                <w:b/>
                <w:bCs/>
                <w:color w:val="FFFFFF" w:themeColor="background1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bCs/>
                <w:color w:val="FFFFFF" w:themeColor="background1"/>
                <w:sz w:val="18"/>
                <w:szCs w:val="18"/>
                <w:lang w:val="sr-Latn-RS" w:eastAsia="sr-Latn-RS"/>
              </w:rPr>
              <w:t>УКУПНА  АКТИВА = ПОСЛОВНА ИМОВИНА  ( I + II )</w:t>
            </w:r>
          </w:p>
        </w:tc>
        <w:tc>
          <w:tcPr>
            <w:tcW w:w="1418" w:type="dxa"/>
            <w:shd w:val="clear" w:color="auto" w:fill="4F81BD" w:themeFill="accent1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FFFFFF" w:themeColor="background1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bCs/>
                <w:color w:val="FFFFFF" w:themeColor="background1"/>
                <w:sz w:val="18"/>
                <w:szCs w:val="18"/>
                <w:lang w:val="sr-Latn-RS" w:eastAsia="sr-Latn-RS"/>
              </w:rPr>
              <w:t>5,182,579</w:t>
            </w:r>
          </w:p>
        </w:tc>
        <w:tc>
          <w:tcPr>
            <w:tcW w:w="1417" w:type="dxa"/>
            <w:shd w:val="clear" w:color="auto" w:fill="4F81BD" w:themeFill="accent1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FFFFFF" w:themeColor="background1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bCs/>
                <w:color w:val="FFFFFF" w:themeColor="background1"/>
                <w:sz w:val="18"/>
                <w:szCs w:val="18"/>
                <w:lang w:val="sr-Latn-RS" w:eastAsia="sr-Latn-RS"/>
              </w:rPr>
              <w:t>5,342,378</w:t>
            </w:r>
          </w:p>
        </w:tc>
        <w:tc>
          <w:tcPr>
            <w:tcW w:w="1370" w:type="dxa"/>
            <w:shd w:val="clear" w:color="auto" w:fill="4F81BD" w:themeFill="accent1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FFFFFF" w:themeColor="background1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bCs/>
                <w:color w:val="FFFFFF" w:themeColor="background1"/>
                <w:sz w:val="18"/>
                <w:szCs w:val="18"/>
                <w:lang w:val="sr-Latn-RS" w:eastAsia="sr-Latn-RS"/>
              </w:rPr>
              <w:t>5,431,466</w:t>
            </w:r>
          </w:p>
        </w:tc>
        <w:tc>
          <w:tcPr>
            <w:tcW w:w="1370" w:type="dxa"/>
            <w:shd w:val="clear" w:color="auto" w:fill="4F81BD" w:themeFill="accent1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FFFFFF" w:themeColor="background1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b/>
                <w:bCs/>
                <w:color w:val="FFFFFF" w:themeColor="background1"/>
                <w:sz w:val="18"/>
                <w:szCs w:val="18"/>
                <w:lang w:val="sr-Latn-RS" w:eastAsia="sr-Latn-RS"/>
              </w:rPr>
              <w:t>5,524,601</w:t>
            </w:r>
          </w:p>
        </w:tc>
      </w:tr>
      <w:tr w:rsidR="00D03AB5" w:rsidRPr="00D03AB5" w:rsidTr="00D03AB5">
        <w:trPr>
          <w:trHeight w:val="300"/>
        </w:trPr>
        <w:tc>
          <w:tcPr>
            <w:tcW w:w="5671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  <w:t>ВАНБИЛАНСНА  АКТИВА</w:t>
            </w:r>
          </w:p>
        </w:tc>
        <w:tc>
          <w:tcPr>
            <w:tcW w:w="1418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</w:pPr>
            <w:r w:rsidRPr="00D03AB5"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  <w:t> </w:t>
            </w:r>
            <w:r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  <w:t>0</w:t>
            </w:r>
            <w:r w:rsidRPr="00D03AB5"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370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  <w:t>0</w:t>
            </w:r>
            <w:r w:rsidRPr="00D03AB5"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370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  <w:noWrap/>
            <w:vAlign w:val="center"/>
            <w:hideMark/>
          </w:tcPr>
          <w:p w:rsidR="00D03AB5" w:rsidRPr="00D03AB5" w:rsidRDefault="00D03AB5" w:rsidP="00D03AB5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val="sr-Cyrl-RS" w:eastAsia="sr-Latn-RS"/>
              </w:rPr>
              <w:t>0</w:t>
            </w:r>
            <w:r w:rsidRPr="00D03AB5">
              <w:rPr>
                <w:rFonts w:ascii="Verdana" w:hAnsi="Verdana" w:cs="Calibri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</w:tr>
    </w:tbl>
    <w:p w:rsidR="00D03AB5" w:rsidRDefault="00D03AB5" w:rsidP="00D03AB5">
      <w:pPr>
        <w:spacing w:before="120" w:after="120"/>
        <w:rPr>
          <w:rStyle w:val="IntenseEmphasis"/>
          <w:rFonts w:ascii="Verdana" w:eastAsia="Calibri" w:hAnsi="Verdana"/>
          <w:noProof/>
          <w:sz w:val="22"/>
          <w:lang w:val="sr-Cyrl-CS"/>
        </w:rPr>
      </w:pPr>
    </w:p>
    <w:p w:rsidR="00D03AB5" w:rsidRDefault="00D03AB5" w:rsidP="00D03AB5">
      <w:pPr>
        <w:spacing w:before="120" w:after="120"/>
        <w:rPr>
          <w:rStyle w:val="IntenseEmphasis"/>
          <w:rFonts w:ascii="Verdana" w:eastAsia="Calibri" w:hAnsi="Verdana"/>
          <w:noProof/>
          <w:sz w:val="22"/>
          <w:lang w:val="sr-Cyrl-CS"/>
        </w:rPr>
      </w:pPr>
    </w:p>
    <w:p w:rsidR="00D03AB5" w:rsidRPr="00D03AB5" w:rsidRDefault="00D03AB5" w:rsidP="00D03AB5">
      <w:pPr>
        <w:spacing w:before="120" w:after="120"/>
        <w:rPr>
          <w:lang w:val="sr-Cyrl-CS"/>
        </w:rPr>
      </w:pPr>
      <w:r>
        <w:rPr>
          <w:rStyle w:val="IntenseEmphasis"/>
          <w:rFonts w:ascii="Verdana" w:eastAsia="Calibri" w:hAnsi="Verdana"/>
          <w:noProof/>
          <w:sz w:val="22"/>
          <w:lang w:val="sr-Cyrl-CS"/>
        </w:rPr>
        <w:t>Пасива биланса стања на дан 31.12.</w:t>
      </w:r>
      <w:r w:rsidRPr="00272017">
        <w:rPr>
          <w:rStyle w:val="IntenseEmphasis"/>
          <w:rFonts w:ascii="Verdana" w:eastAsia="Calibri" w:hAnsi="Verdana"/>
          <w:noProof/>
          <w:sz w:val="22"/>
          <w:lang w:val="sr-Cyrl-CS"/>
        </w:rPr>
        <w:t xml:space="preserve"> од 2016. до 2019. године</w:t>
      </w:r>
    </w:p>
    <w:tbl>
      <w:tblPr>
        <w:tblW w:w="11246" w:type="dxa"/>
        <w:tblInd w:w="-743" w:type="dxa"/>
        <w:tblLook w:val="04A0" w:firstRow="1" w:lastRow="0" w:firstColumn="1" w:lastColumn="0" w:noHBand="0" w:noVBand="1"/>
      </w:tblPr>
      <w:tblGrid>
        <w:gridCol w:w="5671"/>
        <w:gridCol w:w="1418"/>
        <w:gridCol w:w="1417"/>
        <w:gridCol w:w="1370"/>
        <w:gridCol w:w="1370"/>
      </w:tblGrid>
      <w:tr w:rsidR="00D03AB5" w:rsidRPr="000F1A33" w:rsidTr="000F1A33">
        <w:trPr>
          <w:trHeight w:val="454"/>
        </w:trPr>
        <w:tc>
          <w:tcPr>
            <w:tcW w:w="5671" w:type="dxa"/>
            <w:shd w:val="clear" w:color="auto" w:fill="4F81BD" w:themeFill="accent1"/>
            <w:noWrap/>
            <w:vAlign w:val="center"/>
            <w:hideMark/>
          </w:tcPr>
          <w:p w:rsidR="00D03AB5" w:rsidRPr="00D03AB5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noProof/>
                <w:color w:val="FFFFFF" w:themeColor="background1"/>
                <w:sz w:val="18"/>
                <w:szCs w:val="18"/>
                <w:lang w:val="sr-Cyrl-RS" w:eastAsia="sr-Latn-RS"/>
              </w:rPr>
            </w:pPr>
            <w:r w:rsidRPr="00D03AB5">
              <w:rPr>
                <w:rFonts w:ascii="Verdana" w:hAnsi="Verdana" w:cs="Calibri"/>
                <w:b/>
                <w:noProof/>
                <w:color w:val="FFFFFF" w:themeColor="background1"/>
                <w:sz w:val="18"/>
                <w:szCs w:val="18"/>
                <w:lang w:val="sr-Cyrl-RS" w:eastAsia="sr-Latn-RS"/>
              </w:rPr>
              <w:t> </w:t>
            </w:r>
          </w:p>
        </w:tc>
        <w:tc>
          <w:tcPr>
            <w:tcW w:w="1418" w:type="dxa"/>
            <w:shd w:val="clear" w:color="auto" w:fill="4F81BD" w:themeFill="accent1"/>
            <w:noWrap/>
            <w:vAlign w:val="center"/>
            <w:hideMark/>
          </w:tcPr>
          <w:p w:rsidR="00D03AB5" w:rsidRPr="00D03AB5" w:rsidRDefault="00D03AB5" w:rsidP="000F1A33">
            <w:pPr>
              <w:suppressAutoHyphens w:val="0"/>
              <w:jc w:val="center"/>
              <w:rPr>
                <w:rFonts w:ascii="Verdana" w:hAnsi="Verdana" w:cs="Calibri"/>
                <w:b/>
                <w:noProof/>
                <w:color w:val="FFFFFF" w:themeColor="background1"/>
                <w:sz w:val="18"/>
                <w:szCs w:val="18"/>
                <w:lang w:val="sr-Cyrl-RS" w:eastAsia="sr-Latn-RS"/>
              </w:rPr>
            </w:pPr>
            <w:r w:rsidRPr="00D03AB5">
              <w:rPr>
                <w:rFonts w:ascii="Verdana" w:hAnsi="Verdana" w:cs="Calibri"/>
                <w:b/>
                <w:noProof/>
                <w:color w:val="FFFFFF" w:themeColor="background1"/>
                <w:sz w:val="18"/>
                <w:szCs w:val="18"/>
                <w:lang w:val="sr-Cyrl-RS" w:eastAsia="sr-Latn-RS"/>
              </w:rPr>
              <w:t>31.12.2016</w:t>
            </w:r>
          </w:p>
        </w:tc>
        <w:tc>
          <w:tcPr>
            <w:tcW w:w="1417" w:type="dxa"/>
            <w:shd w:val="clear" w:color="auto" w:fill="4F81BD" w:themeFill="accent1"/>
            <w:noWrap/>
            <w:vAlign w:val="center"/>
            <w:hideMark/>
          </w:tcPr>
          <w:p w:rsidR="00D03AB5" w:rsidRPr="00D03AB5" w:rsidRDefault="00D03AB5" w:rsidP="000F1A33">
            <w:pPr>
              <w:suppressAutoHyphens w:val="0"/>
              <w:jc w:val="center"/>
              <w:rPr>
                <w:rFonts w:ascii="Verdana" w:hAnsi="Verdana" w:cs="Calibri"/>
                <w:b/>
                <w:noProof/>
                <w:color w:val="FFFFFF" w:themeColor="background1"/>
                <w:sz w:val="18"/>
                <w:szCs w:val="18"/>
                <w:lang w:val="sr-Cyrl-RS" w:eastAsia="sr-Latn-RS"/>
              </w:rPr>
            </w:pPr>
            <w:r w:rsidRPr="00D03AB5">
              <w:rPr>
                <w:rFonts w:ascii="Verdana" w:hAnsi="Verdana" w:cs="Calibri"/>
                <w:b/>
                <w:noProof/>
                <w:color w:val="FFFFFF" w:themeColor="background1"/>
                <w:sz w:val="18"/>
                <w:szCs w:val="18"/>
                <w:lang w:val="sr-Cyrl-RS" w:eastAsia="sr-Latn-RS"/>
              </w:rPr>
              <w:t>31.12.2017</w:t>
            </w:r>
          </w:p>
        </w:tc>
        <w:tc>
          <w:tcPr>
            <w:tcW w:w="1370" w:type="dxa"/>
            <w:shd w:val="clear" w:color="auto" w:fill="4F81BD" w:themeFill="accent1"/>
            <w:noWrap/>
            <w:vAlign w:val="center"/>
            <w:hideMark/>
          </w:tcPr>
          <w:p w:rsidR="00D03AB5" w:rsidRPr="00D03AB5" w:rsidRDefault="00D03AB5" w:rsidP="000F1A33">
            <w:pPr>
              <w:suppressAutoHyphens w:val="0"/>
              <w:jc w:val="center"/>
              <w:rPr>
                <w:rFonts w:ascii="Verdana" w:hAnsi="Verdana" w:cs="Calibri"/>
                <w:b/>
                <w:noProof/>
                <w:color w:val="FFFFFF" w:themeColor="background1"/>
                <w:sz w:val="18"/>
                <w:szCs w:val="18"/>
                <w:lang w:val="sr-Cyrl-RS" w:eastAsia="sr-Latn-RS"/>
              </w:rPr>
            </w:pPr>
            <w:r w:rsidRPr="00D03AB5">
              <w:rPr>
                <w:rFonts w:ascii="Verdana" w:hAnsi="Verdana" w:cs="Calibri"/>
                <w:b/>
                <w:noProof/>
                <w:color w:val="FFFFFF" w:themeColor="background1"/>
                <w:sz w:val="18"/>
                <w:szCs w:val="18"/>
                <w:lang w:val="sr-Cyrl-RS" w:eastAsia="sr-Latn-RS"/>
              </w:rPr>
              <w:t>31.12.2018</w:t>
            </w:r>
          </w:p>
        </w:tc>
        <w:tc>
          <w:tcPr>
            <w:tcW w:w="1370" w:type="dxa"/>
            <w:shd w:val="clear" w:color="auto" w:fill="4F81BD" w:themeFill="accent1"/>
            <w:noWrap/>
            <w:vAlign w:val="center"/>
            <w:hideMark/>
          </w:tcPr>
          <w:p w:rsidR="00D03AB5" w:rsidRPr="00D03AB5" w:rsidRDefault="00D03AB5" w:rsidP="000F1A33">
            <w:pPr>
              <w:suppressAutoHyphens w:val="0"/>
              <w:jc w:val="center"/>
              <w:rPr>
                <w:rFonts w:ascii="Verdana" w:hAnsi="Verdana" w:cs="Calibri"/>
                <w:b/>
                <w:noProof/>
                <w:color w:val="FFFFFF" w:themeColor="background1"/>
                <w:sz w:val="18"/>
                <w:szCs w:val="18"/>
                <w:lang w:val="sr-Cyrl-RS" w:eastAsia="sr-Latn-RS"/>
              </w:rPr>
            </w:pPr>
            <w:r w:rsidRPr="00D03AB5">
              <w:rPr>
                <w:rFonts w:ascii="Verdana" w:hAnsi="Verdana" w:cs="Calibri"/>
                <w:b/>
                <w:noProof/>
                <w:color w:val="FFFFFF" w:themeColor="background1"/>
                <w:sz w:val="18"/>
                <w:szCs w:val="18"/>
                <w:lang w:val="sr-Cyrl-RS" w:eastAsia="sr-Latn-RS"/>
              </w:rPr>
              <w:t>31.12.2019</w:t>
            </w:r>
          </w:p>
        </w:tc>
      </w:tr>
      <w:tr w:rsidR="00D03AB5" w:rsidRPr="000F1A33" w:rsidTr="000F1A33">
        <w:trPr>
          <w:trHeight w:val="397"/>
        </w:trPr>
        <w:tc>
          <w:tcPr>
            <w:tcW w:w="5671" w:type="dxa"/>
            <w:shd w:val="clear" w:color="auto" w:fill="DBE5F1" w:themeFill="accent1" w:themeFillTint="33"/>
            <w:noWrap/>
            <w:vAlign w:val="center"/>
            <w:hideMark/>
          </w:tcPr>
          <w:p w:rsidR="00D03AB5" w:rsidRPr="000F1A33" w:rsidRDefault="00D03AB5" w:rsidP="000F1A33">
            <w:pPr>
              <w:rPr>
                <w:noProof/>
                <w:lang w:val="sr-Cyrl-RS"/>
              </w:rPr>
            </w:pPr>
            <w:r w:rsidRPr="000F1A33">
              <w:rPr>
                <w:rFonts w:ascii="Verdana" w:hAnsi="Verdana" w:cs="Calibri"/>
                <w:b/>
                <w:bCs/>
                <w:noProof/>
                <w:color w:val="000000"/>
                <w:sz w:val="18"/>
                <w:szCs w:val="18"/>
                <w:lang w:val="sr-Cyrl-RS" w:eastAsia="sr-Latn-RS"/>
              </w:rPr>
              <w:t>I  КАПИТАЛ  ( 1+2+3+4+5-6-7+8)</w:t>
            </w:r>
          </w:p>
        </w:tc>
        <w:tc>
          <w:tcPr>
            <w:tcW w:w="1418" w:type="dxa"/>
            <w:shd w:val="clear" w:color="auto" w:fill="DBE5F1" w:themeFill="accent1" w:themeFillTint="33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1,611,376</w:t>
            </w:r>
          </w:p>
        </w:tc>
        <w:tc>
          <w:tcPr>
            <w:tcW w:w="1417" w:type="dxa"/>
            <w:shd w:val="clear" w:color="auto" w:fill="DBE5F1" w:themeFill="accent1" w:themeFillTint="33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1,723,422</w:t>
            </w:r>
          </w:p>
        </w:tc>
        <w:tc>
          <w:tcPr>
            <w:tcW w:w="1370" w:type="dxa"/>
            <w:shd w:val="clear" w:color="auto" w:fill="DBE5F1" w:themeFill="accent1" w:themeFillTint="33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1,883,618</w:t>
            </w:r>
          </w:p>
        </w:tc>
        <w:tc>
          <w:tcPr>
            <w:tcW w:w="1370" w:type="dxa"/>
            <w:shd w:val="clear" w:color="auto" w:fill="DBE5F1" w:themeFill="accent1" w:themeFillTint="33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2,062,352</w:t>
            </w:r>
          </w:p>
        </w:tc>
      </w:tr>
      <w:tr w:rsidR="00D03AB5" w:rsidRPr="000F1A33" w:rsidTr="000F1A33">
        <w:trPr>
          <w:trHeight w:val="397"/>
        </w:trPr>
        <w:tc>
          <w:tcPr>
            <w:tcW w:w="5671" w:type="dxa"/>
            <w:tcBorders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rPr>
                <w:rFonts w:ascii="Verdana" w:hAnsi="Verdana" w:cs="Calibri"/>
                <w:noProof/>
                <w:color w:val="000000"/>
                <w:sz w:val="16"/>
                <w:szCs w:val="18"/>
                <w:lang w:val="sr-Cyrl-RS" w:eastAsia="sr-Latn-RS"/>
              </w:rPr>
            </w:pPr>
            <w:r w:rsidRPr="000F1A33">
              <w:rPr>
                <w:rFonts w:ascii="Verdana" w:hAnsi="Verdana" w:cs="Calibri"/>
                <w:noProof/>
                <w:color w:val="000000"/>
                <w:sz w:val="16"/>
                <w:szCs w:val="18"/>
                <w:lang w:val="sr-Cyrl-RS" w:eastAsia="sr-Latn-RS"/>
              </w:rPr>
              <w:t>1. Основни и остали капитал</w:t>
            </w:r>
          </w:p>
        </w:tc>
        <w:tc>
          <w:tcPr>
            <w:tcW w:w="1418" w:type="dxa"/>
            <w:tcBorders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768,246</w:t>
            </w:r>
          </w:p>
        </w:tc>
        <w:tc>
          <w:tcPr>
            <w:tcW w:w="1417" w:type="dxa"/>
            <w:tcBorders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768,246</w:t>
            </w:r>
          </w:p>
        </w:tc>
        <w:tc>
          <w:tcPr>
            <w:tcW w:w="1370" w:type="dxa"/>
            <w:tcBorders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768,246</w:t>
            </w:r>
          </w:p>
        </w:tc>
        <w:tc>
          <w:tcPr>
            <w:tcW w:w="1370" w:type="dxa"/>
            <w:tcBorders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768,246</w:t>
            </w:r>
          </w:p>
        </w:tc>
      </w:tr>
      <w:tr w:rsidR="00D03AB5" w:rsidRPr="000F1A33" w:rsidTr="000F1A33">
        <w:trPr>
          <w:trHeight w:val="397"/>
        </w:trPr>
        <w:tc>
          <w:tcPr>
            <w:tcW w:w="5671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rPr>
                <w:rFonts w:ascii="Verdana" w:hAnsi="Verdana" w:cs="Calibri"/>
                <w:noProof/>
                <w:color w:val="000000"/>
                <w:sz w:val="16"/>
                <w:szCs w:val="18"/>
                <w:lang w:val="sr-Cyrl-RS" w:eastAsia="sr-Latn-RS"/>
              </w:rPr>
            </w:pPr>
            <w:r w:rsidRPr="000F1A33">
              <w:rPr>
                <w:rFonts w:ascii="Verdana" w:hAnsi="Verdana" w:cs="Calibri"/>
                <w:noProof/>
                <w:color w:val="000000"/>
                <w:sz w:val="16"/>
                <w:szCs w:val="18"/>
                <w:lang w:val="sr-Cyrl-RS" w:eastAsia="sr-Latn-RS"/>
              </w:rPr>
              <w:t>2. Уписани а неуплаћени капитал</w:t>
            </w:r>
          </w:p>
        </w:tc>
        <w:tc>
          <w:tcPr>
            <w:tcW w:w="1418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  <w:t>0</w:t>
            </w:r>
          </w:p>
        </w:tc>
        <w:tc>
          <w:tcPr>
            <w:tcW w:w="1417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  <w:t>0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  <w:t>0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  <w:t>0</w:t>
            </w:r>
          </w:p>
        </w:tc>
      </w:tr>
      <w:tr w:rsidR="00D03AB5" w:rsidRPr="000F1A33" w:rsidTr="000F1A33">
        <w:trPr>
          <w:trHeight w:val="397"/>
        </w:trPr>
        <w:tc>
          <w:tcPr>
            <w:tcW w:w="5671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rPr>
                <w:rFonts w:ascii="Verdana" w:hAnsi="Verdana" w:cs="Calibri"/>
                <w:noProof/>
                <w:color w:val="000000"/>
                <w:sz w:val="16"/>
                <w:szCs w:val="18"/>
                <w:lang w:val="sr-Cyrl-RS" w:eastAsia="sr-Latn-RS"/>
              </w:rPr>
            </w:pPr>
            <w:r w:rsidRPr="000F1A33">
              <w:rPr>
                <w:rFonts w:ascii="Verdana" w:hAnsi="Verdana" w:cs="Calibri"/>
                <w:noProof/>
                <w:color w:val="000000"/>
                <w:sz w:val="16"/>
                <w:szCs w:val="18"/>
                <w:lang w:val="sr-Cyrl-RS" w:eastAsia="sr-Latn-RS"/>
              </w:rPr>
              <w:t>3. Резерве</w:t>
            </w:r>
          </w:p>
        </w:tc>
        <w:tc>
          <w:tcPr>
            <w:tcW w:w="1418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211,756</w:t>
            </w:r>
          </w:p>
        </w:tc>
        <w:tc>
          <w:tcPr>
            <w:tcW w:w="1417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211,756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211,756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211,756</w:t>
            </w:r>
          </w:p>
        </w:tc>
      </w:tr>
      <w:tr w:rsidR="00D03AB5" w:rsidRPr="000F1A33" w:rsidTr="000F1A33">
        <w:trPr>
          <w:trHeight w:val="397"/>
        </w:trPr>
        <w:tc>
          <w:tcPr>
            <w:tcW w:w="5671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ind w:left="317" w:hanging="317"/>
              <w:rPr>
                <w:rFonts w:ascii="Verdana" w:hAnsi="Verdana" w:cs="Calibri"/>
                <w:noProof/>
                <w:color w:val="000000"/>
                <w:sz w:val="16"/>
                <w:szCs w:val="18"/>
                <w:lang w:val="sr-Cyrl-RS" w:eastAsia="sr-Latn-RS"/>
              </w:rPr>
            </w:pPr>
            <w:r w:rsidRPr="000F1A33">
              <w:rPr>
                <w:rFonts w:ascii="Verdana" w:hAnsi="Verdana" w:cs="Calibri"/>
                <w:noProof/>
                <w:color w:val="000000"/>
                <w:sz w:val="16"/>
                <w:szCs w:val="18"/>
                <w:lang w:val="sr-Cyrl-RS" w:eastAsia="sr-Latn-RS"/>
              </w:rPr>
              <w:t>4. Ревалоризационе  резерве  и нереализовани  добици и  губици  по  основу  ХОВ и других компоненти осталог свеобухватног резултата</w:t>
            </w:r>
          </w:p>
        </w:tc>
        <w:tc>
          <w:tcPr>
            <w:tcW w:w="1418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43,000</w:t>
            </w:r>
          </w:p>
        </w:tc>
        <w:tc>
          <w:tcPr>
            <w:tcW w:w="1417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37,000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37,000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37,000</w:t>
            </w:r>
          </w:p>
        </w:tc>
      </w:tr>
      <w:tr w:rsidR="00D03AB5" w:rsidRPr="000F1A33" w:rsidTr="000F1A33">
        <w:trPr>
          <w:trHeight w:val="397"/>
        </w:trPr>
        <w:tc>
          <w:tcPr>
            <w:tcW w:w="5671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rPr>
                <w:rFonts w:ascii="Verdana" w:hAnsi="Verdana" w:cs="Calibri"/>
                <w:noProof/>
                <w:color w:val="000000"/>
                <w:sz w:val="16"/>
                <w:szCs w:val="18"/>
                <w:lang w:val="sr-Cyrl-RS" w:eastAsia="sr-Latn-RS"/>
              </w:rPr>
            </w:pPr>
            <w:r w:rsidRPr="000F1A33">
              <w:rPr>
                <w:rFonts w:ascii="Verdana" w:hAnsi="Verdana" w:cs="Calibri"/>
                <w:noProof/>
                <w:color w:val="000000"/>
                <w:sz w:val="16"/>
                <w:szCs w:val="18"/>
                <w:lang w:val="sr-Cyrl-RS" w:eastAsia="sr-Latn-RS"/>
              </w:rPr>
              <w:t>5. Нераспоређени  добитак</w:t>
            </w:r>
          </w:p>
        </w:tc>
        <w:tc>
          <w:tcPr>
            <w:tcW w:w="1418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494,505</w:t>
            </w:r>
          </w:p>
        </w:tc>
        <w:tc>
          <w:tcPr>
            <w:tcW w:w="1417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588,374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706,420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866,616</w:t>
            </w:r>
          </w:p>
        </w:tc>
      </w:tr>
      <w:tr w:rsidR="00D03AB5" w:rsidRPr="000F1A33" w:rsidTr="000F1A33">
        <w:trPr>
          <w:trHeight w:val="397"/>
        </w:trPr>
        <w:tc>
          <w:tcPr>
            <w:tcW w:w="5671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rPr>
                <w:rFonts w:ascii="Verdana" w:hAnsi="Verdana" w:cs="Calibri"/>
                <w:noProof/>
                <w:color w:val="000000"/>
                <w:sz w:val="16"/>
                <w:szCs w:val="18"/>
                <w:lang w:val="sr-Cyrl-RS" w:eastAsia="sr-Latn-RS"/>
              </w:rPr>
            </w:pPr>
            <w:r w:rsidRPr="000F1A33">
              <w:rPr>
                <w:rFonts w:ascii="Verdana" w:hAnsi="Verdana" w:cs="Calibri"/>
                <w:noProof/>
                <w:color w:val="000000"/>
                <w:sz w:val="16"/>
                <w:szCs w:val="18"/>
                <w:lang w:val="sr-Cyrl-RS" w:eastAsia="sr-Latn-RS"/>
              </w:rPr>
              <w:t>6. Нераспоређени  добитак текућег периода</w:t>
            </w:r>
          </w:p>
        </w:tc>
        <w:tc>
          <w:tcPr>
            <w:tcW w:w="1418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93,868</w:t>
            </w:r>
          </w:p>
        </w:tc>
        <w:tc>
          <w:tcPr>
            <w:tcW w:w="1417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118,047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160,196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color w:val="000000"/>
                <w:sz w:val="16"/>
                <w:szCs w:val="18"/>
                <w:lang w:val="sr-Latn-RS" w:eastAsia="sr-Latn-RS"/>
              </w:rPr>
              <w:t>178,735</w:t>
            </w:r>
          </w:p>
        </w:tc>
      </w:tr>
      <w:tr w:rsidR="00D03AB5" w:rsidRPr="000F1A33" w:rsidTr="000F1A33">
        <w:trPr>
          <w:trHeight w:val="397"/>
        </w:trPr>
        <w:tc>
          <w:tcPr>
            <w:tcW w:w="5671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rPr>
                <w:rFonts w:ascii="Verdana" w:hAnsi="Verdana" w:cs="Calibri"/>
                <w:noProof/>
                <w:color w:val="000000"/>
                <w:sz w:val="16"/>
                <w:szCs w:val="18"/>
                <w:lang w:val="sr-Cyrl-RS" w:eastAsia="sr-Latn-RS"/>
              </w:rPr>
            </w:pPr>
            <w:r w:rsidRPr="000F1A33">
              <w:rPr>
                <w:rFonts w:ascii="Verdana" w:hAnsi="Verdana" w:cs="Calibri"/>
                <w:noProof/>
                <w:color w:val="000000"/>
                <w:sz w:val="16"/>
                <w:szCs w:val="18"/>
                <w:lang w:val="sr-Cyrl-RS" w:eastAsia="sr-Latn-RS"/>
              </w:rPr>
              <w:t>7. Губитак  до  висине  капитала</w:t>
            </w:r>
          </w:p>
        </w:tc>
        <w:tc>
          <w:tcPr>
            <w:tcW w:w="1418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  <w:t>0</w:t>
            </w:r>
          </w:p>
        </w:tc>
        <w:tc>
          <w:tcPr>
            <w:tcW w:w="1417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  <w:t>0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  <w:t>0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  <w:t>0</w:t>
            </w:r>
          </w:p>
        </w:tc>
      </w:tr>
      <w:tr w:rsidR="00D03AB5" w:rsidRPr="000F1A33" w:rsidTr="000F1A33">
        <w:trPr>
          <w:trHeight w:val="397"/>
        </w:trPr>
        <w:tc>
          <w:tcPr>
            <w:tcW w:w="5671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rPr>
                <w:rFonts w:ascii="Verdana" w:hAnsi="Verdana" w:cs="Calibri"/>
                <w:noProof/>
                <w:color w:val="000000"/>
                <w:sz w:val="16"/>
                <w:szCs w:val="18"/>
                <w:lang w:val="sr-Cyrl-RS" w:eastAsia="sr-Latn-RS"/>
              </w:rPr>
            </w:pPr>
            <w:r w:rsidRPr="000F1A33">
              <w:rPr>
                <w:rFonts w:ascii="Verdana" w:hAnsi="Verdana" w:cs="Calibri"/>
                <w:noProof/>
                <w:color w:val="000000"/>
                <w:sz w:val="16"/>
                <w:szCs w:val="18"/>
                <w:lang w:val="sr-Cyrl-RS" w:eastAsia="sr-Latn-RS"/>
              </w:rPr>
              <w:t>8. Откупљене сопствене акције</w:t>
            </w:r>
          </w:p>
        </w:tc>
        <w:tc>
          <w:tcPr>
            <w:tcW w:w="1418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  <w:t>0</w:t>
            </w:r>
          </w:p>
        </w:tc>
        <w:tc>
          <w:tcPr>
            <w:tcW w:w="1417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  <w:t>0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  <w:t>0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  <w:t>0</w:t>
            </w:r>
          </w:p>
        </w:tc>
      </w:tr>
      <w:tr w:rsidR="00D03AB5" w:rsidRPr="000F1A33" w:rsidTr="000F1A33">
        <w:trPr>
          <w:trHeight w:val="397"/>
        </w:trPr>
        <w:tc>
          <w:tcPr>
            <w:tcW w:w="5671" w:type="dxa"/>
            <w:tcBorders>
              <w:top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rPr>
                <w:rFonts w:ascii="Verdana" w:hAnsi="Verdana" w:cs="Calibri"/>
                <w:noProof/>
                <w:color w:val="000000"/>
                <w:sz w:val="16"/>
                <w:szCs w:val="18"/>
                <w:lang w:val="sr-Cyrl-RS" w:eastAsia="sr-Latn-RS"/>
              </w:rPr>
            </w:pPr>
            <w:r w:rsidRPr="000F1A33">
              <w:rPr>
                <w:rFonts w:ascii="Verdana" w:hAnsi="Verdana" w:cs="Calibri"/>
                <w:noProof/>
                <w:color w:val="000000"/>
                <w:sz w:val="16"/>
                <w:szCs w:val="18"/>
                <w:lang w:val="sr-Cyrl-RS" w:eastAsia="sr-Latn-RS"/>
              </w:rPr>
              <w:t>9. Учешће без права контроле</w:t>
            </w:r>
          </w:p>
        </w:tc>
        <w:tc>
          <w:tcPr>
            <w:tcW w:w="1418" w:type="dxa"/>
            <w:tcBorders>
              <w:top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  <w:t>0</w:t>
            </w:r>
          </w:p>
        </w:tc>
        <w:tc>
          <w:tcPr>
            <w:tcW w:w="1417" w:type="dxa"/>
            <w:tcBorders>
              <w:top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  <w:t>0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  <w:t>0</w:t>
            </w:r>
          </w:p>
        </w:tc>
        <w:tc>
          <w:tcPr>
            <w:tcW w:w="1370" w:type="dxa"/>
            <w:tcBorders>
              <w:top w:val="single" w:sz="4" w:space="0" w:color="B8CCE4" w:themeColor="accent1" w:themeTint="66"/>
            </w:tcBorders>
            <w:shd w:val="clear" w:color="auto" w:fill="auto"/>
            <w:noWrap/>
            <w:vAlign w:val="center"/>
            <w:hideMark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color w:val="000000"/>
                <w:sz w:val="16"/>
                <w:szCs w:val="18"/>
                <w:lang w:val="sr-Cyrl-RS" w:eastAsia="sr-Latn-RS"/>
              </w:rPr>
              <w:t>0</w:t>
            </w:r>
          </w:p>
        </w:tc>
      </w:tr>
      <w:tr w:rsidR="00D03AB5" w:rsidRPr="000F1A33" w:rsidTr="000F1A33">
        <w:trPr>
          <w:trHeight w:val="397"/>
        </w:trPr>
        <w:tc>
          <w:tcPr>
            <w:tcW w:w="5671" w:type="dxa"/>
            <w:tcBorders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rPr>
                <w:rFonts w:ascii="Verdana" w:hAnsi="Verdana" w:cs="Calibri"/>
                <w:b/>
                <w:bCs/>
                <w:noProof/>
                <w:color w:val="000000"/>
                <w:sz w:val="18"/>
                <w:szCs w:val="18"/>
                <w:lang w:val="sr-Cyrl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noProof/>
                <w:color w:val="000000"/>
                <w:sz w:val="18"/>
                <w:szCs w:val="18"/>
                <w:lang w:val="sr-Cyrl-RS" w:eastAsia="sr-Latn-RS"/>
              </w:rPr>
              <w:t>II   ДУГОРОЧНА  РЕЗЕРВИСАЊА</w:t>
            </w:r>
          </w:p>
        </w:tc>
        <w:tc>
          <w:tcPr>
            <w:tcW w:w="1418" w:type="dxa"/>
            <w:tcBorders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32,610</w:t>
            </w:r>
          </w:p>
        </w:tc>
        <w:tc>
          <w:tcPr>
            <w:tcW w:w="1417" w:type="dxa"/>
            <w:tcBorders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38,138</w:t>
            </w:r>
          </w:p>
        </w:tc>
        <w:tc>
          <w:tcPr>
            <w:tcW w:w="1370" w:type="dxa"/>
            <w:tcBorders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42,213</w:t>
            </w:r>
          </w:p>
        </w:tc>
        <w:tc>
          <w:tcPr>
            <w:tcW w:w="1370" w:type="dxa"/>
            <w:tcBorders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47,086</w:t>
            </w:r>
          </w:p>
        </w:tc>
      </w:tr>
      <w:tr w:rsidR="00D03AB5" w:rsidRPr="000F1A33" w:rsidTr="000F1A33">
        <w:trPr>
          <w:trHeight w:val="397"/>
        </w:trPr>
        <w:tc>
          <w:tcPr>
            <w:tcW w:w="567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rPr>
                <w:rFonts w:ascii="Verdana" w:hAnsi="Verdana" w:cs="Calibri"/>
                <w:b/>
                <w:bCs/>
                <w:noProof/>
                <w:color w:val="000000"/>
                <w:sz w:val="18"/>
                <w:szCs w:val="18"/>
                <w:lang w:val="sr-Cyrl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noProof/>
                <w:color w:val="000000"/>
                <w:sz w:val="18"/>
                <w:szCs w:val="18"/>
                <w:lang w:val="sr-Cyrl-RS" w:eastAsia="sr-Latn-RS"/>
              </w:rPr>
              <w:t>III  ДУГОРОЧНЕ  ОБАВЕЗЕ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0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2,000</w:t>
            </w:r>
          </w:p>
        </w:tc>
        <w:tc>
          <w:tcPr>
            <w:tcW w:w="13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1,800</w:t>
            </w:r>
          </w:p>
        </w:tc>
        <w:tc>
          <w:tcPr>
            <w:tcW w:w="13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0</w:t>
            </w:r>
          </w:p>
        </w:tc>
      </w:tr>
      <w:tr w:rsidR="00D03AB5" w:rsidRPr="000F1A33" w:rsidTr="000F1A33">
        <w:trPr>
          <w:trHeight w:val="397"/>
        </w:trPr>
        <w:tc>
          <w:tcPr>
            <w:tcW w:w="567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rPr>
                <w:rFonts w:ascii="Verdana" w:hAnsi="Verdana" w:cs="Calibri"/>
                <w:b/>
                <w:bCs/>
                <w:noProof/>
                <w:color w:val="000000"/>
                <w:sz w:val="18"/>
                <w:szCs w:val="18"/>
                <w:lang w:val="sr-Cyrl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noProof/>
                <w:color w:val="000000"/>
                <w:sz w:val="18"/>
                <w:szCs w:val="18"/>
                <w:lang w:val="sr-Cyrl-RS" w:eastAsia="sr-Latn-RS"/>
              </w:rPr>
              <w:t>IV  ОДЛОЖЕНЕ ПОРЕСКЕ ОБАВЕЗЕ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5,000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3,800</w:t>
            </w:r>
          </w:p>
        </w:tc>
        <w:tc>
          <w:tcPr>
            <w:tcW w:w="13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6,100</w:t>
            </w:r>
          </w:p>
        </w:tc>
        <w:tc>
          <w:tcPr>
            <w:tcW w:w="13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5,500</w:t>
            </w:r>
          </w:p>
        </w:tc>
      </w:tr>
      <w:tr w:rsidR="00D03AB5" w:rsidRPr="000F1A33" w:rsidTr="000F1A33">
        <w:trPr>
          <w:trHeight w:val="397"/>
        </w:trPr>
        <w:tc>
          <w:tcPr>
            <w:tcW w:w="567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rPr>
                <w:rFonts w:ascii="Verdana" w:hAnsi="Verdana" w:cs="Calibri"/>
                <w:b/>
                <w:bCs/>
                <w:noProof/>
                <w:color w:val="000000"/>
                <w:sz w:val="18"/>
                <w:szCs w:val="18"/>
                <w:lang w:val="sr-Cyrl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noProof/>
                <w:color w:val="000000"/>
                <w:sz w:val="18"/>
                <w:szCs w:val="18"/>
                <w:lang w:val="sr-Cyrl-RS" w:eastAsia="sr-Latn-RS"/>
              </w:rPr>
              <w:t>V  КРАТКОРОЧНЕ  ОБАВЕЗЕ осим ПВР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1,407,256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1,325,498</w:t>
            </w:r>
          </w:p>
        </w:tc>
        <w:tc>
          <w:tcPr>
            <w:tcW w:w="13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1,245,358</w:t>
            </w:r>
          </w:p>
        </w:tc>
        <w:tc>
          <w:tcPr>
            <w:tcW w:w="13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1,128,675</w:t>
            </w:r>
          </w:p>
        </w:tc>
      </w:tr>
      <w:tr w:rsidR="00D03AB5" w:rsidRPr="000F1A33" w:rsidTr="000F1A33">
        <w:trPr>
          <w:trHeight w:val="397"/>
        </w:trPr>
        <w:tc>
          <w:tcPr>
            <w:tcW w:w="567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rPr>
                <w:rFonts w:ascii="Verdana" w:hAnsi="Verdana" w:cs="Calibri"/>
                <w:b/>
                <w:bCs/>
                <w:noProof/>
                <w:color w:val="000000"/>
                <w:sz w:val="18"/>
                <w:szCs w:val="18"/>
                <w:lang w:val="sr-Cyrl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noProof/>
                <w:color w:val="000000"/>
                <w:sz w:val="18"/>
                <w:szCs w:val="18"/>
                <w:lang w:val="sr-Cyrl-RS" w:eastAsia="sr-Latn-RS"/>
              </w:rPr>
              <w:t>VI ПАСИВНА ВРЕМЕНСКА РАЗГРАНИЧЕЊА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2,126,337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2,249,519</w:t>
            </w:r>
          </w:p>
        </w:tc>
        <w:tc>
          <w:tcPr>
            <w:tcW w:w="13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2,252,377</w:t>
            </w:r>
          </w:p>
        </w:tc>
        <w:tc>
          <w:tcPr>
            <w:tcW w:w="13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Latn-RS" w:eastAsia="sr-Latn-RS"/>
              </w:rPr>
              <w:t>2,280,988</w:t>
            </w:r>
          </w:p>
        </w:tc>
      </w:tr>
      <w:tr w:rsidR="00D03AB5" w:rsidRPr="000F1A33" w:rsidTr="000F1A33">
        <w:trPr>
          <w:trHeight w:val="397"/>
        </w:trPr>
        <w:tc>
          <w:tcPr>
            <w:tcW w:w="567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D03AB5" w:rsidP="000F1A33">
            <w:pPr>
              <w:suppressAutoHyphens w:val="0"/>
              <w:rPr>
                <w:rFonts w:ascii="Verdana" w:hAnsi="Verdana" w:cs="Calibri"/>
                <w:b/>
                <w:bCs/>
                <w:noProof/>
                <w:color w:val="000000"/>
                <w:sz w:val="18"/>
                <w:szCs w:val="18"/>
                <w:lang w:val="sr-Cyrl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noProof/>
                <w:color w:val="000000"/>
                <w:sz w:val="18"/>
                <w:szCs w:val="18"/>
                <w:lang w:val="sr-Cyrl-RS" w:eastAsia="sr-Latn-RS"/>
              </w:rPr>
              <w:t>VII ГУБИТАК ИЗНАД ВИСИНЕ КАПИТАЛА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Cyrl-RS" w:eastAsia="sr-Latn-RS"/>
              </w:rPr>
              <w:t>0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Cyrl-RS" w:eastAsia="sr-Latn-RS"/>
              </w:rPr>
              <w:t>0</w:t>
            </w:r>
          </w:p>
        </w:tc>
        <w:tc>
          <w:tcPr>
            <w:tcW w:w="13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Cyrl-RS" w:eastAsia="sr-Latn-RS"/>
              </w:rPr>
              <w:t>0</w:t>
            </w:r>
          </w:p>
        </w:tc>
        <w:tc>
          <w:tcPr>
            <w:tcW w:w="13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03AB5" w:rsidRPr="000F1A33" w:rsidRDefault="000F1A33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Cyrl-RS" w:eastAsia="sr-Latn-R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val="sr-Cyrl-RS" w:eastAsia="sr-Latn-RS"/>
              </w:rPr>
              <w:t>0</w:t>
            </w:r>
          </w:p>
        </w:tc>
      </w:tr>
      <w:tr w:rsidR="00D03AB5" w:rsidRPr="000F1A33" w:rsidTr="000F1A33">
        <w:trPr>
          <w:trHeight w:val="397"/>
        </w:trPr>
        <w:tc>
          <w:tcPr>
            <w:tcW w:w="5671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4F81BD" w:themeFill="accent1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rPr>
                <w:noProof/>
                <w:lang w:val="sr-Cyrl-RS"/>
              </w:rPr>
            </w:pPr>
            <w:r w:rsidRPr="000F1A33">
              <w:rPr>
                <w:rFonts w:ascii="Verdana" w:hAnsi="Verdana" w:cs="Calibri"/>
                <w:b/>
                <w:bCs/>
                <w:noProof/>
                <w:color w:val="FFFFFF" w:themeColor="background1"/>
                <w:sz w:val="18"/>
                <w:szCs w:val="18"/>
                <w:lang w:val="sr-Cyrl-RS" w:eastAsia="sr-Latn-RS"/>
              </w:rPr>
              <w:t>УКУПНА  ПАСИВА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4F81BD" w:themeFill="accent1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FFFFFF" w:themeColor="background1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FFFFFF" w:themeColor="background1"/>
                <w:sz w:val="18"/>
                <w:szCs w:val="18"/>
                <w:lang w:val="sr-Latn-RS" w:eastAsia="sr-Latn-RS"/>
              </w:rPr>
              <w:t>5,182,579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4F81BD" w:themeFill="accent1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FFFFFF" w:themeColor="background1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FFFFFF" w:themeColor="background1"/>
                <w:sz w:val="18"/>
                <w:szCs w:val="18"/>
                <w:lang w:val="sr-Latn-RS" w:eastAsia="sr-Latn-RS"/>
              </w:rPr>
              <w:t>5,342,377</w:t>
            </w:r>
          </w:p>
        </w:tc>
        <w:tc>
          <w:tcPr>
            <w:tcW w:w="1370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4F81BD" w:themeFill="accent1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FFFFFF" w:themeColor="background1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FFFFFF" w:themeColor="background1"/>
                <w:sz w:val="18"/>
                <w:szCs w:val="18"/>
                <w:lang w:val="sr-Latn-RS" w:eastAsia="sr-Latn-RS"/>
              </w:rPr>
              <w:t>5,431,466</w:t>
            </w:r>
          </w:p>
        </w:tc>
        <w:tc>
          <w:tcPr>
            <w:tcW w:w="1370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4F81BD" w:themeFill="accent1"/>
            <w:noWrap/>
            <w:vAlign w:val="center"/>
            <w:hideMark/>
          </w:tcPr>
          <w:p w:rsidR="00D03AB5" w:rsidRPr="000F1A33" w:rsidRDefault="00D03AB5" w:rsidP="000F1A33">
            <w:pPr>
              <w:suppressAutoHyphens w:val="0"/>
              <w:jc w:val="right"/>
              <w:rPr>
                <w:rFonts w:ascii="Verdana" w:hAnsi="Verdana" w:cs="Calibri"/>
                <w:b/>
                <w:bCs/>
                <w:color w:val="FFFFFF" w:themeColor="background1"/>
                <w:sz w:val="18"/>
                <w:szCs w:val="18"/>
                <w:lang w:val="sr-Latn-RS" w:eastAsia="sr-Latn-RS"/>
              </w:rPr>
            </w:pPr>
            <w:r w:rsidRPr="000F1A33">
              <w:rPr>
                <w:rFonts w:ascii="Verdana" w:hAnsi="Verdana" w:cs="Calibri"/>
                <w:b/>
                <w:bCs/>
                <w:color w:val="FFFFFF" w:themeColor="background1"/>
                <w:sz w:val="18"/>
                <w:szCs w:val="18"/>
                <w:lang w:val="sr-Latn-RS" w:eastAsia="sr-Latn-RS"/>
              </w:rPr>
              <w:t>5,524,601</w:t>
            </w:r>
          </w:p>
        </w:tc>
      </w:tr>
    </w:tbl>
    <w:p w:rsidR="00D03AB5" w:rsidRPr="00D03AB5" w:rsidRDefault="00D03AB5" w:rsidP="00D03AB5">
      <w:pPr>
        <w:rPr>
          <w:lang w:val="sr-Cyrl-CS"/>
        </w:rPr>
      </w:pPr>
    </w:p>
    <w:p w:rsidR="00D51543" w:rsidRDefault="00D51543" w:rsidP="000F1A33">
      <w:pPr>
        <w:pStyle w:val="Heading3"/>
        <w:tabs>
          <w:tab w:val="clear" w:pos="6870"/>
          <w:tab w:val="num" w:pos="1004"/>
        </w:tabs>
        <w:spacing w:before="240" w:after="240"/>
        <w:ind w:left="1004"/>
        <w:rPr>
          <w:rStyle w:val="IntenseEmphasis"/>
          <w:rFonts w:ascii="Verdana" w:hAnsi="Verdana"/>
          <w:b/>
          <w:noProof/>
          <w:sz w:val="22"/>
          <w:lang w:val="sr-Cyrl-CS"/>
        </w:rPr>
      </w:pPr>
      <w:bookmarkStart w:id="161" w:name="_Toc433278736"/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План токова готовине за период 201</w:t>
      </w:r>
      <w:r>
        <w:rPr>
          <w:rStyle w:val="IntenseEmphasis"/>
          <w:rFonts w:ascii="Verdana" w:hAnsi="Verdana"/>
          <w:b/>
          <w:noProof/>
          <w:sz w:val="22"/>
          <w:lang w:val="sr-Cyrl-CS"/>
        </w:rPr>
        <w:t>6</w:t>
      </w:r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. – 201</w:t>
      </w:r>
      <w:r>
        <w:rPr>
          <w:rStyle w:val="IntenseEmphasis"/>
          <w:rFonts w:ascii="Verdana" w:hAnsi="Verdana"/>
          <w:b/>
          <w:noProof/>
          <w:sz w:val="22"/>
          <w:lang w:val="sr-Cyrl-CS"/>
        </w:rPr>
        <w:t>9</w:t>
      </w:r>
      <w:r w:rsidRPr="00272017">
        <w:rPr>
          <w:rStyle w:val="IntenseEmphasis"/>
          <w:rFonts w:ascii="Verdana" w:hAnsi="Verdana"/>
          <w:b/>
          <w:noProof/>
          <w:sz w:val="22"/>
          <w:lang w:val="sr-Cyrl-CS"/>
        </w:rPr>
        <w:t>.</w:t>
      </w:r>
      <w:bookmarkEnd w:id="160"/>
      <w:r w:rsidR="00D03AB5">
        <w:rPr>
          <w:rStyle w:val="IntenseEmphasis"/>
          <w:rFonts w:ascii="Verdana" w:hAnsi="Verdana"/>
          <w:b/>
          <w:noProof/>
          <w:sz w:val="22"/>
          <w:lang w:val="sr-Cyrl-CS"/>
        </w:rPr>
        <w:t xml:space="preserve"> године</w:t>
      </w:r>
      <w:bookmarkEnd w:id="161"/>
    </w:p>
    <w:p w:rsidR="00D51543" w:rsidRDefault="00D51543" w:rsidP="000F1A33">
      <w:pPr>
        <w:spacing w:before="120" w:after="120" w:line="276" w:lineRule="auto"/>
        <w:ind w:firstLine="284"/>
        <w:jc w:val="both"/>
        <w:rPr>
          <w:rFonts w:ascii="Verdana" w:hAnsi="Verdana"/>
          <w:noProof/>
          <w:sz w:val="20"/>
          <w:szCs w:val="20"/>
          <w:lang w:val="sr-Cyrl-RS"/>
        </w:rPr>
      </w:pPr>
      <w:r w:rsidRPr="00A37E3D">
        <w:rPr>
          <w:rFonts w:ascii="Verdana" w:hAnsi="Verdana"/>
          <w:noProof/>
          <w:sz w:val="20"/>
          <w:szCs w:val="20"/>
          <w:lang w:val="sr-Cyrl-CS"/>
        </w:rPr>
        <w:t xml:space="preserve">Друштво </w:t>
      </w:r>
      <w:r>
        <w:rPr>
          <w:rFonts w:ascii="Verdana" w:hAnsi="Verdana"/>
          <w:noProof/>
          <w:sz w:val="20"/>
          <w:szCs w:val="20"/>
          <w:lang w:val="sr-Cyrl-CS"/>
        </w:rPr>
        <w:t>је планирало да средства готовине одржава на нивоу од око 2,8 милиона евра</w:t>
      </w:r>
      <w:r>
        <w:rPr>
          <w:rFonts w:ascii="Verdana" w:hAnsi="Verdana"/>
          <w:noProof/>
          <w:sz w:val="20"/>
          <w:szCs w:val="20"/>
          <w:lang w:val="sr-Latn-RS"/>
        </w:rPr>
        <w:t>.</w:t>
      </w:r>
    </w:p>
    <w:p w:rsidR="00D51543" w:rsidRDefault="00D51543" w:rsidP="000F1A33">
      <w:pPr>
        <w:spacing w:before="120" w:after="120" w:line="276" w:lineRule="auto"/>
        <w:ind w:firstLine="284"/>
        <w:jc w:val="both"/>
        <w:rPr>
          <w:rFonts w:ascii="Verdana" w:hAnsi="Verdana"/>
          <w:noProof/>
          <w:sz w:val="20"/>
          <w:szCs w:val="20"/>
          <w:lang w:val="sr-Cyrl-RS"/>
        </w:rPr>
      </w:pPr>
      <w:r>
        <w:rPr>
          <w:rFonts w:ascii="Verdana" w:hAnsi="Verdana"/>
          <w:noProof/>
          <w:sz w:val="20"/>
          <w:szCs w:val="20"/>
          <w:lang w:val="sr-Cyrl-RS"/>
        </w:rPr>
        <w:t>У 2016. години планиран је значајнији одлив готовине из послоних активности због планираних исплата по преузетим обавезама из 2015. године. У наредном периоду динамика прилива и одлива условљена је планираним приходима и расходима из пословних активности и динамиком наплате, односно плаћања.</w:t>
      </w:r>
    </w:p>
    <w:p w:rsidR="00D51543" w:rsidRDefault="00D51543" w:rsidP="000F1A33">
      <w:pPr>
        <w:spacing w:before="120" w:after="120" w:line="276" w:lineRule="auto"/>
        <w:ind w:firstLine="284"/>
        <w:jc w:val="both"/>
        <w:rPr>
          <w:rFonts w:ascii="Verdana" w:hAnsi="Verdana"/>
          <w:noProof/>
          <w:sz w:val="20"/>
          <w:szCs w:val="20"/>
          <w:lang w:val="sr-Cyrl-RS"/>
        </w:rPr>
      </w:pPr>
      <w:r>
        <w:rPr>
          <w:rFonts w:ascii="Verdana" w:hAnsi="Verdana"/>
          <w:noProof/>
          <w:sz w:val="20"/>
          <w:szCs w:val="20"/>
          <w:lang w:val="sr-Cyrl-RS"/>
        </w:rPr>
        <w:t>Такође, у 2016. години, планиране су исплате по уговору о набавци интегрисаног информационог система, што је условило негативни новчани ток из активности инвестирања.</w:t>
      </w:r>
    </w:p>
    <w:p w:rsidR="00D51543" w:rsidRPr="007E0E37" w:rsidRDefault="00D51543" w:rsidP="000F1A33">
      <w:pPr>
        <w:spacing w:before="120" w:after="120" w:line="276" w:lineRule="auto"/>
        <w:ind w:firstLine="284"/>
        <w:jc w:val="both"/>
        <w:rPr>
          <w:rFonts w:ascii="Verdana" w:hAnsi="Verdana"/>
          <w:noProof/>
          <w:sz w:val="20"/>
          <w:szCs w:val="20"/>
          <w:lang w:val="sr-Cyrl-RS"/>
        </w:rPr>
      </w:pPr>
      <w:r>
        <w:rPr>
          <w:rFonts w:ascii="Verdana" w:hAnsi="Verdana"/>
          <w:noProof/>
          <w:sz w:val="20"/>
          <w:szCs w:val="20"/>
          <w:lang w:val="sr-Cyrl-RS"/>
        </w:rPr>
        <w:t xml:space="preserve">Пословним планом Друштва нису предвиђене активности на пословима финансирања (повећање/смањење акцијског капилала, подизање кредита за потребе финансирања, исплате дивиденди и слично). </w:t>
      </w:r>
    </w:p>
    <w:p w:rsidR="00D51543" w:rsidRPr="007E0E37" w:rsidRDefault="00D51543" w:rsidP="00D51543">
      <w:pPr>
        <w:rPr>
          <w:lang w:val="sr-Cyrl-CS"/>
        </w:rPr>
      </w:pPr>
    </w:p>
    <w:tbl>
      <w:tblPr>
        <w:tblW w:w="10915" w:type="dxa"/>
        <w:tblInd w:w="-60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6"/>
        <w:gridCol w:w="5800"/>
        <w:gridCol w:w="1177"/>
        <w:gridCol w:w="1134"/>
        <w:gridCol w:w="1134"/>
        <w:gridCol w:w="1134"/>
      </w:tblGrid>
      <w:tr w:rsidR="00D51543" w:rsidRPr="00BB2488" w:rsidTr="00574B77">
        <w:trPr>
          <w:trHeight w:val="227"/>
        </w:trPr>
        <w:tc>
          <w:tcPr>
            <w:tcW w:w="6336" w:type="dxa"/>
            <w:gridSpan w:val="2"/>
            <w:vMerge w:val="restart"/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4579" w:type="dxa"/>
            <w:gridSpan w:val="4"/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Износ</w:t>
            </w:r>
          </w:p>
        </w:tc>
      </w:tr>
      <w:tr w:rsidR="00D51543" w:rsidRPr="00BB2488" w:rsidTr="00574B77">
        <w:trPr>
          <w:trHeight w:val="170"/>
        </w:trPr>
        <w:tc>
          <w:tcPr>
            <w:tcW w:w="6336" w:type="dxa"/>
            <w:gridSpan w:val="2"/>
            <w:vMerge/>
            <w:shd w:val="clear" w:color="auto" w:fill="95B3D7" w:themeFill="accent1" w:themeFillTint="99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77" w:type="dxa"/>
            <w:shd w:val="clear" w:color="auto" w:fill="95B3D7" w:themeFill="accent1" w:themeFillTint="99"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center"/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2016</w:t>
            </w:r>
          </w:p>
        </w:tc>
        <w:tc>
          <w:tcPr>
            <w:tcW w:w="1134" w:type="dxa"/>
            <w:shd w:val="clear" w:color="auto" w:fill="95B3D7" w:themeFill="accent1" w:themeFillTint="99"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center"/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134" w:type="dxa"/>
            <w:shd w:val="clear" w:color="auto" w:fill="95B3D7" w:themeFill="accent1" w:themeFillTint="99"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center"/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2018</w:t>
            </w:r>
          </w:p>
        </w:tc>
        <w:tc>
          <w:tcPr>
            <w:tcW w:w="1134" w:type="dxa"/>
            <w:shd w:val="clear" w:color="auto" w:fill="95B3D7" w:themeFill="accent1" w:themeFillTint="99"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center"/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2019</w:t>
            </w:r>
          </w:p>
        </w:tc>
      </w:tr>
      <w:tr w:rsidR="00D51543" w:rsidRPr="00BB2488" w:rsidTr="000F1A33">
        <w:trPr>
          <w:trHeight w:val="397"/>
        </w:trPr>
        <w:tc>
          <w:tcPr>
            <w:tcW w:w="6336" w:type="dxa"/>
            <w:gridSpan w:val="2"/>
            <w:shd w:val="clear" w:color="auto" w:fill="95B3D7" w:themeFill="accent1" w:themeFillTint="99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ТОКОВИ ГОТОВИНЕ ИЗ ПОСЛОВНИХ АКТИВНОСТИ</w:t>
            </w:r>
          </w:p>
        </w:tc>
        <w:tc>
          <w:tcPr>
            <w:tcW w:w="1177" w:type="dxa"/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center"/>
              <w:rPr>
                <w:rFonts w:ascii="Verdana" w:hAnsi="Verdana" w:cs="Arial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center"/>
              <w:rPr>
                <w:rFonts w:ascii="Verdana" w:hAnsi="Verdana" w:cs="Arial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center"/>
              <w:rPr>
                <w:rFonts w:ascii="Verdana" w:hAnsi="Verdana" w:cs="Arial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center"/>
              <w:rPr>
                <w:rFonts w:ascii="Verdana" w:hAnsi="Verdana" w:cs="Arial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D51543" w:rsidRPr="00BB2488" w:rsidTr="000F1A33">
        <w:trPr>
          <w:trHeight w:val="397"/>
        </w:trPr>
        <w:tc>
          <w:tcPr>
            <w:tcW w:w="536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  <w:t>I.</w:t>
            </w:r>
          </w:p>
        </w:tc>
        <w:tc>
          <w:tcPr>
            <w:tcW w:w="5800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  <w:t xml:space="preserve">Приливи готовине из пословних активности </w:t>
            </w:r>
          </w:p>
        </w:tc>
        <w:tc>
          <w:tcPr>
            <w:tcW w:w="1177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  <w:t>2,672,390</w:t>
            </w:r>
          </w:p>
        </w:tc>
        <w:tc>
          <w:tcPr>
            <w:tcW w:w="1134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  <w:t>2,674,528</w:t>
            </w:r>
          </w:p>
        </w:tc>
        <w:tc>
          <w:tcPr>
            <w:tcW w:w="1134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  <w:t>2,807,569</w:t>
            </w:r>
          </w:p>
        </w:tc>
        <w:tc>
          <w:tcPr>
            <w:tcW w:w="1134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  <w:t>2,903,329</w:t>
            </w:r>
          </w:p>
        </w:tc>
      </w:tr>
      <w:tr w:rsidR="00D51543" w:rsidRPr="00BB2488" w:rsidTr="000F1A33">
        <w:trPr>
          <w:trHeight w:val="397"/>
        </w:trPr>
        <w:tc>
          <w:tcPr>
            <w:tcW w:w="536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  <w:t>II.</w:t>
            </w:r>
          </w:p>
        </w:tc>
        <w:tc>
          <w:tcPr>
            <w:tcW w:w="5800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  <w:t xml:space="preserve">Одливи готовине из пословних активности </w:t>
            </w:r>
          </w:p>
        </w:tc>
        <w:tc>
          <w:tcPr>
            <w:tcW w:w="1177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  <w:t>2,844,749</w:t>
            </w:r>
          </w:p>
        </w:tc>
        <w:tc>
          <w:tcPr>
            <w:tcW w:w="1134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  <w:t>2,663,142</w:t>
            </w:r>
          </w:p>
        </w:tc>
        <w:tc>
          <w:tcPr>
            <w:tcW w:w="1134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  <w:t>2,815,576</w:t>
            </w:r>
          </w:p>
        </w:tc>
        <w:tc>
          <w:tcPr>
            <w:tcW w:w="1134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  <w:t>2,912,146</w:t>
            </w:r>
          </w:p>
        </w:tc>
      </w:tr>
      <w:tr w:rsidR="00D51543" w:rsidRPr="00BB2488" w:rsidTr="000F1A33">
        <w:trPr>
          <w:trHeight w:val="397"/>
        </w:trPr>
        <w:tc>
          <w:tcPr>
            <w:tcW w:w="536" w:type="dxa"/>
            <w:tcBorders>
              <w:bottom w:val="single" w:sz="4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III.</w:t>
            </w:r>
          </w:p>
        </w:tc>
        <w:tc>
          <w:tcPr>
            <w:tcW w:w="5800" w:type="dxa"/>
            <w:tcBorders>
              <w:bottom w:val="single" w:sz="4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Нето прилив готовине из пословних активности (I - II)</w:t>
            </w:r>
          </w:p>
        </w:tc>
        <w:tc>
          <w:tcPr>
            <w:tcW w:w="1177" w:type="dxa"/>
            <w:tcBorders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11,386</w:t>
            </w:r>
          </w:p>
        </w:tc>
        <w:tc>
          <w:tcPr>
            <w:tcW w:w="1134" w:type="dxa"/>
            <w:tcBorders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D51543" w:rsidRPr="00BB2488" w:rsidTr="000F1A33">
        <w:trPr>
          <w:trHeight w:val="397"/>
        </w:trPr>
        <w:tc>
          <w:tcPr>
            <w:tcW w:w="53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IV.</w:t>
            </w:r>
          </w:p>
        </w:tc>
        <w:tc>
          <w:tcPr>
            <w:tcW w:w="580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Нето одлив готовине из пословних активности (II - I)</w:t>
            </w:r>
          </w:p>
        </w:tc>
        <w:tc>
          <w:tcPr>
            <w:tcW w:w="117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172,359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8,007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8,817</w:t>
            </w:r>
          </w:p>
        </w:tc>
      </w:tr>
      <w:tr w:rsidR="00D51543" w:rsidRPr="00BB2488" w:rsidTr="000F1A33">
        <w:trPr>
          <w:trHeight w:val="397"/>
        </w:trPr>
        <w:tc>
          <w:tcPr>
            <w:tcW w:w="6336" w:type="dxa"/>
            <w:gridSpan w:val="2"/>
            <w:tcBorders>
              <w:top w:val="single" w:sz="4" w:space="0" w:color="FFFFFF" w:themeColor="background1"/>
            </w:tcBorders>
            <w:shd w:val="clear" w:color="auto" w:fill="95B3D7" w:themeFill="accent1" w:themeFillTint="99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ТОКОВИ ГОТОВИНЕ ИЗ АКТИВНОСТИ ИНВЕСТИРАЊА</w:t>
            </w:r>
          </w:p>
        </w:tc>
        <w:tc>
          <w:tcPr>
            <w:tcW w:w="1177" w:type="dxa"/>
            <w:tcBorders>
              <w:top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D51543" w:rsidRPr="00BB2488" w:rsidTr="000F1A33">
        <w:trPr>
          <w:trHeight w:val="397"/>
        </w:trPr>
        <w:tc>
          <w:tcPr>
            <w:tcW w:w="536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  <w:t>I.</w:t>
            </w:r>
          </w:p>
        </w:tc>
        <w:tc>
          <w:tcPr>
            <w:tcW w:w="5800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  <w:t xml:space="preserve">Приливи готовине из активности инвестирања </w:t>
            </w:r>
          </w:p>
        </w:tc>
        <w:tc>
          <w:tcPr>
            <w:tcW w:w="1177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  <w:t>116,868</w:t>
            </w:r>
          </w:p>
        </w:tc>
        <w:tc>
          <w:tcPr>
            <w:tcW w:w="1134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  <w:t>110,262</w:t>
            </w:r>
          </w:p>
        </w:tc>
        <w:tc>
          <w:tcPr>
            <w:tcW w:w="1134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  <w:t>124,118</w:t>
            </w:r>
          </w:p>
        </w:tc>
        <w:tc>
          <w:tcPr>
            <w:tcW w:w="1134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  <w:t>124,027</w:t>
            </w:r>
          </w:p>
        </w:tc>
      </w:tr>
      <w:tr w:rsidR="00D51543" w:rsidRPr="00BB2488" w:rsidTr="000F1A33">
        <w:trPr>
          <w:trHeight w:val="397"/>
        </w:trPr>
        <w:tc>
          <w:tcPr>
            <w:tcW w:w="536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  <w:t>II.</w:t>
            </w:r>
          </w:p>
        </w:tc>
        <w:tc>
          <w:tcPr>
            <w:tcW w:w="5800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  <w:t>Одливи готовине из активности инвестирања</w:t>
            </w:r>
          </w:p>
        </w:tc>
        <w:tc>
          <w:tcPr>
            <w:tcW w:w="1177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  <w:t>139,960</w:t>
            </w:r>
          </w:p>
        </w:tc>
        <w:tc>
          <w:tcPr>
            <w:tcW w:w="1134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  <w:t>119,642</w:t>
            </w:r>
          </w:p>
        </w:tc>
        <w:tc>
          <w:tcPr>
            <w:tcW w:w="1134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  <w:t>111,545</w:t>
            </w:r>
          </w:p>
        </w:tc>
        <w:tc>
          <w:tcPr>
            <w:tcW w:w="1134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  <w:t>113,329</w:t>
            </w:r>
          </w:p>
        </w:tc>
      </w:tr>
      <w:tr w:rsidR="00D51543" w:rsidRPr="00BB2488" w:rsidTr="000F1A33">
        <w:trPr>
          <w:trHeight w:val="397"/>
        </w:trPr>
        <w:tc>
          <w:tcPr>
            <w:tcW w:w="536" w:type="dxa"/>
            <w:tcBorders>
              <w:bottom w:val="single" w:sz="4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III.</w:t>
            </w:r>
          </w:p>
        </w:tc>
        <w:tc>
          <w:tcPr>
            <w:tcW w:w="5800" w:type="dxa"/>
            <w:tcBorders>
              <w:bottom w:val="single" w:sz="4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Нето прилив готовине из активности инвестирања (I - II)</w:t>
            </w:r>
          </w:p>
        </w:tc>
        <w:tc>
          <w:tcPr>
            <w:tcW w:w="1177" w:type="dxa"/>
            <w:tcBorders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12,574</w:t>
            </w:r>
          </w:p>
        </w:tc>
        <w:tc>
          <w:tcPr>
            <w:tcW w:w="1134" w:type="dxa"/>
            <w:tcBorders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10,698</w:t>
            </w:r>
          </w:p>
        </w:tc>
      </w:tr>
      <w:tr w:rsidR="00D51543" w:rsidRPr="00BB2488" w:rsidTr="000F1A33">
        <w:trPr>
          <w:trHeight w:val="397"/>
        </w:trPr>
        <w:tc>
          <w:tcPr>
            <w:tcW w:w="53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IV.</w:t>
            </w:r>
          </w:p>
        </w:tc>
        <w:tc>
          <w:tcPr>
            <w:tcW w:w="580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Нето одлив готовине из активности инвестирања (II - I)</w:t>
            </w:r>
          </w:p>
        </w:tc>
        <w:tc>
          <w:tcPr>
            <w:tcW w:w="117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23,092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9,379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D51543" w:rsidRPr="00BB2488" w:rsidTr="000F1A33">
        <w:trPr>
          <w:trHeight w:val="397"/>
        </w:trPr>
        <w:tc>
          <w:tcPr>
            <w:tcW w:w="6336" w:type="dxa"/>
            <w:gridSpan w:val="2"/>
            <w:tcBorders>
              <w:top w:val="single" w:sz="4" w:space="0" w:color="FFFFFF" w:themeColor="background1"/>
            </w:tcBorders>
            <w:shd w:val="clear" w:color="auto" w:fill="95B3D7" w:themeFill="accent1" w:themeFillTint="99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ТОКОВИ ГОТОВИНЕ ИЗ АКТИВНОСТИ ФИНАНСИРАЊА</w:t>
            </w:r>
          </w:p>
        </w:tc>
        <w:tc>
          <w:tcPr>
            <w:tcW w:w="1177" w:type="dxa"/>
            <w:tcBorders>
              <w:top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D51543" w:rsidRPr="00BB2488" w:rsidTr="000F1A33">
        <w:trPr>
          <w:trHeight w:val="397"/>
        </w:trPr>
        <w:tc>
          <w:tcPr>
            <w:tcW w:w="536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  <w:t>I.</w:t>
            </w:r>
          </w:p>
        </w:tc>
        <w:tc>
          <w:tcPr>
            <w:tcW w:w="5800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  <w:t xml:space="preserve">Приливи готовине из активности финансирања </w:t>
            </w:r>
          </w:p>
        </w:tc>
        <w:tc>
          <w:tcPr>
            <w:tcW w:w="1177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D51543" w:rsidRPr="00BB2488" w:rsidTr="000F1A33">
        <w:trPr>
          <w:trHeight w:val="397"/>
        </w:trPr>
        <w:tc>
          <w:tcPr>
            <w:tcW w:w="536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  <w:t>II.</w:t>
            </w:r>
          </w:p>
        </w:tc>
        <w:tc>
          <w:tcPr>
            <w:tcW w:w="5800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  <w:t xml:space="preserve">Одливи готовине из активности финансирања </w:t>
            </w:r>
          </w:p>
        </w:tc>
        <w:tc>
          <w:tcPr>
            <w:tcW w:w="1177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D51543" w:rsidRPr="00BB2488" w:rsidTr="000F1A33">
        <w:trPr>
          <w:trHeight w:val="397"/>
        </w:trPr>
        <w:tc>
          <w:tcPr>
            <w:tcW w:w="536" w:type="dxa"/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III.</w:t>
            </w:r>
          </w:p>
        </w:tc>
        <w:tc>
          <w:tcPr>
            <w:tcW w:w="5800" w:type="dxa"/>
            <w:shd w:val="clear" w:color="auto" w:fill="DBE5F1" w:themeFill="accent1" w:themeFillTint="33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Нето прилив готовине из активности финансирања (I - II)</w:t>
            </w:r>
          </w:p>
        </w:tc>
        <w:tc>
          <w:tcPr>
            <w:tcW w:w="1177" w:type="dxa"/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D51543" w:rsidRPr="00BB2488" w:rsidTr="000F1A33">
        <w:trPr>
          <w:trHeight w:val="397"/>
        </w:trPr>
        <w:tc>
          <w:tcPr>
            <w:tcW w:w="536" w:type="dxa"/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IV.</w:t>
            </w:r>
          </w:p>
        </w:tc>
        <w:tc>
          <w:tcPr>
            <w:tcW w:w="5800" w:type="dxa"/>
            <w:shd w:val="clear" w:color="auto" w:fill="DBE5F1" w:themeFill="accent1" w:themeFillTint="33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Нето одлив готовине из активности финансирања (II - I)</w:t>
            </w:r>
          </w:p>
        </w:tc>
        <w:tc>
          <w:tcPr>
            <w:tcW w:w="1177" w:type="dxa"/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D51543" w:rsidRPr="00BB2488" w:rsidTr="000F1A33">
        <w:trPr>
          <w:trHeight w:val="397"/>
        </w:trPr>
        <w:tc>
          <w:tcPr>
            <w:tcW w:w="6336" w:type="dxa"/>
            <w:gridSpan w:val="2"/>
            <w:tcBorders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 xml:space="preserve">СВЕГА ПРИЛИВ ГОТОВИНЕ </w:t>
            </w:r>
          </w:p>
        </w:tc>
        <w:tc>
          <w:tcPr>
            <w:tcW w:w="1177" w:type="dxa"/>
            <w:tcBorders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2,789,258</w:t>
            </w:r>
          </w:p>
        </w:tc>
        <w:tc>
          <w:tcPr>
            <w:tcW w:w="1134" w:type="dxa"/>
            <w:tcBorders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2,784,791</w:t>
            </w:r>
          </w:p>
        </w:tc>
        <w:tc>
          <w:tcPr>
            <w:tcW w:w="1134" w:type="dxa"/>
            <w:tcBorders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2,931,687</w:t>
            </w:r>
          </w:p>
        </w:tc>
        <w:tc>
          <w:tcPr>
            <w:tcW w:w="1134" w:type="dxa"/>
            <w:tcBorders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3,027,357</w:t>
            </w:r>
          </w:p>
        </w:tc>
      </w:tr>
      <w:tr w:rsidR="00D51543" w:rsidRPr="00BB2488" w:rsidTr="000F1A33">
        <w:trPr>
          <w:trHeight w:val="397"/>
        </w:trPr>
        <w:tc>
          <w:tcPr>
            <w:tcW w:w="633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 xml:space="preserve">СВЕГА ОДЛИВ ГОТОВИНЕ </w:t>
            </w:r>
          </w:p>
        </w:tc>
        <w:tc>
          <w:tcPr>
            <w:tcW w:w="117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2,984,709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2,782,784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2,927,121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3,025,475</w:t>
            </w:r>
          </w:p>
        </w:tc>
      </w:tr>
      <w:tr w:rsidR="00D51543" w:rsidRPr="00BB2488" w:rsidTr="000F1A33">
        <w:trPr>
          <w:trHeight w:val="397"/>
        </w:trPr>
        <w:tc>
          <w:tcPr>
            <w:tcW w:w="633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>НЕТО ПРИЛИВ ГОТОВИНЕ</w:t>
            </w:r>
          </w:p>
        </w:tc>
        <w:tc>
          <w:tcPr>
            <w:tcW w:w="117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2,007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4,567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1,882</w:t>
            </w:r>
          </w:p>
        </w:tc>
      </w:tr>
      <w:tr w:rsidR="00D51543" w:rsidRPr="00BB2488" w:rsidTr="000F1A33">
        <w:trPr>
          <w:trHeight w:val="397"/>
        </w:trPr>
        <w:tc>
          <w:tcPr>
            <w:tcW w:w="6336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sz w:val="16"/>
                <w:szCs w:val="16"/>
                <w:lang w:val="sr-Latn-RS" w:eastAsia="sr-Latn-RS"/>
              </w:rPr>
              <w:t xml:space="preserve">НЕТО ОДЛИВ ГОТОВИНЕ </w:t>
            </w:r>
          </w:p>
        </w:tc>
        <w:tc>
          <w:tcPr>
            <w:tcW w:w="117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195,451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95B3D7" w:themeFill="accent1" w:themeFillTint="99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D51543" w:rsidRPr="00BB2488" w:rsidTr="000F1A33">
        <w:trPr>
          <w:trHeight w:val="397"/>
        </w:trPr>
        <w:tc>
          <w:tcPr>
            <w:tcW w:w="6336" w:type="dxa"/>
            <w:gridSpan w:val="2"/>
            <w:tcBorders>
              <w:top w:val="single" w:sz="4" w:space="0" w:color="FFFFFF" w:themeColor="background1"/>
            </w:tcBorders>
            <w:shd w:val="clear" w:color="auto" w:fill="4F81BD" w:themeFill="accent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/>
                <w:bCs/>
                <w:color w:val="FFFFFF" w:themeColor="background1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color w:val="FFFFFF" w:themeColor="background1"/>
                <w:sz w:val="16"/>
                <w:szCs w:val="16"/>
                <w:lang w:val="sr-Latn-RS" w:eastAsia="sr-Latn-RS"/>
              </w:rPr>
              <w:t>ГОТОВИНА НА ПОЧЕТКУ ОБРАЧУНСКОГ ПЕРИОДА</w:t>
            </w:r>
          </w:p>
        </w:tc>
        <w:tc>
          <w:tcPr>
            <w:tcW w:w="1177" w:type="dxa"/>
            <w:tcBorders>
              <w:top w:val="single" w:sz="4" w:space="0" w:color="FFFFFF" w:themeColor="background1"/>
            </w:tcBorders>
            <w:shd w:val="clear" w:color="auto" w:fill="4F81BD" w:themeFill="accent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sr-Latn-RS" w:eastAsia="sr-Latn-RS"/>
              </w:rPr>
              <w:t>536,576</w:t>
            </w:r>
          </w:p>
        </w:tc>
        <w:tc>
          <w:tcPr>
            <w:tcW w:w="1134" w:type="dxa"/>
            <w:tcBorders>
              <w:top w:val="single" w:sz="4" w:space="0" w:color="FFFFFF" w:themeColor="background1"/>
            </w:tcBorders>
            <w:shd w:val="clear" w:color="auto" w:fill="4F81BD" w:themeFill="accent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sr-Latn-RS" w:eastAsia="sr-Latn-RS"/>
              </w:rPr>
              <w:t>345,118</w:t>
            </w:r>
          </w:p>
        </w:tc>
        <w:tc>
          <w:tcPr>
            <w:tcW w:w="1134" w:type="dxa"/>
            <w:tcBorders>
              <w:top w:val="single" w:sz="4" w:space="0" w:color="FFFFFF" w:themeColor="background1"/>
            </w:tcBorders>
            <w:shd w:val="clear" w:color="auto" w:fill="4F81BD" w:themeFill="accent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sr-Latn-RS" w:eastAsia="sr-Latn-RS"/>
              </w:rPr>
              <w:t>350,533</w:t>
            </w:r>
          </w:p>
        </w:tc>
        <w:tc>
          <w:tcPr>
            <w:tcW w:w="1134" w:type="dxa"/>
            <w:tcBorders>
              <w:top w:val="single" w:sz="4" w:space="0" w:color="FFFFFF" w:themeColor="background1"/>
            </w:tcBorders>
            <w:shd w:val="clear" w:color="auto" w:fill="4F81BD" w:themeFill="accent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color w:val="FFFFFF" w:themeColor="background1"/>
                <w:sz w:val="16"/>
                <w:szCs w:val="16"/>
                <w:lang w:val="sr-Latn-RS" w:eastAsia="sr-Latn-RS"/>
              </w:rPr>
              <w:t>359,242</w:t>
            </w:r>
          </w:p>
        </w:tc>
      </w:tr>
      <w:tr w:rsidR="00D51543" w:rsidRPr="00BB2488" w:rsidTr="000F1A33">
        <w:trPr>
          <w:trHeight w:val="397"/>
        </w:trPr>
        <w:tc>
          <w:tcPr>
            <w:tcW w:w="6336" w:type="dxa"/>
            <w:gridSpan w:val="2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  <w:t>Позитивне курсне разлике по основу прерачуна готовине</w:t>
            </w:r>
          </w:p>
        </w:tc>
        <w:tc>
          <w:tcPr>
            <w:tcW w:w="1177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sz w:val="16"/>
                <w:szCs w:val="16"/>
                <w:lang w:val="sr-Latn-RS" w:eastAsia="sr-Latn-RS"/>
              </w:rPr>
              <w:t>16,529</w:t>
            </w:r>
          </w:p>
        </w:tc>
        <w:tc>
          <w:tcPr>
            <w:tcW w:w="1134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sz w:val="16"/>
                <w:szCs w:val="16"/>
                <w:lang w:val="sr-Latn-RS" w:eastAsia="sr-Latn-RS"/>
              </w:rPr>
              <w:t>16,735</w:t>
            </w:r>
          </w:p>
        </w:tc>
        <w:tc>
          <w:tcPr>
            <w:tcW w:w="1134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sz w:val="16"/>
                <w:szCs w:val="16"/>
                <w:lang w:val="sr-Latn-RS" w:eastAsia="sr-Latn-RS"/>
              </w:rPr>
              <w:t>17,147</w:t>
            </w:r>
          </w:p>
        </w:tc>
        <w:tc>
          <w:tcPr>
            <w:tcW w:w="1134" w:type="dxa"/>
            <w:tcBorders>
              <w:bottom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sz w:val="16"/>
                <w:szCs w:val="16"/>
                <w:lang w:val="sr-Latn-RS" w:eastAsia="sr-Latn-RS"/>
              </w:rPr>
              <w:t>17,421</w:t>
            </w:r>
          </w:p>
        </w:tc>
      </w:tr>
      <w:tr w:rsidR="00D51543" w:rsidRPr="00BB2488" w:rsidTr="000F1A33">
        <w:trPr>
          <w:trHeight w:val="397"/>
        </w:trPr>
        <w:tc>
          <w:tcPr>
            <w:tcW w:w="6336" w:type="dxa"/>
            <w:gridSpan w:val="2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hAnsi="Verdana" w:cs="Arial"/>
                <w:bCs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Cs/>
                <w:sz w:val="16"/>
                <w:szCs w:val="16"/>
                <w:lang w:val="sr-Latn-RS" w:eastAsia="sr-Latn-RS"/>
              </w:rPr>
              <w:t>Негативне курсне разлике по основу прерачуна готовине</w:t>
            </w:r>
          </w:p>
        </w:tc>
        <w:tc>
          <w:tcPr>
            <w:tcW w:w="1177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sz w:val="16"/>
                <w:szCs w:val="16"/>
                <w:lang w:val="sr-Latn-RS" w:eastAsia="sr-Latn-RS"/>
              </w:rPr>
              <w:t>12,536</w:t>
            </w:r>
          </w:p>
        </w:tc>
        <w:tc>
          <w:tcPr>
            <w:tcW w:w="1134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sz w:val="16"/>
                <w:szCs w:val="16"/>
                <w:lang w:val="sr-Latn-RS" w:eastAsia="sr-Latn-RS"/>
              </w:rPr>
              <w:t>13,327</w:t>
            </w:r>
          </w:p>
        </w:tc>
        <w:tc>
          <w:tcPr>
            <w:tcW w:w="1134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sz w:val="16"/>
                <w:szCs w:val="16"/>
                <w:lang w:val="sr-Latn-RS" w:eastAsia="sr-Latn-RS"/>
              </w:rPr>
              <w:t>13,004</w:t>
            </w:r>
          </w:p>
        </w:tc>
        <w:tc>
          <w:tcPr>
            <w:tcW w:w="1134" w:type="dxa"/>
            <w:tcBorders>
              <w:top w:val="single" w:sz="4" w:space="0" w:color="DBE5F1" w:themeColor="accent1" w:themeTint="33"/>
            </w:tcBorders>
            <w:shd w:val="clear" w:color="auto" w:fill="FFFFFF" w:themeFill="background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sz w:val="16"/>
                <w:szCs w:val="16"/>
                <w:lang w:val="sr-Latn-RS" w:eastAsia="sr-Latn-RS"/>
              </w:rPr>
              <w:t>13,213</w:t>
            </w:r>
          </w:p>
        </w:tc>
      </w:tr>
      <w:tr w:rsidR="00D51543" w:rsidRPr="00BB2488" w:rsidTr="00574B77">
        <w:trPr>
          <w:trHeight w:val="397"/>
        </w:trPr>
        <w:tc>
          <w:tcPr>
            <w:tcW w:w="6336" w:type="dxa"/>
            <w:gridSpan w:val="2"/>
            <w:shd w:val="clear" w:color="auto" w:fill="4F81BD" w:themeFill="accent1"/>
            <w:vAlign w:val="center"/>
            <w:hideMark/>
          </w:tcPr>
          <w:p w:rsidR="00D51543" w:rsidRPr="00BB2488" w:rsidRDefault="00D51543" w:rsidP="00574B77">
            <w:pPr>
              <w:suppressAutoHyphens w:val="0"/>
              <w:rPr>
                <w:rFonts w:ascii="Verdana" w:eastAsia="Arial Unicode MS" w:hAnsi="Verdana" w:cs="Arial Unicode MS"/>
                <w:b/>
                <w:bCs/>
                <w:color w:val="FFFFFF" w:themeColor="background1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eastAsia="Arial Unicode MS" w:hAnsi="Verdana" w:cs="Arial Unicode MS"/>
                <w:b/>
                <w:bCs/>
                <w:color w:val="FFFFFF" w:themeColor="background1"/>
                <w:sz w:val="16"/>
                <w:szCs w:val="16"/>
                <w:lang w:val="sr-Latn-RS" w:eastAsia="sr-Latn-RS"/>
              </w:rPr>
              <w:t xml:space="preserve">ГОТОВИНА НА КРАЈУ ОБРАЧУНСКОГ ПЕРИОДА </w:t>
            </w:r>
          </w:p>
        </w:tc>
        <w:tc>
          <w:tcPr>
            <w:tcW w:w="1177" w:type="dxa"/>
            <w:shd w:val="clear" w:color="auto" w:fill="4F81BD" w:themeFill="accent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color w:val="FFFFFF" w:themeColor="background1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color w:val="FFFFFF" w:themeColor="background1"/>
                <w:sz w:val="16"/>
                <w:szCs w:val="16"/>
                <w:lang w:val="sr-Latn-RS" w:eastAsia="sr-Latn-RS"/>
              </w:rPr>
              <w:t>345,118</w:t>
            </w:r>
          </w:p>
        </w:tc>
        <w:tc>
          <w:tcPr>
            <w:tcW w:w="1134" w:type="dxa"/>
            <w:shd w:val="clear" w:color="auto" w:fill="4F81BD" w:themeFill="accent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color w:val="FFFFFF" w:themeColor="background1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color w:val="FFFFFF" w:themeColor="background1"/>
                <w:sz w:val="16"/>
                <w:szCs w:val="16"/>
                <w:lang w:val="sr-Latn-RS" w:eastAsia="sr-Latn-RS"/>
              </w:rPr>
              <w:t>350,533</w:t>
            </w:r>
          </w:p>
        </w:tc>
        <w:tc>
          <w:tcPr>
            <w:tcW w:w="1134" w:type="dxa"/>
            <w:shd w:val="clear" w:color="auto" w:fill="4F81BD" w:themeFill="accent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color w:val="FFFFFF" w:themeColor="background1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color w:val="FFFFFF" w:themeColor="background1"/>
                <w:sz w:val="16"/>
                <w:szCs w:val="16"/>
                <w:lang w:val="sr-Latn-RS" w:eastAsia="sr-Latn-RS"/>
              </w:rPr>
              <w:t>359,242</w:t>
            </w:r>
          </w:p>
        </w:tc>
        <w:tc>
          <w:tcPr>
            <w:tcW w:w="1134" w:type="dxa"/>
            <w:shd w:val="clear" w:color="auto" w:fill="4F81BD" w:themeFill="accent1"/>
            <w:noWrap/>
            <w:vAlign w:val="center"/>
            <w:hideMark/>
          </w:tcPr>
          <w:p w:rsidR="00D51543" w:rsidRPr="00BB2488" w:rsidRDefault="00D51543" w:rsidP="00574B77">
            <w:pPr>
              <w:suppressAutoHyphens w:val="0"/>
              <w:jc w:val="right"/>
              <w:rPr>
                <w:rFonts w:ascii="Verdana" w:hAnsi="Verdana" w:cs="Arial"/>
                <w:b/>
                <w:bCs/>
                <w:color w:val="FFFFFF" w:themeColor="background1"/>
                <w:sz w:val="16"/>
                <w:szCs w:val="16"/>
                <w:lang w:val="sr-Latn-RS" w:eastAsia="sr-Latn-RS"/>
              </w:rPr>
            </w:pPr>
            <w:r w:rsidRPr="00BB2488">
              <w:rPr>
                <w:rFonts w:ascii="Verdana" w:hAnsi="Verdana" w:cs="Arial"/>
                <w:b/>
                <w:bCs/>
                <w:color w:val="FFFFFF" w:themeColor="background1"/>
                <w:sz w:val="16"/>
                <w:szCs w:val="16"/>
                <w:lang w:val="sr-Latn-RS" w:eastAsia="sr-Latn-RS"/>
              </w:rPr>
              <w:t>365,332</w:t>
            </w:r>
          </w:p>
        </w:tc>
      </w:tr>
    </w:tbl>
    <w:p w:rsidR="003C491D" w:rsidRDefault="003C491D" w:rsidP="00D51543">
      <w:pPr>
        <w:pStyle w:val="Heading1"/>
        <w:numPr>
          <w:ilvl w:val="0"/>
          <w:numId w:val="0"/>
        </w:numPr>
        <w:spacing w:before="240" w:after="120"/>
        <w:ind w:left="1418"/>
        <w:jc w:val="left"/>
        <w:rPr>
          <w:rFonts w:ascii="Verdana" w:hAnsi="Verdana"/>
          <w:noProof/>
          <w:sz w:val="20"/>
          <w:szCs w:val="20"/>
          <w:lang w:val="sr-Latn-RS"/>
        </w:rPr>
      </w:pPr>
    </w:p>
    <w:p w:rsidR="002C666B" w:rsidRPr="002C666B" w:rsidRDefault="002C666B" w:rsidP="002C666B">
      <w:pPr>
        <w:suppressAutoHyphens w:val="0"/>
        <w:jc w:val="both"/>
        <w:rPr>
          <w:rFonts w:ascii="Tahoma" w:hAnsi="Tahoma" w:cs="Tahoma"/>
          <w:lang w:val="ru-RU" w:eastAsia="en-US"/>
        </w:rPr>
      </w:pPr>
      <w:r w:rsidRPr="002C666B">
        <w:rPr>
          <w:rFonts w:ascii="Tahoma" w:hAnsi="Tahoma" w:cs="Tahoma"/>
          <w:lang w:eastAsia="en-US"/>
        </w:rPr>
        <w:t xml:space="preserve">     </w:t>
      </w:r>
      <w:r w:rsidRPr="002C666B">
        <w:rPr>
          <w:rFonts w:ascii="Tahoma" w:hAnsi="Tahoma" w:cs="Tahoma"/>
          <w:lang w:val="ru-RU" w:eastAsia="en-US"/>
        </w:rPr>
        <w:t xml:space="preserve">С.Д.бр. </w:t>
      </w:r>
      <w:r w:rsidRPr="002C666B">
        <w:rPr>
          <w:rFonts w:ascii="Tahoma" w:hAnsi="Tahoma" w:cs="Tahoma"/>
          <w:lang w:eastAsia="en-US"/>
        </w:rPr>
        <w:t>3</w:t>
      </w:r>
      <w:r w:rsidRPr="002C666B">
        <w:rPr>
          <w:rFonts w:ascii="Tahoma" w:hAnsi="Tahoma" w:cs="Tahoma"/>
          <w:lang w:val="ru-RU" w:eastAsia="en-US"/>
        </w:rPr>
        <w:t>/8</w:t>
      </w:r>
      <w:r>
        <w:rPr>
          <w:rFonts w:ascii="Tahoma" w:hAnsi="Tahoma" w:cs="Tahoma"/>
          <w:lang w:val="ru-RU" w:eastAsia="en-US"/>
        </w:rPr>
        <w:t>9</w:t>
      </w:r>
    </w:p>
    <w:p w:rsidR="002C666B" w:rsidRPr="002C666B" w:rsidRDefault="002C666B" w:rsidP="002C666B">
      <w:pPr>
        <w:suppressAutoHyphens w:val="0"/>
        <w:ind w:firstLine="426"/>
        <w:jc w:val="both"/>
        <w:rPr>
          <w:rFonts w:ascii="Tahoma" w:hAnsi="Tahoma" w:cs="Tahoma"/>
          <w:lang w:val="ru-RU" w:eastAsia="en-US"/>
        </w:rPr>
      </w:pPr>
      <w:r>
        <w:rPr>
          <w:rFonts w:ascii="Tahoma" w:hAnsi="Tahoma" w:cs="Tahoma"/>
          <w:lang w:val="ru-RU" w:eastAsia="en-US"/>
        </w:rPr>
        <w:t>17</w:t>
      </w:r>
      <w:r w:rsidRPr="002C666B">
        <w:rPr>
          <w:rFonts w:ascii="Tahoma" w:hAnsi="Tahoma" w:cs="Tahoma"/>
          <w:lang w:val="ru-RU" w:eastAsia="en-US"/>
        </w:rPr>
        <w:t>.</w:t>
      </w:r>
      <w:r w:rsidRPr="002C666B">
        <w:rPr>
          <w:rFonts w:ascii="Tahoma" w:hAnsi="Tahoma" w:cs="Tahoma"/>
          <w:lang w:eastAsia="en-US"/>
        </w:rPr>
        <w:t xml:space="preserve"> </w:t>
      </w:r>
      <w:r>
        <w:rPr>
          <w:rFonts w:ascii="Tahoma" w:hAnsi="Tahoma" w:cs="Tahoma"/>
          <w:lang w:val="sr-Cyrl-RS" w:eastAsia="en-US"/>
        </w:rPr>
        <w:t>нов</w:t>
      </w:r>
      <w:r w:rsidRPr="002C666B">
        <w:rPr>
          <w:rFonts w:ascii="Tahoma" w:hAnsi="Tahoma" w:cs="Tahoma"/>
          <w:lang w:val="sr-Cyrl-RS" w:eastAsia="en-US"/>
        </w:rPr>
        <w:t xml:space="preserve">ембра </w:t>
      </w:r>
      <w:r w:rsidRPr="002C666B">
        <w:rPr>
          <w:rFonts w:ascii="Tahoma" w:hAnsi="Tahoma" w:cs="Tahoma"/>
          <w:lang w:val="ru-RU" w:eastAsia="en-US"/>
        </w:rPr>
        <w:t>2015. године                       ПРЕДСЕДНИК СКУПШТИНЕ</w:t>
      </w:r>
    </w:p>
    <w:p w:rsidR="002C666B" w:rsidRPr="002C666B" w:rsidRDefault="002C666B" w:rsidP="002C666B">
      <w:pPr>
        <w:tabs>
          <w:tab w:val="left" w:pos="426"/>
        </w:tabs>
        <w:suppressAutoHyphens w:val="0"/>
        <w:jc w:val="both"/>
        <w:rPr>
          <w:rFonts w:ascii="Tahoma" w:hAnsi="Tahoma" w:cs="Tahoma"/>
          <w:lang w:val="ru-RU" w:eastAsia="en-US"/>
        </w:rPr>
      </w:pPr>
      <w:r w:rsidRPr="002C666B">
        <w:rPr>
          <w:rFonts w:ascii="Tahoma" w:hAnsi="Tahoma" w:cs="Tahoma"/>
          <w:lang w:eastAsia="en-US"/>
        </w:rPr>
        <w:t xml:space="preserve">      </w:t>
      </w:r>
      <w:r w:rsidRPr="002C666B">
        <w:rPr>
          <w:rFonts w:ascii="Tahoma" w:hAnsi="Tahoma" w:cs="Tahoma"/>
          <w:lang w:val="ru-RU" w:eastAsia="en-US"/>
        </w:rPr>
        <w:t>Београд</w:t>
      </w:r>
    </w:p>
    <w:p w:rsidR="002C666B" w:rsidRPr="002C666B" w:rsidRDefault="002C666B" w:rsidP="002C666B">
      <w:pPr>
        <w:suppressAutoHyphens w:val="0"/>
        <w:jc w:val="both"/>
        <w:rPr>
          <w:rFonts w:ascii="Tahoma" w:hAnsi="Tahoma" w:cs="Tahoma"/>
          <w:lang w:val="ru-RU" w:eastAsia="en-US"/>
        </w:rPr>
      </w:pPr>
      <w:r w:rsidRPr="002C666B">
        <w:rPr>
          <w:rFonts w:ascii="Tahoma" w:hAnsi="Tahoma" w:cs="Tahoma"/>
          <w:lang w:val="ru-RU" w:eastAsia="en-US"/>
        </w:rPr>
        <w:t xml:space="preserve">                                                                        </w:t>
      </w:r>
      <w:r w:rsidRPr="002C666B">
        <w:rPr>
          <w:rFonts w:ascii="Tahoma" w:hAnsi="Tahoma" w:cs="Tahoma"/>
          <w:lang w:val="sr-Cyrl-CS" w:eastAsia="en-US"/>
        </w:rPr>
        <w:t xml:space="preserve">  ________________</w:t>
      </w:r>
      <w:r w:rsidRPr="002C666B">
        <w:rPr>
          <w:rFonts w:ascii="Tahoma" w:hAnsi="Tahoma" w:cs="Tahoma"/>
          <w:lang w:val="ru-RU" w:eastAsia="en-US"/>
        </w:rPr>
        <w:t xml:space="preserve">         </w:t>
      </w:r>
    </w:p>
    <w:p w:rsidR="002C666B" w:rsidRPr="002C666B" w:rsidRDefault="002C666B" w:rsidP="002C666B">
      <w:pPr>
        <w:suppressAutoHyphens w:val="0"/>
        <w:rPr>
          <w:rFonts w:ascii="Tahoma" w:hAnsi="Tahoma" w:cs="Tahoma"/>
          <w:lang w:val="hr-HR" w:eastAsia="en-US"/>
        </w:rPr>
      </w:pPr>
    </w:p>
    <w:p w:rsidR="00D51543" w:rsidRDefault="00D51543" w:rsidP="00D51543">
      <w:pPr>
        <w:rPr>
          <w:lang w:val="sr-Latn-RS"/>
        </w:rPr>
      </w:pPr>
    </w:p>
    <w:sectPr w:rsidR="00D51543" w:rsidSect="0021517B">
      <w:footerReference w:type="default" r:id="rId16"/>
      <w:headerReference w:type="first" r:id="rId17"/>
      <w:footnotePr>
        <w:pos w:val="beneathText"/>
      </w:footnotePr>
      <w:pgSz w:w="12240" w:h="15840" w:code="1"/>
      <w:pgMar w:top="1417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138" w:rsidRDefault="00220138">
      <w:r>
        <w:separator/>
      </w:r>
    </w:p>
  </w:endnote>
  <w:endnote w:type="continuationSeparator" w:id="0">
    <w:p w:rsidR="00220138" w:rsidRDefault="0022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11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672"/>
      <w:gridCol w:w="964"/>
    </w:tblGrid>
    <w:tr w:rsidR="000F1A33" w:rsidTr="007C5B33">
      <w:tc>
        <w:tcPr>
          <w:tcW w:w="4500" w:type="pct"/>
          <w:tcBorders>
            <w:top w:val="single" w:sz="4" w:space="0" w:color="000000"/>
          </w:tcBorders>
        </w:tcPr>
        <w:p w:rsidR="000F1A33" w:rsidRPr="00CD6018" w:rsidRDefault="000F1A33" w:rsidP="002560FB">
          <w:pPr>
            <w:pStyle w:val="Footer"/>
            <w:tabs>
              <w:tab w:val="clear" w:pos="4703"/>
            </w:tabs>
            <w:jc w:val="right"/>
            <w:rPr>
              <w:rFonts w:ascii="Verdana" w:hAnsi="Verdana"/>
              <w:sz w:val="20"/>
            </w:rPr>
          </w:pPr>
          <w:r w:rsidRPr="009229C3">
            <w:rPr>
              <w:rFonts w:ascii="Verdana" w:hAnsi="Verdana"/>
              <w:sz w:val="20"/>
            </w:rPr>
            <w:t>Пословн</w:t>
          </w:r>
          <w:r>
            <w:rPr>
              <w:rFonts w:ascii="Verdana" w:hAnsi="Verdana"/>
              <w:sz w:val="20"/>
              <w:lang w:val="sr-Cyrl-RS"/>
            </w:rPr>
            <w:t>и</w:t>
          </w:r>
          <w:r w:rsidRPr="009229C3">
            <w:rPr>
              <w:rFonts w:ascii="Verdana" w:hAnsi="Verdana"/>
              <w:sz w:val="20"/>
            </w:rPr>
            <w:t xml:space="preserve"> </w:t>
          </w:r>
          <w:r>
            <w:rPr>
              <w:rFonts w:ascii="Verdana" w:hAnsi="Verdana"/>
              <w:sz w:val="20"/>
              <w:lang w:val="sr-Cyrl-RS"/>
            </w:rPr>
            <w:t>план Акционарског друштва за реосигурање Дунав Ре</w:t>
          </w:r>
          <w:r w:rsidRPr="00CD6018">
            <w:rPr>
              <w:rFonts w:ascii="Verdana" w:hAnsi="Verdana"/>
              <w:sz w:val="20"/>
            </w:rPr>
            <w:t xml:space="preserve"> | </w:t>
          </w:r>
          <w:r w:rsidRPr="00CD6018">
            <w:rPr>
              <w:rFonts w:ascii="Verdana" w:hAnsi="Verdana"/>
              <w:sz w:val="20"/>
              <w:lang w:val="sr-Cyrl-CS"/>
            </w:rPr>
            <w:t>страна</w:t>
          </w:r>
        </w:p>
      </w:tc>
      <w:tc>
        <w:tcPr>
          <w:tcW w:w="500" w:type="pct"/>
          <w:tcBorders>
            <w:top w:val="single" w:sz="4" w:space="0" w:color="4F81BD"/>
          </w:tcBorders>
          <w:shd w:val="clear" w:color="auto" w:fill="4F81BD"/>
        </w:tcPr>
        <w:p w:rsidR="000F1A33" w:rsidRDefault="000F1A33">
          <w:pPr>
            <w:pStyle w:val="Header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C666B" w:rsidRPr="002C666B">
            <w:rPr>
              <w:noProof/>
              <w:color w:val="FFFFFF"/>
            </w:rPr>
            <w:t>14</w:t>
          </w:r>
          <w:r>
            <w:rPr>
              <w:noProof/>
              <w:color w:val="FFFFFF"/>
            </w:rPr>
            <w:fldChar w:fldCharType="end"/>
          </w:r>
        </w:p>
      </w:tc>
    </w:tr>
  </w:tbl>
  <w:p w:rsidR="000F1A33" w:rsidRPr="00CD6018" w:rsidRDefault="000F1A33" w:rsidP="00CD6018">
    <w:pPr>
      <w:pStyle w:val="Footer"/>
      <w:rPr>
        <w:lang w:val="sr-Cyrl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138" w:rsidRDefault="00220138">
      <w:r>
        <w:separator/>
      </w:r>
    </w:p>
  </w:footnote>
  <w:footnote w:type="continuationSeparator" w:id="0">
    <w:p w:rsidR="00220138" w:rsidRDefault="002201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A33" w:rsidRPr="00F62553" w:rsidRDefault="000F1A33" w:rsidP="00F62553">
    <w:pPr>
      <w:pStyle w:val="Header"/>
      <w:tabs>
        <w:tab w:val="clear" w:pos="4536"/>
      </w:tabs>
      <w:ind w:firstLine="1080"/>
      <w:rPr>
        <w:rFonts w:ascii="Tahoma" w:hAnsi="Tahoma" w:cs="Tahoma"/>
        <w:sz w:val="20"/>
        <w:szCs w:val="20"/>
        <w:lang w:val="sr-Cyrl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Symbol" w:hAnsi="Symbol" w:cs="Symbol"/>
        <w:color w:val="auto"/>
        <w:sz w:val="24"/>
        <w:szCs w:val="24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4"/>
      <w:numFmt w:val="decimal"/>
      <w:lvlText w:val="%2)"/>
      <w:lvlJc w:val="left"/>
      <w:pPr>
        <w:tabs>
          <w:tab w:val="num" w:pos="994"/>
        </w:tabs>
        <w:ind w:left="99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0000004"/>
    <w:multiLevelType w:val="singleLevel"/>
    <w:tmpl w:val="00000004"/>
    <w:name w:val="WW8Num4"/>
    <w:lvl w:ilvl="0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1D91141"/>
    <w:multiLevelType w:val="multilevel"/>
    <w:tmpl w:val="BEA8EB6C"/>
    <w:lvl w:ilvl="0">
      <w:start w:val="1"/>
      <w:numFmt w:val="decimal"/>
      <w:pStyle w:val="Style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6B60EA"/>
    <w:multiLevelType w:val="hybridMultilevel"/>
    <w:tmpl w:val="054ED5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4A60BD4"/>
    <w:multiLevelType w:val="hybridMultilevel"/>
    <w:tmpl w:val="F5ECFAB4"/>
    <w:lvl w:ilvl="0" w:tplc="B1F6A86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  <w:sz w:val="18"/>
        <w:szCs w:val="18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0C2E669D"/>
    <w:multiLevelType w:val="hybridMultilevel"/>
    <w:tmpl w:val="DA5EFEAA"/>
    <w:lvl w:ilvl="0" w:tplc="241A0011">
      <w:start w:val="1"/>
      <w:numFmt w:val="decimal"/>
      <w:lvlText w:val="%1)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CD63269"/>
    <w:multiLevelType w:val="hybridMultilevel"/>
    <w:tmpl w:val="4E58144E"/>
    <w:lvl w:ilvl="0" w:tplc="241A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0D162C98"/>
    <w:multiLevelType w:val="hybridMultilevel"/>
    <w:tmpl w:val="5F32A040"/>
    <w:lvl w:ilvl="0" w:tplc="57249A84">
      <w:start w:val="1"/>
      <w:numFmt w:val="bullet"/>
      <w:lvlText w:val=""/>
      <w:lvlJc w:val="left"/>
      <w:pPr>
        <w:ind w:left="1050" w:hanging="360"/>
      </w:pPr>
      <w:rPr>
        <w:rFonts w:ascii="Wingdings" w:hAnsi="Wingdings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0">
    <w:nsid w:val="10DE5AAA"/>
    <w:multiLevelType w:val="hybridMultilevel"/>
    <w:tmpl w:val="0D56FA04"/>
    <w:lvl w:ilvl="0" w:tplc="631EDF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sz w:val="22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5D00B29"/>
    <w:multiLevelType w:val="hybridMultilevel"/>
    <w:tmpl w:val="E54C1D86"/>
    <w:lvl w:ilvl="0" w:tplc="5EB001E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/>
        <w:color w:val="4F81BD"/>
        <w:sz w:val="22"/>
        <w:szCs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C0D66CD"/>
    <w:multiLevelType w:val="hybridMultilevel"/>
    <w:tmpl w:val="4C0A89F8"/>
    <w:lvl w:ilvl="0" w:tplc="241A0011">
      <w:start w:val="1"/>
      <w:numFmt w:val="decimal"/>
      <w:lvlText w:val="%1)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E7517BA"/>
    <w:multiLevelType w:val="hybridMultilevel"/>
    <w:tmpl w:val="0456CC72"/>
    <w:lvl w:ilvl="0" w:tplc="631EDFF6">
      <w:start w:val="1"/>
      <w:numFmt w:val="bullet"/>
      <w:lvlText w:val=""/>
      <w:lvlJc w:val="left"/>
      <w:pPr>
        <w:ind w:left="1075" w:hanging="360"/>
      </w:pPr>
      <w:rPr>
        <w:rFonts w:ascii="Symbol" w:hAnsi="Symbol" w:hint="default"/>
        <w:color w:val="auto"/>
        <w:sz w:val="22"/>
      </w:rPr>
    </w:lvl>
    <w:lvl w:ilvl="1" w:tplc="241A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4">
    <w:nsid w:val="2917001B"/>
    <w:multiLevelType w:val="multilevel"/>
    <w:tmpl w:val="E04AFB8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sz w:val="24"/>
        <w:szCs w:val="22"/>
      </w:rPr>
    </w:lvl>
    <w:lvl w:ilvl="1">
      <w:start w:val="1"/>
      <w:numFmt w:val="decimal"/>
      <w:lvlText w:val="%1.%2"/>
      <w:lvlJc w:val="left"/>
      <w:pPr>
        <w:tabs>
          <w:tab w:val="num" w:pos="336"/>
        </w:tabs>
        <w:ind w:left="33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6870"/>
        </w:tabs>
        <w:ind w:left="6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8"/>
        </w:tabs>
        <w:ind w:left="91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62"/>
        </w:tabs>
        <w:ind w:left="106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06"/>
        </w:tabs>
        <w:ind w:left="120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50"/>
        </w:tabs>
        <w:ind w:left="13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94"/>
        </w:tabs>
        <w:ind w:left="1494" w:hanging="1584"/>
      </w:pPr>
      <w:rPr>
        <w:rFonts w:hint="default"/>
      </w:rPr>
    </w:lvl>
  </w:abstractNum>
  <w:abstractNum w:abstractNumId="15">
    <w:nsid w:val="2A232F4B"/>
    <w:multiLevelType w:val="hybridMultilevel"/>
    <w:tmpl w:val="01403610"/>
    <w:lvl w:ilvl="0" w:tplc="631EDF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sz w:val="22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E8C74CC"/>
    <w:multiLevelType w:val="hybridMultilevel"/>
    <w:tmpl w:val="ED940718"/>
    <w:lvl w:ilvl="0" w:tplc="B1F6A86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  <w:sz w:val="18"/>
        <w:szCs w:val="18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7BD0A37"/>
    <w:multiLevelType w:val="hybridMultilevel"/>
    <w:tmpl w:val="2E3632BC"/>
    <w:lvl w:ilvl="0" w:tplc="241A0011">
      <w:start w:val="1"/>
      <w:numFmt w:val="decimal"/>
      <w:lvlText w:val="%1)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8AE2D52"/>
    <w:multiLevelType w:val="hybridMultilevel"/>
    <w:tmpl w:val="D1ECE624"/>
    <w:lvl w:ilvl="0" w:tplc="241A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9F520AF"/>
    <w:multiLevelType w:val="hybridMultilevel"/>
    <w:tmpl w:val="7714B656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3A644D6D"/>
    <w:multiLevelType w:val="hybridMultilevel"/>
    <w:tmpl w:val="29FE4C32"/>
    <w:lvl w:ilvl="0" w:tplc="241A000D">
      <w:start w:val="1"/>
      <w:numFmt w:val="bullet"/>
      <w:lvlText w:val=""/>
      <w:lvlJc w:val="left"/>
      <w:pPr>
        <w:ind w:left="992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21">
    <w:nsid w:val="3AAB639E"/>
    <w:multiLevelType w:val="hybridMultilevel"/>
    <w:tmpl w:val="8FA41842"/>
    <w:lvl w:ilvl="0" w:tplc="A2F87E30">
      <w:start w:val="1"/>
      <w:numFmt w:val="decimal"/>
      <w:lvlText w:val="%1)"/>
      <w:lvlJc w:val="left"/>
      <w:pPr>
        <w:ind w:left="884" w:hanging="60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0985A1B"/>
    <w:multiLevelType w:val="hybridMultilevel"/>
    <w:tmpl w:val="03D2132C"/>
    <w:lvl w:ilvl="0" w:tplc="241A0011">
      <w:start w:val="1"/>
      <w:numFmt w:val="decimal"/>
      <w:lvlText w:val="%1)"/>
      <w:lvlJc w:val="left"/>
      <w:pPr>
        <w:ind w:left="992" w:hanging="360"/>
      </w:pPr>
    </w:lvl>
    <w:lvl w:ilvl="1" w:tplc="241A0019" w:tentative="1">
      <w:start w:val="1"/>
      <w:numFmt w:val="lowerLetter"/>
      <w:lvlText w:val="%2."/>
      <w:lvlJc w:val="left"/>
      <w:pPr>
        <w:ind w:left="1712" w:hanging="360"/>
      </w:pPr>
    </w:lvl>
    <w:lvl w:ilvl="2" w:tplc="241A001B" w:tentative="1">
      <w:start w:val="1"/>
      <w:numFmt w:val="lowerRoman"/>
      <w:lvlText w:val="%3."/>
      <w:lvlJc w:val="right"/>
      <w:pPr>
        <w:ind w:left="2432" w:hanging="180"/>
      </w:pPr>
    </w:lvl>
    <w:lvl w:ilvl="3" w:tplc="241A000F" w:tentative="1">
      <w:start w:val="1"/>
      <w:numFmt w:val="decimal"/>
      <w:lvlText w:val="%4."/>
      <w:lvlJc w:val="left"/>
      <w:pPr>
        <w:ind w:left="3152" w:hanging="360"/>
      </w:pPr>
    </w:lvl>
    <w:lvl w:ilvl="4" w:tplc="241A0019" w:tentative="1">
      <w:start w:val="1"/>
      <w:numFmt w:val="lowerLetter"/>
      <w:lvlText w:val="%5."/>
      <w:lvlJc w:val="left"/>
      <w:pPr>
        <w:ind w:left="3872" w:hanging="360"/>
      </w:pPr>
    </w:lvl>
    <w:lvl w:ilvl="5" w:tplc="241A001B" w:tentative="1">
      <w:start w:val="1"/>
      <w:numFmt w:val="lowerRoman"/>
      <w:lvlText w:val="%6."/>
      <w:lvlJc w:val="right"/>
      <w:pPr>
        <w:ind w:left="4592" w:hanging="180"/>
      </w:pPr>
    </w:lvl>
    <w:lvl w:ilvl="6" w:tplc="241A000F" w:tentative="1">
      <w:start w:val="1"/>
      <w:numFmt w:val="decimal"/>
      <w:lvlText w:val="%7."/>
      <w:lvlJc w:val="left"/>
      <w:pPr>
        <w:ind w:left="5312" w:hanging="360"/>
      </w:pPr>
    </w:lvl>
    <w:lvl w:ilvl="7" w:tplc="241A0019" w:tentative="1">
      <w:start w:val="1"/>
      <w:numFmt w:val="lowerLetter"/>
      <w:lvlText w:val="%8."/>
      <w:lvlJc w:val="left"/>
      <w:pPr>
        <w:ind w:left="6032" w:hanging="360"/>
      </w:pPr>
    </w:lvl>
    <w:lvl w:ilvl="8" w:tplc="241A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23">
    <w:nsid w:val="415C16A3"/>
    <w:multiLevelType w:val="hybridMultilevel"/>
    <w:tmpl w:val="2FE0F7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F45E7A"/>
    <w:multiLevelType w:val="hybridMultilevel"/>
    <w:tmpl w:val="F1C47282"/>
    <w:lvl w:ilvl="0" w:tplc="631EDF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66D7D"/>
    <w:multiLevelType w:val="hybridMultilevel"/>
    <w:tmpl w:val="3BA6C8F8"/>
    <w:lvl w:ilvl="0" w:tplc="57249A84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7C1068E"/>
    <w:multiLevelType w:val="hybridMultilevel"/>
    <w:tmpl w:val="44B8DE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621E26"/>
    <w:multiLevelType w:val="hybridMultilevel"/>
    <w:tmpl w:val="9C969008"/>
    <w:lvl w:ilvl="0" w:tplc="040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B56551E"/>
    <w:multiLevelType w:val="multilevel"/>
    <w:tmpl w:val="E04AFB8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sz w:val="24"/>
        <w:szCs w:val="22"/>
      </w:rPr>
    </w:lvl>
    <w:lvl w:ilvl="1">
      <w:start w:val="1"/>
      <w:numFmt w:val="decimal"/>
      <w:lvlText w:val="%1.%2"/>
      <w:lvlJc w:val="left"/>
      <w:pPr>
        <w:tabs>
          <w:tab w:val="num" w:pos="336"/>
        </w:tabs>
        <w:ind w:left="33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6870"/>
        </w:tabs>
        <w:ind w:left="6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8"/>
        </w:tabs>
        <w:ind w:left="91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62"/>
        </w:tabs>
        <w:ind w:left="106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06"/>
        </w:tabs>
        <w:ind w:left="120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50"/>
        </w:tabs>
        <w:ind w:left="13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94"/>
        </w:tabs>
        <w:ind w:left="1494" w:hanging="1584"/>
      </w:pPr>
      <w:rPr>
        <w:rFonts w:hint="default"/>
      </w:rPr>
    </w:lvl>
  </w:abstractNum>
  <w:abstractNum w:abstractNumId="29">
    <w:nsid w:val="4E961228"/>
    <w:multiLevelType w:val="hybridMultilevel"/>
    <w:tmpl w:val="3F8C72BC"/>
    <w:lvl w:ilvl="0" w:tplc="241A0013">
      <w:start w:val="1"/>
      <w:numFmt w:val="upperRoman"/>
      <w:lvlText w:val="%1."/>
      <w:lvlJc w:val="right"/>
      <w:pPr>
        <w:ind w:left="992" w:hanging="360"/>
      </w:pPr>
    </w:lvl>
    <w:lvl w:ilvl="1" w:tplc="241A0019" w:tentative="1">
      <w:start w:val="1"/>
      <w:numFmt w:val="lowerLetter"/>
      <w:lvlText w:val="%2."/>
      <w:lvlJc w:val="left"/>
      <w:pPr>
        <w:ind w:left="1712" w:hanging="360"/>
      </w:pPr>
    </w:lvl>
    <w:lvl w:ilvl="2" w:tplc="241A001B" w:tentative="1">
      <w:start w:val="1"/>
      <w:numFmt w:val="lowerRoman"/>
      <w:lvlText w:val="%3."/>
      <w:lvlJc w:val="right"/>
      <w:pPr>
        <w:ind w:left="2432" w:hanging="180"/>
      </w:pPr>
    </w:lvl>
    <w:lvl w:ilvl="3" w:tplc="241A000F" w:tentative="1">
      <w:start w:val="1"/>
      <w:numFmt w:val="decimal"/>
      <w:lvlText w:val="%4."/>
      <w:lvlJc w:val="left"/>
      <w:pPr>
        <w:ind w:left="3152" w:hanging="360"/>
      </w:pPr>
    </w:lvl>
    <w:lvl w:ilvl="4" w:tplc="241A0019" w:tentative="1">
      <w:start w:val="1"/>
      <w:numFmt w:val="lowerLetter"/>
      <w:lvlText w:val="%5."/>
      <w:lvlJc w:val="left"/>
      <w:pPr>
        <w:ind w:left="3872" w:hanging="360"/>
      </w:pPr>
    </w:lvl>
    <w:lvl w:ilvl="5" w:tplc="241A001B" w:tentative="1">
      <w:start w:val="1"/>
      <w:numFmt w:val="lowerRoman"/>
      <w:lvlText w:val="%6."/>
      <w:lvlJc w:val="right"/>
      <w:pPr>
        <w:ind w:left="4592" w:hanging="180"/>
      </w:pPr>
    </w:lvl>
    <w:lvl w:ilvl="6" w:tplc="241A000F" w:tentative="1">
      <w:start w:val="1"/>
      <w:numFmt w:val="decimal"/>
      <w:lvlText w:val="%7."/>
      <w:lvlJc w:val="left"/>
      <w:pPr>
        <w:ind w:left="5312" w:hanging="360"/>
      </w:pPr>
    </w:lvl>
    <w:lvl w:ilvl="7" w:tplc="241A0019" w:tentative="1">
      <w:start w:val="1"/>
      <w:numFmt w:val="lowerLetter"/>
      <w:lvlText w:val="%8."/>
      <w:lvlJc w:val="left"/>
      <w:pPr>
        <w:ind w:left="6032" w:hanging="360"/>
      </w:pPr>
    </w:lvl>
    <w:lvl w:ilvl="8" w:tplc="241A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30">
    <w:nsid w:val="4F622B81"/>
    <w:multiLevelType w:val="hybridMultilevel"/>
    <w:tmpl w:val="6C5A1444"/>
    <w:lvl w:ilvl="0" w:tplc="241A0013">
      <w:start w:val="1"/>
      <w:numFmt w:val="upperRoman"/>
      <w:lvlText w:val="%1."/>
      <w:lvlJc w:val="righ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50883038"/>
    <w:multiLevelType w:val="hybridMultilevel"/>
    <w:tmpl w:val="1BEC9C68"/>
    <w:lvl w:ilvl="0" w:tplc="631EDF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sz w:val="22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12A10DF"/>
    <w:multiLevelType w:val="hybridMultilevel"/>
    <w:tmpl w:val="74F07DD8"/>
    <w:lvl w:ilvl="0" w:tplc="631EDF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857116"/>
    <w:multiLevelType w:val="hybridMultilevel"/>
    <w:tmpl w:val="4484018C"/>
    <w:lvl w:ilvl="0" w:tplc="241A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53400B58"/>
    <w:multiLevelType w:val="hybridMultilevel"/>
    <w:tmpl w:val="B93604A8"/>
    <w:lvl w:ilvl="0" w:tplc="A7B0A9CA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54A73F9D"/>
    <w:multiLevelType w:val="hybridMultilevel"/>
    <w:tmpl w:val="53D80E9E"/>
    <w:lvl w:ilvl="0" w:tplc="57249A84">
      <w:start w:val="1"/>
      <w:numFmt w:val="bullet"/>
      <w:lvlText w:val=""/>
      <w:lvlJc w:val="left"/>
      <w:pPr>
        <w:ind w:left="1072" w:hanging="360"/>
      </w:pPr>
      <w:rPr>
        <w:rFonts w:ascii="Wingdings" w:hAnsi="Wingdings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6">
    <w:nsid w:val="58F92382"/>
    <w:multiLevelType w:val="hybridMultilevel"/>
    <w:tmpl w:val="3BA0DAC8"/>
    <w:lvl w:ilvl="0" w:tplc="B77C8B2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EF7DA1"/>
    <w:multiLevelType w:val="multilevel"/>
    <w:tmpl w:val="C3FADEA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Tahoma" w:hAnsi="Tahoma" w:cs="Tahoma" w:hint="default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36"/>
        </w:tabs>
        <w:ind w:left="33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6870"/>
        </w:tabs>
        <w:ind w:left="687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918"/>
        </w:tabs>
        <w:ind w:left="91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62"/>
        </w:tabs>
        <w:ind w:left="106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06"/>
        </w:tabs>
        <w:ind w:left="120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350"/>
        </w:tabs>
        <w:ind w:left="135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494"/>
        </w:tabs>
        <w:ind w:left="1494" w:hanging="1584"/>
      </w:pPr>
      <w:rPr>
        <w:rFonts w:hint="default"/>
      </w:rPr>
    </w:lvl>
  </w:abstractNum>
  <w:abstractNum w:abstractNumId="38">
    <w:nsid w:val="5A315DF3"/>
    <w:multiLevelType w:val="hybridMultilevel"/>
    <w:tmpl w:val="D904FE62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610C50F1"/>
    <w:multiLevelType w:val="hybridMultilevel"/>
    <w:tmpl w:val="B34630F2"/>
    <w:lvl w:ilvl="0" w:tplc="B77C8B28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color w:val="auto"/>
        <w:sz w:val="22"/>
        <w:szCs w:val="22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65F77DEA"/>
    <w:multiLevelType w:val="hybridMultilevel"/>
    <w:tmpl w:val="7E5C05D0"/>
    <w:lvl w:ilvl="0" w:tplc="57249A84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6B137E00"/>
    <w:multiLevelType w:val="hybridMultilevel"/>
    <w:tmpl w:val="194003AC"/>
    <w:lvl w:ilvl="0" w:tplc="631EDFF6">
      <w:start w:val="1"/>
      <w:numFmt w:val="bullet"/>
      <w:lvlText w:val=""/>
      <w:lvlJc w:val="left"/>
      <w:pPr>
        <w:ind w:left="992" w:hanging="360"/>
      </w:pPr>
      <w:rPr>
        <w:rFonts w:ascii="Symbol" w:hAnsi="Symbol" w:hint="default"/>
        <w:color w:val="auto"/>
        <w:sz w:val="22"/>
      </w:rPr>
    </w:lvl>
    <w:lvl w:ilvl="1" w:tplc="241A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42">
    <w:nsid w:val="6CED217F"/>
    <w:multiLevelType w:val="hybridMultilevel"/>
    <w:tmpl w:val="69DEF47E"/>
    <w:lvl w:ilvl="0" w:tplc="241A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>
    <w:nsid w:val="6EA75025"/>
    <w:multiLevelType w:val="hybridMultilevel"/>
    <w:tmpl w:val="C8E8F6D8"/>
    <w:lvl w:ilvl="0" w:tplc="A828B330">
      <w:numFmt w:val="bullet"/>
      <w:lvlText w:val="-"/>
      <w:lvlJc w:val="left"/>
      <w:pPr>
        <w:ind w:left="1440" w:hanging="360"/>
      </w:pPr>
      <w:rPr>
        <w:rFonts w:ascii="Cambria" w:eastAsia="Times New Roman" w:hAnsi="Cambria" w:cs="Tahoma" w:hint="default"/>
        <w:b/>
        <w:sz w:val="56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6F2C403B"/>
    <w:multiLevelType w:val="hybridMultilevel"/>
    <w:tmpl w:val="91F849FA"/>
    <w:lvl w:ilvl="0" w:tplc="5614C2A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7473C1"/>
    <w:multiLevelType w:val="hybridMultilevel"/>
    <w:tmpl w:val="E6FCE4D4"/>
    <w:lvl w:ilvl="0" w:tplc="B1F6A86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  <w:sz w:val="18"/>
        <w:szCs w:val="18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>
    <w:nsid w:val="73A006A8"/>
    <w:multiLevelType w:val="hybridMultilevel"/>
    <w:tmpl w:val="17069CF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333260"/>
    <w:multiLevelType w:val="hybridMultilevel"/>
    <w:tmpl w:val="76307626"/>
    <w:lvl w:ilvl="0" w:tplc="B77C8B28">
      <w:start w:val="1"/>
      <w:numFmt w:val="bullet"/>
      <w:lvlText w:val=""/>
      <w:lvlJc w:val="left"/>
      <w:pPr>
        <w:ind w:left="1072" w:hanging="360"/>
      </w:pPr>
      <w:rPr>
        <w:rFonts w:ascii="Wingdings" w:hAnsi="Wingdings" w:hint="default"/>
        <w:color w:val="auto"/>
        <w:sz w:val="22"/>
        <w:szCs w:val="22"/>
      </w:rPr>
    </w:lvl>
    <w:lvl w:ilvl="1" w:tplc="241A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8">
    <w:nsid w:val="7BC61FC8"/>
    <w:multiLevelType w:val="hybridMultilevel"/>
    <w:tmpl w:val="05EC814A"/>
    <w:lvl w:ilvl="0" w:tplc="241A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>
    <w:nsid w:val="7CB618CB"/>
    <w:multiLevelType w:val="hybridMultilevel"/>
    <w:tmpl w:val="03506A5E"/>
    <w:lvl w:ilvl="0" w:tplc="241A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>
    <w:nsid w:val="7E195BAC"/>
    <w:multiLevelType w:val="hybridMultilevel"/>
    <w:tmpl w:val="69FE93E0"/>
    <w:lvl w:ilvl="0" w:tplc="040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>
    <w:nsid w:val="7FB04DC5"/>
    <w:multiLevelType w:val="hybridMultilevel"/>
    <w:tmpl w:val="B0E4CA9E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37"/>
  </w:num>
  <w:num w:numId="3">
    <w:abstractNumId w:val="28"/>
  </w:num>
  <w:num w:numId="4">
    <w:abstractNumId w:val="9"/>
  </w:num>
  <w:num w:numId="5">
    <w:abstractNumId w:val="36"/>
  </w:num>
  <w:num w:numId="6">
    <w:abstractNumId w:val="34"/>
  </w:num>
  <w:num w:numId="7">
    <w:abstractNumId w:val="11"/>
  </w:num>
  <w:num w:numId="8">
    <w:abstractNumId w:val="44"/>
  </w:num>
  <w:num w:numId="9">
    <w:abstractNumId w:val="5"/>
  </w:num>
  <w:num w:numId="10">
    <w:abstractNumId w:val="23"/>
  </w:num>
  <w:num w:numId="11">
    <w:abstractNumId w:val="26"/>
  </w:num>
  <w:num w:numId="12">
    <w:abstractNumId w:val="43"/>
  </w:num>
  <w:num w:numId="13">
    <w:abstractNumId w:val="13"/>
  </w:num>
  <w:num w:numId="14">
    <w:abstractNumId w:val="41"/>
  </w:num>
  <w:num w:numId="15">
    <w:abstractNumId w:val="32"/>
  </w:num>
  <w:num w:numId="16">
    <w:abstractNumId w:val="6"/>
  </w:num>
  <w:num w:numId="17">
    <w:abstractNumId w:val="24"/>
  </w:num>
  <w:num w:numId="18">
    <w:abstractNumId w:val="7"/>
  </w:num>
  <w:num w:numId="19">
    <w:abstractNumId w:val="31"/>
  </w:num>
  <w:num w:numId="20">
    <w:abstractNumId w:val="21"/>
  </w:num>
  <w:num w:numId="21">
    <w:abstractNumId w:val="10"/>
  </w:num>
  <w:num w:numId="22">
    <w:abstractNumId w:val="15"/>
  </w:num>
  <w:num w:numId="23">
    <w:abstractNumId w:val="29"/>
  </w:num>
  <w:num w:numId="24">
    <w:abstractNumId w:val="20"/>
  </w:num>
  <w:num w:numId="25">
    <w:abstractNumId w:val="22"/>
  </w:num>
  <w:num w:numId="26">
    <w:abstractNumId w:val="18"/>
  </w:num>
  <w:num w:numId="27">
    <w:abstractNumId w:val="33"/>
  </w:num>
  <w:num w:numId="28">
    <w:abstractNumId w:val="12"/>
  </w:num>
  <w:num w:numId="29">
    <w:abstractNumId w:val="30"/>
  </w:num>
  <w:num w:numId="30">
    <w:abstractNumId w:val="47"/>
  </w:num>
  <w:num w:numId="31">
    <w:abstractNumId w:val="51"/>
  </w:num>
  <w:num w:numId="32">
    <w:abstractNumId w:val="46"/>
  </w:num>
  <w:num w:numId="33">
    <w:abstractNumId w:val="17"/>
  </w:num>
  <w:num w:numId="34">
    <w:abstractNumId w:val="16"/>
  </w:num>
  <w:num w:numId="35">
    <w:abstractNumId w:val="39"/>
  </w:num>
  <w:num w:numId="36">
    <w:abstractNumId w:val="38"/>
  </w:num>
  <w:num w:numId="37">
    <w:abstractNumId w:val="50"/>
  </w:num>
  <w:num w:numId="38">
    <w:abstractNumId w:val="45"/>
  </w:num>
  <w:num w:numId="39">
    <w:abstractNumId w:val="19"/>
  </w:num>
  <w:num w:numId="40">
    <w:abstractNumId w:val="35"/>
  </w:num>
  <w:num w:numId="41">
    <w:abstractNumId w:val="25"/>
  </w:num>
  <w:num w:numId="42">
    <w:abstractNumId w:val="40"/>
  </w:num>
  <w:num w:numId="43">
    <w:abstractNumId w:val="27"/>
  </w:num>
  <w:num w:numId="44">
    <w:abstractNumId w:val="48"/>
  </w:num>
  <w:num w:numId="45">
    <w:abstractNumId w:val="49"/>
  </w:num>
  <w:num w:numId="46">
    <w:abstractNumId w:val="8"/>
  </w:num>
  <w:num w:numId="47">
    <w:abstractNumId w:val="42"/>
  </w:num>
  <w:num w:numId="48">
    <w:abstractNumId w:val="14"/>
  </w:num>
  <w:num w:numId="49">
    <w:abstractNumId w:val="3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savePreviewPicture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2E6"/>
    <w:rsid w:val="00001524"/>
    <w:rsid w:val="00001CAD"/>
    <w:rsid w:val="0000260A"/>
    <w:rsid w:val="00003C31"/>
    <w:rsid w:val="00005143"/>
    <w:rsid w:val="000105C9"/>
    <w:rsid w:val="0001088C"/>
    <w:rsid w:val="00011466"/>
    <w:rsid w:val="00011F73"/>
    <w:rsid w:val="00012946"/>
    <w:rsid w:val="0001378E"/>
    <w:rsid w:val="00013F64"/>
    <w:rsid w:val="00014839"/>
    <w:rsid w:val="00014EA9"/>
    <w:rsid w:val="000159C9"/>
    <w:rsid w:val="00016355"/>
    <w:rsid w:val="000206DD"/>
    <w:rsid w:val="00020741"/>
    <w:rsid w:val="000210EA"/>
    <w:rsid w:val="00021DA7"/>
    <w:rsid w:val="0002356F"/>
    <w:rsid w:val="00023D4F"/>
    <w:rsid w:val="00024747"/>
    <w:rsid w:val="0002541A"/>
    <w:rsid w:val="00025E09"/>
    <w:rsid w:val="00026BDE"/>
    <w:rsid w:val="000300A5"/>
    <w:rsid w:val="000316C1"/>
    <w:rsid w:val="00032036"/>
    <w:rsid w:val="00032087"/>
    <w:rsid w:val="000327AF"/>
    <w:rsid w:val="000329A6"/>
    <w:rsid w:val="00032C35"/>
    <w:rsid w:val="00032FBC"/>
    <w:rsid w:val="00033777"/>
    <w:rsid w:val="00033A10"/>
    <w:rsid w:val="00033B56"/>
    <w:rsid w:val="00035FE5"/>
    <w:rsid w:val="00040F39"/>
    <w:rsid w:val="00042386"/>
    <w:rsid w:val="0004262C"/>
    <w:rsid w:val="00043BAA"/>
    <w:rsid w:val="0004607F"/>
    <w:rsid w:val="00050237"/>
    <w:rsid w:val="0005269F"/>
    <w:rsid w:val="0005275D"/>
    <w:rsid w:val="00053758"/>
    <w:rsid w:val="000554CE"/>
    <w:rsid w:val="00055A16"/>
    <w:rsid w:val="00057698"/>
    <w:rsid w:val="00061A57"/>
    <w:rsid w:val="00062238"/>
    <w:rsid w:val="00064092"/>
    <w:rsid w:val="00065B6A"/>
    <w:rsid w:val="0007040B"/>
    <w:rsid w:val="000725D3"/>
    <w:rsid w:val="00073F44"/>
    <w:rsid w:val="00076004"/>
    <w:rsid w:val="00076A93"/>
    <w:rsid w:val="00077455"/>
    <w:rsid w:val="000815EC"/>
    <w:rsid w:val="0008161D"/>
    <w:rsid w:val="00083024"/>
    <w:rsid w:val="00084459"/>
    <w:rsid w:val="000856BE"/>
    <w:rsid w:val="00086765"/>
    <w:rsid w:val="0008769A"/>
    <w:rsid w:val="00087D64"/>
    <w:rsid w:val="0009016A"/>
    <w:rsid w:val="00093F9A"/>
    <w:rsid w:val="00094101"/>
    <w:rsid w:val="0009473E"/>
    <w:rsid w:val="00095332"/>
    <w:rsid w:val="00096744"/>
    <w:rsid w:val="00097AB0"/>
    <w:rsid w:val="000A3D9B"/>
    <w:rsid w:val="000A4ABC"/>
    <w:rsid w:val="000A5C97"/>
    <w:rsid w:val="000A5DA5"/>
    <w:rsid w:val="000A6A24"/>
    <w:rsid w:val="000B040E"/>
    <w:rsid w:val="000B0615"/>
    <w:rsid w:val="000B102F"/>
    <w:rsid w:val="000B1D71"/>
    <w:rsid w:val="000B31C5"/>
    <w:rsid w:val="000B4C26"/>
    <w:rsid w:val="000B66A9"/>
    <w:rsid w:val="000B6EA4"/>
    <w:rsid w:val="000B7BC6"/>
    <w:rsid w:val="000C08BD"/>
    <w:rsid w:val="000C643A"/>
    <w:rsid w:val="000D0508"/>
    <w:rsid w:val="000D100F"/>
    <w:rsid w:val="000D1A19"/>
    <w:rsid w:val="000D2250"/>
    <w:rsid w:val="000D2946"/>
    <w:rsid w:val="000D2F45"/>
    <w:rsid w:val="000D526E"/>
    <w:rsid w:val="000D58C8"/>
    <w:rsid w:val="000D74F4"/>
    <w:rsid w:val="000E07B5"/>
    <w:rsid w:val="000E0E55"/>
    <w:rsid w:val="000E11C0"/>
    <w:rsid w:val="000E1BCF"/>
    <w:rsid w:val="000E3430"/>
    <w:rsid w:val="000E410B"/>
    <w:rsid w:val="000E44EE"/>
    <w:rsid w:val="000E63E6"/>
    <w:rsid w:val="000E6E7B"/>
    <w:rsid w:val="000F1A33"/>
    <w:rsid w:val="000F2504"/>
    <w:rsid w:val="000F2E13"/>
    <w:rsid w:val="000F38F7"/>
    <w:rsid w:val="000F3BB5"/>
    <w:rsid w:val="000F3F6E"/>
    <w:rsid w:val="00101BDE"/>
    <w:rsid w:val="00103758"/>
    <w:rsid w:val="00106323"/>
    <w:rsid w:val="001069C8"/>
    <w:rsid w:val="00107033"/>
    <w:rsid w:val="00107C9A"/>
    <w:rsid w:val="00110ABD"/>
    <w:rsid w:val="0011173C"/>
    <w:rsid w:val="001143B4"/>
    <w:rsid w:val="00114B30"/>
    <w:rsid w:val="00114CA8"/>
    <w:rsid w:val="00115214"/>
    <w:rsid w:val="00120386"/>
    <w:rsid w:val="00120D66"/>
    <w:rsid w:val="0012138A"/>
    <w:rsid w:val="001219C7"/>
    <w:rsid w:val="001220BB"/>
    <w:rsid w:val="00123360"/>
    <w:rsid w:val="00125D22"/>
    <w:rsid w:val="0012702E"/>
    <w:rsid w:val="001279D0"/>
    <w:rsid w:val="00130541"/>
    <w:rsid w:val="00131927"/>
    <w:rsid w:val="00132F3C"/>
    <w:rsid w:val="00134105"/>
    <w:rsid w:val="0013420C"/>
    <w:rsid w:val="00134703"/>
    <w:rsid w:val="001355D1"/>
    <w:rsid w:val="0013593C"/>
    <w:rsid w:val="0013689A"/>
    <w:rsid w:val="00136E18"/>
    <w:rsid w:val="00136FCC"/>
    <w:rsid w:val="001405F1"/>
    <w:rsid w:val="00140DD1"/>
    <w:rsid w:val="00144068"/>
    <w:rsid w:val="0014742F"/>
    <w:rsid w:val="001479C9"/>
    <w:rsid w:val="00150050"/>
    <w:rsid w:val="00151547"/>
    <w:rsid w:val="001528A5"/>
    <w:rsid w:val="00155E47"/>
    <w:rsid w:val="00156575"/>
    <w:rsid w:val="0015698A"/>
    <w:rsid w:val="00160842"/>
    <w:rsid w:val="00161A8B"/>
    <w:rsid w:val="00162ABE"/>
    <w:rsid w:val="00163051"/>
    <w:rsid w:val="00163102"/>
    <w:rsid w:val="001636E9"/>
    <w:rsid w:val="00166774"/>
    <w:rsid w:val="0016792B"/>
    <w:rsid w:val="00170FCA"/>
    <w:rsid w:val="00173C41"/>
    <w:rsid w:val="001744BC"/>
    <w:rsid w:val="001754B8"/>
    <w:rsid w:val="00175707"/>
    <w:rsid w:val="001773A8"/>
    <w:rsid w:val="00177E50"/>
    <w:rsid w:val="00180EFA"/>
    <w:rsid w:val="0018196D"/>
    <w:rsid w:val="00181AE7"/>
    <w:rsid w:val="001825DC"/>
    <w:rsid w:val="00182885"/>
    <w:rsid w:val="001830B6"/>
    <w:rsid w:val="00184080"/>
    <w:rsid w:val="001855CF"/>
    <w:rsid w:val="001862BF"/>
    <w:rsid w:val="00186DA6"/>
    <w:rsid w:val="00187736"/>
    <w:rsid w:val="00187DB8"/>
    <w:rsid w:val="00190342"/>
    <w:rsid w:val="00192B9D"/>
    <w:rsid w:val="00194254"/>
    <w:rsid w:val="00196007"/>
    <w:rsid w:val="00196C66"/>
    <w:rsid w:val="001A0F6E"/>
    <w:rsid w:val="001A1490"/>
    <w:rsid w:val="001A1A67"/>
    <w:rsid w:val="001A31B5"/>
    <w:rsid w:val="001A37F8"/>
    <w:rsid w:val="001A3BF8"/>
    <w:rsid w:val="001A6E37"/>
    <w:rsid w:val="001A7379"/>
    <w:rsid w:val="001A77A4"/>
    <w:rsid w:val="001A7ECA"/>
    <w:rsid w:val="001B2284"/>
    <w:rsid w:val="001B2CA7"/>
    <w:rsid w:val="001B3E6F"/>
    <w:rsid w:val="001B52E0"/>
    <w:rsid w:val="001B5C2B"/>
    <w:rsid w:val="001B7647"/>
    <w:rsid w:val="001B77D8"/>
    <w:rsid w:val="001B7F32"/>
    <w:rsid w:val="001C05B7"/>
    <w:rsid w:val="001C2088"/>
    <w:rsid w:val="001C2900"/>
    <w:rsid w:val="001C2BE3"/>
    <w:rsid w:val="001C32FE"/>
    <w:rsid w:val="001C33FA"/>
    <w:rsid w:val="001C3EA3"/>
    <w:rsid w:val="001C3F12"/>
    <w:rsid w:val="001C44D4"/>
    <w:rsid w:val="001C4BAF"/>
    <w:rsid w:val="001C4E51"/>
    <w:rsid w:val="001C557F"/>
    <w:rsid w:val="001C5C8D"/>
    <w:rsid w:val="001C6B1A"/>
    <w:rsid w:val="001C6E19"/>
    <w:rsid w:val="001C7DDA"/>
    <w:rsid w:val="001D1EBC"/>
    <w:rsid w:val="001D35A5"/>
    <w:rsid w:val="001D3F61"/>
    <w:rsid w:val="001D49E8"/>
    <w:rsid w:val="001D4AB7"/>
    <w:rsid w:val="001D703F"/>
    <w:rsid w:val="001D729A"/>
    <w:rsid w:val="001D7C2E"/>
    <w:rsid w:val="001E21E6"/>
    <w:rsid w:val="001E3678"/>
    <w:rsid w:val="001E510F"/>
    <w:rsid w:val="001E581E"/>
    <w:rsid w:val="001E5B37"/>
    <w:rsid w:val="001E621D"/>
    <w:rsid w:val="001E66FB"/>
    <w:rsid w:val="001E6BBF"/>
    <w:rsid w:val="001E6FB2"/>
    <w:rsid w:val="001E75AD"/>
    <w:rsid w:val="001F0F8C"/>
    <w:rsid w:val="001F1B9A"/>
    <w:rsid w:val="001F1CE5"/>
    <w:rsid w:val="001F254B"/>
    <w:rsid w:val="001F266D"/>
    <w:rsid w:val="001F3267"/>
    <w:rsid w:val="001F3410"/>
    <w:rsid w:val="001F38E7"/>
    <w:rsid w:val="001F3D57"/>
    <w:rsid w:val="001F48E1"/>
    <w:rsid w:val="001F4B9D"/>
    <w:rsid w:val="001F5335"/>
    <w:rsid w:val="001F5983"/>
    <w:rsid w:val="001F6617"/>
    <w:rsid w:val="001F683B"/>
    <w:rsid w:val="00201457"/>
    <w:rsid w:val="0020154C"/>
    <w:rsid w:val="00202A85"/>
    <w:rsid w:val="002035ED"/>
    <w:rsid w:val="00203AF2"/>
    <w:rsid w:val="00203BDF"/>
    <w:rsid w:val="00207107"/>
    <w:rsid w:val="00207499"/>
    <w:rsid w:val="00211506"/>
    <w:rsid w:val="002121BD"/>
    <w:rsid w:val="00213493"/>
    <w:rsid w:val="00213E0D"/>
    <w:rsid w:val="0021517B"/>
    <w:rsid w:val="0021518B"/>
    <w:rsid w:val="00215B76"/>
    <w:rsid w:val="002171D0"/>
    <w:rsid w:val="002172CA"/>
    <w:rsid w:val="00217775"/>
    <w:rsid w:val="00220138"/>
    <w:rsid w:val="00221630"/>
    <w:rsid w:val="00221A75"/>
    <w:rsid w:val="00222887"/>
    <w:rsid w:val="00222B7E"/>
    <w:rsid w:val="00226460"/>
    <w:rsid w:val="00230192"/>
    <w:rsid w:val="00230820"/>
    <w:rsid w:val="002330D3"/>
    <w:rsid w:val="002343CC"/>
    <w:rsid w:val="002358E4"/>
    <w:rsid w:val="00237993"/>
    <w:rsid w:val="00237DB9"/>
    <w:rsid w:val="00237DEB"/>
    <w:rsid w:val="00240B69"/>
    <w:rsid w:val="00241E4D"/>
    <w:rsid w:val="00241F97"/>
    <w:rsid w:val="002429ED"/>
    <w:rsid w:val="00243FCA"/>
    <w:rsid w:val="00244FB0"/>
    <w:rsid w:val="00245700"/>
    <w:rsid w:val="0025057E"/>
    <w:rsid w:val="002510E5"/>
    <w:rsid w:val="002515C3"/>
    <w:rsid w:val="00252991"/>
    <w:rsid w:val="002536D8"/>
    <w:rsid w:val="00253B08"/>
    <w:rsid w:val="00255358"/>
    <w:rsid w:val="002560FB"/>
    <w:rsid w:val="002569C2"/>
    <w:rsid w:val="00261142"/>
    <w:rsid w:val="0026180A"/>
    <w:rsid w:val="0026276D"/>
    <w:rsid w:val="002631EE"/>
    <w:rsid w:val="00263236"/>
    <w:rsid w:val="00266305"/>
    <w:rsid w:val="0027033A"/>
    <w:rsid w:val="00272017"/>
    <w:rsid w:val="00274196"/>
    <w:rsid w:val="00276BBC"/>
    <w:rsid w:val="00277135"/>
    <w:rsid w:val="00277CC4"/>
    <w:rsid w:val="00282187"/>
    <w:rsid w:val="00282464"/>
    <w:rsid w:val="00286E3D"/>
    <w:rsid w:val="00291082"/>
    <w:rsid w:val="00291835"/>
    <w:rsid w:val="00292F62"/>
    <w:rsid w:val="002934D2"/>
    <w:rsid w:val="002944BC"/>
    <w:rsid w:val="00294CFC"/>
    <w:rsid w:val="00295364"/>
    <w:rsid w:val="002961F3"/>
    <w:rsid w:val="00296482"/>
    <w:rsid w:val="0029684D"/>
    <w:rsid w:val="00297493"/>
    <w:rsid w:val="002A0EE3"/>
    <w:rsid w:val="002A1AD6"/>
    <w:rsid w:val="002A371D"/>
    <w:rsid w:val="002A3CAD"/>
    <w:rsid w:val="002A3EDC"/>
    <w:rsid w:val="002B0BC7"/>
    <w:rsid w:val="002B3CAC"/>
    <w:rsid w:val="002B6C67"/>
    <w:rsid w:val="002C07DA"/>
    <w:rsid w:val="002C0A31"/>
    <w:rsid w:val="002C20B9"/>
    <w:rsid w:val="002C2152"/>
    <w:rsid w:val="002C59F2"/>
    <w:rsid w:val="002C666B"/>
    <w:rsid w:val="002C7246"/>
    <w:rsid w:val="002C755A"/>
    <w:rsid w:val="002D4180"/>
    <w:rsid w:val="002D4A51"/>
    <w:rsid w:val="002D54AB"/>
    <w:rsid w:val="002D5DA2"/>
    <w:rsid w:val="002E0E60"/>
    <w:rsid w:val="002E2BC2"/>
    <w:rsid w:val="002E3249"/>
    <w:rsid w:val="002E43F8"/>
    <w:rsid w:val="002E4E84"/>
    <w:rsid w:val="002F2057"/>
    <w:rsid w:val="002F3D6A"/>
    <w:rsid w:val="002F44E7"/>
    <w:rsid w:val="002F74FA"/>
    <w:rsid w:val="0030482A"/>
    <w:rsid w:val="00304847"/>
    <w:rsid w:val="00305586"/>
    <w:rsid w:val="00307069"/>
    <w:rsid w:val="00307480"/>
    <w:rsid w:val="00310EB7"/>
    <w:rsid w:val="00311FD8"/>
    <w:rsid w:val="003123FC"/>
    <w:rsid w:val="00312425"/>
    <w:rsid w:val="00314F47"/>
    <w:rsid w:val="00314F8D"/>
    <w:rsid w:val="0031669E"/>
    <w:rsid w:val="00317633"/>
    <w:rsid w:val="0032042C"/>
    <w:rsid w:val="00321730"/>
    <w:rsid w:val="00321D52"/>
    <w:rsid w:val="00323E62"/>
    <w:rsid w:val="00324264"/>
    <w:rsid w:val="0032445F"/>
    <w:rsid w:val="0032459D"/>
    <w:rsid w:val="00325200"/>
    <w:rsid w:val="003260C7"/>
    <w:rsid w:val="003321A8"/>
    <w:rsid w:val="00332559"/>
    <w:rsid w:val="003357EB"/>
    <w:rsid w:val="00335B5E"/>
    <w:rsid w:val="00335F0A"/>
    <w:rsid w:val="00335F3E"/>
    <w:rsid w:val="00335F65"/>
    <w:rsid w:val="00340B66"/>
    <w:rsid w:val="00341243"/>
    <w:rsid w:val="0034194F"/>
    <w:rsid w:val="00341B3F"/>
    <w:rsid w:val="00341E74"/>
    <w:rsid w:val="003429F9"/>
    <w:rsid w:val="00343345"/>
    <w:rsid w:val="00344D82"/>
    <w:rsid w:val="00344D93"/>
    <w:rsid w:val="003452C1"/>
    <w:rsid w:val="0034566A"/>
    <w:rsid w:val="003515B1"/>
    <w:rsid w:val="00352F2B"/>
    <w:rsid w:val="003545C7"/>
    <w:rsid w:val="00354C24"/>
    <w:rsid w:val="003554A1"/>
    <w:rsid w:val="00355849"/>
    <w:rsid w:val="003560B9"/>
    <w:rsid w:val="003563C6"/>
    <w:rsid w:val="00356AD8"/>
    <w:rsid w:val="003572CC"/>
    <w:rsid w:val="00360B8B"/>
    <w:rsid w:val="00364F06"/>
    <w:rsid w:val="00364F2C"/>
    <w:rsid w:val="0036674B"/>
    <w:rsid w:val="003669DA"/>
    <w:rsid w:val="00367756"/>
    <w:rsid w:val="00367CF2"/>
    <w:rsid w:val="003704E5"/>
    <w:rsid w:val="0037259E"/>
    <w:rsid w:val="00372EDC"/>
    <w:rsid w:val="00373258"/>
    <w:rsid w:val="003762E6"/>
    <w:rsid w:val="00376705"/>
    <w:rsid w:val="00376DB8"/>
    <w:rsid w:val="0038048A"/>
    <w:rsid w:val="00381509"/>
    <w:rsid w:val="00381849"/>
    <w:rsid w:val="003822F1"/>
    <w:rsid w:val="00383F77"/>
    <w:rsid w:val="00384C0D"/>
    <w:rsid w:val="00384F92"/>
    <w:rsid w:val="00385EE5"/>
    <w:rsid w:val="00385F00"/>
    <w:rsid w:val="003865F8"/>
    <w:rsid w:val="00386D1A"/>
    <w:rsid w:val="00391183"/>
    <w:rsid w:val="00394490"/>
    <w:rsid w:val="00394EDB"/>
    <w:rsid w:val="00396617"/>
    <w:rsid w:val="00396EC3"/>
    <w:rsid w:val="0039739D"/>
    <w:rsid w:val="00397E8E"/>
    <w:rsid w:val="003A001C"/>
    <w:rsid w:val="003A1404"/>
    <w:rsid w:val="003A2211"/>
    <w:rsid w:val="003A2287"/>
    <w:rsid w:val="003A4AF0"/>
    <w:rsid w:val="003A4ED0"/>
    <w:rsid w:val="003B1B2C"/>
    <w:rsid w:val="003B1F31"/>
    <w:rsid w:val="003B38C4"/>
    <w:rsid w:val="003B452D"/>
    <w:rsid w:val="003B4BD5"/>
    <w:rsid w:val="003B57EE"/>
    <w:rsid w:val="003B66F4"/>
    <w:rsid w:val="003C0310"/>
    <w:rsid w:val="003C124B"/>
    <w:rsid w:val="003C164C"/>
    <w:rsid w:val="003C491D"/>
    <w:rsid w:val="003C6F9C"/>
    <w:rsid w:val="003D0978"/>
    <w:rsid w:val="003D2FF1"/>
    <w:rsid w:val="003D3BA9"/>
    <w:rsid w:val="003D3BD1"/>
    <w:rsid w:val="003D3E4E"/>
    <w:rsid w:val="003D4B64"/>
    <w:rsid w:val="003D5883"/>
    <w:rsid w:val="003D5F4B"/>
    <w:rsid w:val="003D6E7E"/>
    <w:rsid w:val="003D78C5"/>
    <w:rsid w:val="003E001D"/>
    <w:rsid w:val="003E192F"/>
    <w:rsid w:val="003E1D19"/>
    <w:rsid w:val="003E2323"/>
    <w:rsid w:val="003E2E05"/>
    <w:rsid w:val="003E4958"/>
    <w:rsid w:val="003E5172"/>
    <w:rsid w:val="003F07FB"/>
    <w:rsid w:val="003F2138"/>
    <w:rsid w:val="003F232A"/>
    <w:rsid w:val="003F2A67"/>
    <w:rsid w:val="003F30C3"/>
    <w:rsid w:val="003F4D5A"/>
    <w:rsid w:val="003F5E75"/>
    <w:rsid w:val="003F5ED5"/>
    <w:rsid w:val="003F64FF"/>
    <w:rsid w:val="003F741D"/>
    <w:rsid w:val="003F78E1"/>
    <w:rsid w:val="00400897"/>
    <w:rsid w:val="00401307"/>
    <w:rsid w:val="00401D55"/>
    <w:rsid w:val="00401D9D"/>
    <w:rsid w:val="00401F18"/>
    <w:rsid w:val="00402859"/>
    <w:rsid w:val="0040367D"/>
    <w:rsid w:val="004041DA"/>
    <w:rsid w:val="00407345"/>
    <w:rsid w:val="00407A92"/>
    <w:rsid w:val="00412376"/>
    <w:rsid w:val="00412451"/>
    <w:rsid w:val="00413F12"/>
    <w:rsid w:val="0041715B"/>
    <w:rsid w:val="00420395"/>
    <w:rsid w:val="00420E2A"/>
    <w:rsid w:val="00421A3A"/>
    <w:rsid w:val="00421ACD"/>
    <w:rsid w:val="0042592E"/>
    <w:rsid w:val="00426578"/>
    <w:rsid w:val="004270A8"/>
    <w:rsid w:val="004270E8"/>
    <w:rsid w:val="00427C8D"/>
    <w:rsid w:val="004311AE"/>
    <w:rsid w:val="00431D9C"/>
    <w:rsid w:val="00432A11"/>
    <w:rsid w:val="00432B06"/>
    <w:rsid w:val="00432B26"/>
    <w:rsid w:val="004334B9"/>
    <w:rsid w:val="00434538"/>
    <w:rsid w:val="00434931"/>
    <w:rsid w:val="004374FA"/>
    <w:rsid w:val="00442178"/>
    <w:rsid w:val="00442B36"/>
    <w:rsid w:val="00444C85"/>
    <w:rsid w:val="0044621E"/>
    <w:rsid w:val="0044675D"/>
    <w:rsid w:val="00446AD8"/>
    <w:rsid w:val="00447681"/>
    <w:rsid w:val="00451B25"/>
    <w:rsid w:val="00451C7D"/>
    <w:rsid w:val="00453755"/>
    <w:rsid w:val="004543E4"/>
    <w:rsid w:val="00454515"/>
    <w:rsid w:val="00454B5A"/>
    <w:rsid w:val="004556DA"/>
    <w:rsid w:val="0045570F"/>
    <w:rsid w:val="004557AD"/>
    <w:rsid w:val="004562D5"/>
    <w:rsid w:val="00456A34"/>
    <w:rsid w:val="004609E3"/>
    <w:rsid w:val="00460CA9"/>
    <w:rsid w:val="00463550"/>
    <w:rsid w:val="00467AE9"/>
    <w:rsid w:val="00467E21"/>
    <w:rsid w:val="004714E4"/>
    <w:rsid w:val="00471E4E"/>
    <w:rsid w:val="004722CD"/>
    <w:rsid w:val="004728E6"/>
    <w:rsid w:val="0047609B"/>
    <w:rsid w:val="004767CA"/>
    <w:rsid w:val="0047698B"/>
    <w:rsid w:val="00480D1F"/>
    <w:rsid w:val="004815E8"/>
    <w:rsid w:val="00482103"/>
    <w:rsid w:val="0048263F"/>
    <w:rsid w:val="00482B6E"/>
    <w:rsid w:val="00482C29"/>
    <w:rsid w:val="00483783"/>
    <w:rsid w:val="00483933"/>
    <w:rsid w:val="004839E2"/>
    <w:rsid w:val="0049049B"/>
    <w:rsid w:val="00491212"/>
    <w:rsid w:val="00492B60"/>
    <w:rsid w:val="0049351C"/>
    <w:rsid w:val="004942FB"/>
    <w:rsid w:val="00494D7E"/>
    <w:rsid w:val="00494E77"/>
    <w:rsid w:val="00496BD7"/>
    <w:rsid w:val="004974EF"/>
    <w:rsid w:val="00497E58"/>
    <w:rsid w:val="004A11D9"/>
    <w:rsid w:val="004A141E"/>
    <w:rsid w:val="004A35E0"/>
    <w:rsid w:val="004A4CBF"/>
    <w:rsid w:val="004A4F6B"/>
    <w:rsid w:val="004A508C"/>
    <w:rsid w:val="004A58F1"/>
    <w:rsid w:val="004A6A83"/>
    <w:rsid w:val="004A6B6B"/>
    <w:rsid w:val="004B2251"/>
    <w:rsid w:val="004B307B"/>
    <w:rsid w:val="004B38A0"/>
    <w:rsid w:val="004B4D63"/>
    <w:rsid w:val="004B514D"/>
    <w:rsid w:val="004B5A35"/>
    <w:rsid w:val="004B6829"/>
    <w:rsid w:val="004C3086"/>
    <w:rsid w:val="004C3972"/>
    <w:rsid w:val="004C4061"/>
    <w:rsid w:val="004C44CF"/>
    <w:rsid w:val="004C486C"/>
    <w:rsid w:val="004C48D0"/>
    <w:rsid w:val="004C5099"/>
    <w:rsid w:val="004C5403"/>
    <w:rsid w:val="004C5ACB"/>
    <w:rsid w:val="004C7ABD"/>
    <w:rsid w:val="004D0C5B"/>
    <w:rsid w:val="004D340D"/>
    <w:rsid w:val="004D4339"/>
    <w:rsid w:val="004D6162"/>
    <w:rsid w:val="004D697A"/>
    <w:rsid w:val="004D6A3F"/>
    <w:rsid w:val="004D7AC0"/>
    <w:rsid w:val="004E2CC3"/>
    <w:rsid w:val="004E2E44"/>
    <w:rsid w:val="004E4364"/>
    <w:rsid w:val="004E47B7"/>
    <w:rsid w:val="004E4F26"/>
    <w:rsid w:val="004E57C3"/>
    <w:rsid w:val="004E79B0"/>
    <w:rsid w:val="004F3BD2"/>
    <w:rsid w:val="004F42C8"/>
    <w:rsid w:val="004F5BBD"/>
    <w:rsid w:val="004F7DD4"/>
    <w:rsid w:val="00501D0C"/>
    <w:rsid w:val="00502E01"/>
    <w:rsid w:val="005030BC"/>
    <w:rsid w:val="00504637"/>
    <w:rsid w:val="00505661"/>
    <w:rsid w:val="00506101"/>
    <w:rsid w:val="00507F54"/>
    <w:rsid w:val="005114E9"/>
    <w:rsid w:val="00511E5A"/>
    <w:rsid w:val="005124B1"/>
    <w:rsid w:val="005125E9"/>
    <w:rsid w:val="00512BB4"/>
    <w:rsid w:val="00514643"/>
    <w:rsid w:val="00514A05"/>
    <w:rsid w:val="00514B3E"/>
    <w:rsid w:val="00515091"/>
    <w:rsid w:val="0051790F"/>
    <w:rsid w:val="00517B16"/>
    <w:rsid w:val="00517F70"/>
    <w:rsid w:val="0052249F"/>
    <w:rsid w:val="00522694"/>
    <w:rsid w:val="0052271C"/>
    <w:rsid w:val="00522F6C"/>
    <w:rsid w:val="00524C11"/>
    <w:rsid w:val="0052675D"/>
    <w:rsid w:val="00527A2D"/>
    <w:rsid w:val="00531828"/>
    <w:rsid w:val="00536107"/>
    <w:rsid w:val="00536882"/>
    <w:rsid w:val="00537231"/>
    <w:rsid w:val="00537550"/>
    <w:rsid w:val="005378F6"/>
    <w:rsid w:val="00543AA4"/>
    <w:rsid w:val="00544165"/>
    <w:rsid w:val="0054421F"/>
    <w:rsid w:val="00546F56"/>
    <w:rsid w:val="00550A57"/>
    <w:rsid w:val="00550BB7"/>
    <w:rsid w:val="00552252"/>
    <w:rsid w:val="005536D0"/>
    <w:rsid w:val="00554903"/>
    <w:rsid w:val="00555C36"/>
    <w:rsid w:val="00556BE4"/>
    <w:rsid w:val="00556D49"/>
    <w:rsid w:val="0056003D"/>
    <w:rsid w:val="005604C2"/>
    <w:rsid w:val="00560B56"/>
    <w:rsid w:val="00561610"/>
    <w:rsid w:val="005627EB"/>
    <w:rsid w:val="00563B14"/>
    <w:rsid w:val="00564A5E"/>
    <w:rsid w:val="00565BCE"/>
    <w:rsid w:val="00566087"/>
    <w:rsid w:val="00567024"/>
    <w:rsid w:val="00567F61"/>
    <w:rsid w:val="00571642"/>
    <w:rsid w:val="00571F4D"/>
    <w:rsid w:val="00572294"/>
    <w:rsid w:val="00573CC0"/>
    <w:rsid w:val="00574532"/>
    <w:rsid w:val="00574B77"/>
    <w:rsid w:val="0057616D"/>
    <w:rsid w:val="00580D7C"/>
    <w:rsid w:val="0058191B"/>
    <w:rsid w:val="005829A1"/>
    <w:rsid w:val="005831DA"/>
    <w:rsid w:val="00584287"/>
    <w:rsid w:val="00584C4C"/>
    <w:rsid w:val="00584D7B"/>
    <w:rsid w:val="00585568"/>
    <w:rsid w:val="00590788"/>
    <w:rsid w:val="00590F0B"/>
    <w:rsid w:val="0059105D"/>
    <w:rsid w:val="00592409"/>
    <w:rsid w:val="0059331E"/>
    <w:rsid w:val="00593BD2"/>
    <w:rsid w:val="005950C4"/>
    <w:rsid w:val="005954B8"/>
    <w:rsid w:val="00595780"/>
    <w:rsid w:val="005960CA"/>
    <w:rsid w:val="00597D5E"/>
    <w:rsid w:val="005A035C"/>
    <w:rsid w:val="005A1B2F"/>
    <w:rsid w:val="005A27AE"/>
    <w:rsid w:val="005A2B3E"/>
    <w:rsid w:val="005A34B6"/>
    <w:rsid w:val="005A4F32"/>
    <w:rsid w:val="005A5681"/>
    <w:rsid w:val="005B0F79"/>
    <w:rsid w:val="005B3260"/>
    <w:rsid w:val="005B3333"/>
    <w:rsid w:val="005B4010"/>
    <w:rsid w:val="005B4370"/>
    <w:rsid w:val="005B53DB"/>
    <w:rsid w:val="005B5F5D"/>
    <w:rsid w:val="005B5FB0"/>
    <w:rsid w:val="005B7D0D"/>
    <w:rsid w:val="005C00C5"/>
    <w:rsid w:val="005C0197"/>
    <w:rsid w:val="005C1AA9"/>
    <w:rsid w:val="005C1B5A"/>
    <w:rsid w:val="005C20DD"/>
    <w:rsid w:val="005C3010"/>
    <w:rsid w:val="005C4739"/>
    <w:rsid w:val="005C4D3B"/>
    <w:rsid w:val="005C53C8"/>
    <w:rsid w:val="005C6023"/>
    <w:rsid w:val="005C633B"/>
    <w:rsid w:val="005D116E"/>
    <w:rsid w:val="005D144A"/>
    <w:rsid w:val="005D14C8"/>
    <w:rsid w:val="005D17E6"/>
    <w:rsid w:val="005D392E"/>
    <w:rsid w:val="005D4275"/>
    <w:rsid w:val="005D4451"/>
    <w:rsid w:val="005D5778"/>
    <w:rsid w:val="005D5D6A"/>
    <w:rsid w:val="005D6C08"/>
    <w:rsid w:val="005E217A"/>
    <w:rsid w:val="005E2CEC"/>
    <w:rsid w:val="005E3528"/>
    <w:rsid w:val="005E3870"/>
    <w:rsid w:val="005E3992"/>
    <w:rsid w:val="005E440C"/>
    <w:rsid w:val="005E49CD"/>
    <w:rsid w:val="005E78DE"/>
    <w:rsid w:val="005E7F23"/>
    <w:rsid w:val="005F041C"/>
    <w:rsid w:val="005F05ED"/>
    <w:rsid w:val="005F1406"/>
    <w:rsid w:val="005F1CCA"/>
    <w:rsid w:val="005F21B9"/>
    <w:rsid w:val="005F21C2"/>
    <w:rsid w:val="005F3481"/>
    <w:rsid w:val="005F39A4"/>
    <w:rsid w:val="005F4E98"/>
    <w:rsid w:val="005F678F"/>
    <w:rsid w:val="005F6E3C"/>
    <w:rsid w:val="005F703A"/>
    <w:rsid w:val="005F7326"/>
    <w:rsid w:val="005F76A0"/>
    <w:rsid w:val="00600C58"/>
    <w:rsid w:val="00602F66"/>
    <w:rsid w:val="0060371D"/>
    <w:rsid w:val="00603D11"/>
    <w:rsid w:val="0060458A"/>
    <w:rsid w:val="006077CE"/>
    <w:rsid w:val="00607BD9"/>
    <w:rsid w:val="00607EE4"/>
    <w:rsid w:val="00612DD8"/>
    <w:rsid w:val="006130A6"/>
    <w:rsid w:val="006134DB"/>
    <w:rsid w:val="006143D1"/>
    <w:rsid w:val="00614F1D"/>
    <w:rsid w:val="00614F7A"/>
    <w:rsid w:val="00615D71"/>
    <w:rsid w:val="006214DD"/>
    <w:rsid w:val="00621E9F"/>
    <w:rsid w:val="00623AC9"/>
    <w:rsid w:val="006247F7"/>
    <w:rsid w:val="00626F2A"/>
    <w:rsid w:val="006272E1"/>
    <w:rsid w:val="0063085D"/>
    <w:rsid w:val="0063137D"/>
    <w:rsid w:val="006315FD"/>
    <w:rsid w:val="006316C5"/>
    <w:rsid w:val="00633C7A"/>
    <w:rsid w:val="00633C94"/>
    <w:rsid w:val="006342F6"/>
    <w:rsid w:val="00634A36"/>
    <w:rsid w:val="00634CFC"/>
    <w:rsid w:val="0063534D"/>
    <w:rsid w:val="00635DE4"/>
    <w:rsid w:val="0063697E"/>
    <w:rsid w:val="0064046A"/>
    <w:rsid w:val="006410A1"/>
    <w:rsid w:val="006410E3"/>
    <w:rsid w:val="00641D2A"/>
    <w:rsid w:val="006438EE"/>
    <w:rsid w:val="00643C2E"/>
    <w:rsid w:val="0064537F"/>
    <w:rsid w:val="00646BC8"/>
    <w:rsid w:val="006476A1"/>
    <w:rsid w:val="00647B76"/>
    <w:rsid w:val="00650605"/>
    <w:rsid w:val="00653BC2"/>
    <w:rsid w:val="0065558D"/>
    <w:rsid w:val="00655966"/>
    <w:rsid w:val="00655C2D"/>
    <w:rsid w:val="00655C66"/>
    <w:rsid w:val="00656427"/>
    <w:rsid w:val="006566D3"/>
    <w:rsid w:val="00656D8E"/>
    <w:rsid w:val="006606D0"/>
    <w:rsid w:val="00661358"/>
    <w:rsid w:val="00661CB2"/>
    <w:rsid w:val="00662929"/>
    <w:rsid w:val="0066293D"/>
    <w:rsid w:val="00662C61"/>
    <w:rsid w:val="00663A18"/>
    <w:rsid w:val="006649DB"/>
    <w:rsid w:val="00665754"/>
    <w:rsid w:val="00665CAF"/>
    <w:rsid w:val="0066681A"/>
    <w:rsid w:val="006668AC"/>
    <w:rsid w:val="006676F7"/>
    <w:rsid w:val="00667CB3"/>
    <w:rsid w:val="00670C5C"/>
    <w:rsid w:val="0067199E"/>
    <w:rsid w:val="00671D9B"/>
    <w:rsid w:val="006722AF"/>
    <w:rsid w:val="006723F9"/>
    <w:rsid w:val="00672D1C"/>
    <w:rsid w:val="00673B8A"/>
    <w:rsid w:val="00675292"/>
    <w:rsid w:val="00675711"/>
    <w:rsid w:val="00675BE2"/>
    <w:rsid w:val="0067656C"/>
    <w:rsid w:val="006828C1"/>
    <w:rsid w:val="0068310C"/>
    <w:rsid w:val="0068386C"/>
    <w:rsid w:val="0068415F"/>
    <w:rsid w:val="006845FE"/>
    <w:rsid w:val="00684A26"/>
    <w:rsid w:val="006865E6"/>
    <w:rsid w:val="006871CE"/>
    <w:rsid w:val="00687797"/>
    <w:rsid w:val="006904E3"/>
    <w:rsid w:val="00691879"/>
    <w:rsid w:val="006920E9"/>
    <w:rsid w:val="00692E4D"/>
    <w:rsid w:val="0069573E"/>
    <w:rsid w:val="00695A5A"/>
    <w:rsid w:val="00696468"/>
    <w:rsid w:val="006964C1"/>
    <w:rsid w:val="006976CF"/>
    <w:rsid w:val="00697C32"/>
    <w:rsid w:val="006A0E1F"/>
    <w:rsid w:val="006A0E3D"/>
    <w:rsid w:val="006A1C22"/>
    <w:rsid w:val="006A2A2A"/>
    <w:rsid w:val="006A49CB"/>
    <w:rsid w:val="006A4CEB"/>
    <w:rsid w:val="006A62C7"/>
    <w:rsid w:val="006A79B6"/>
    <w:rsid w:val="006B0E9A"/>
    <w:rsid w:val="006B2056"/>
    <w:rsid w:val="006B20BE"/>
    <w:rsid w:val="006B23BC"/>
    <w:rsid w:val="006B256E"/>
    <w:rsid w:val="006B300A"/>
    <w:rsid w:val="006B30E9"/>
    <w:rsid w:val="006B4B84"/>
    <w:rsid w:val="006B69A0"/>
    <w:rsid w:val="006C0802"/>
    <w:rsid w:val="006C106F"/>
    <w:rsid w:val="006C3628"/>
    <w:rsid w:val="006C4DCD"/>
    <w:rsid w:val="006C766D"/>
    <w:rsid w:val="006D16F8"/>
    <w:rsid w:val="006D2D09"/>
    <w:rsid w:val="006D3679"/>
    <w:rsid w:val="006D4ACA"/>
    <w:rsid w:val="006D4C9E"/>
    <w:rsid w:val="006D5307"/>
    <w:rsid w:val="006D7C93"/>
    <w:rsid w:val="006E1303"/>
    <w:rsid w:val="006E2251"/>
    <w:rsid w:val="006E2992"/>
    <w:rsid w:val="006E39E2"/>
    <w:rsid w:val="006E3C01"/>
    <w:rsid w:val="006E3FB5"/>
    <w:rsid w:val="006E5BD4"/>
    <w:rsid w:val="006E6313"/>
    <w:rsid w:val="006E69E5"/>
    <w:rsid w:val="006F0603"/>
    <w:rsid w:val="006F31DE"/>
    <w:rsid w:val="006F4AE5"/>
    <w:rsid w:val="006F6390"/>
    <w:rsid w:val="006F72A4"/>
    <w:rsid w:val="00700B97"/>
    <w:rsid w:val="00700D21"/>
    <w:rsid w:val="00701093"/>
    <w:rsid w:val="00703787"/>
    <w:rsid w:val="007041D0"/>
    <w:rsid w:val="0070429A"/>
    <w:rsid w:val="00704450"/>
    <w:rsid w:val="00704ACA"/>
    <w:rsid w:val="00704FF5"/>
    <w:rsid w:val="00705011"/>
    <w:rsid w:val="00705727"/>
    <w:rsid w:val="0070578B"/>
    <w:rsid w:val="00706CB2"/>
    <w:rsid w:val="00706ECB"/>
    <w:rsid w:val="00707D35"/>
    <w:rsid w:val="00711A1A"/>
    <w:rsid w:val="00711BAF"/>
    <w:rsid w:val="00712294"/>
    <w:rsid w:val="00714208"/>
    <w:rsid w:val="00715ECE"/>
    <w:rsid w:val="0071678B"/>
    <w:rsid w:val="007214D4"/>
    <w:rsid w:val="00721A68"/>
    <w:rsid w:val="007234D8"/>
    <w:rsid w:val="0072436A"/>
    <w:rsid w:val="00726214"/>
    <w:rsid w:val="007266CC"/>
    <w:rsid w:val="00726B50"/>
    <w:rsid w:val="00726EF8"/>
    <w:rsid w:val="0073123D"/>
    <w:rsid w:val="00732DDF"/>
    <w:rsid w:val="007338B6"/>
    <w:rsid w:val="007350B2"/>
    <w:rsid w:val="00735D40"/>
    <w:rsid w:val="00736EF1"/>
    <w:rsid w:val="00737197"/>
    <w:rsid w:val="0073719E"/>
    <w:rsid w:val="00740642"/>
    <w:rsid w:val="00743098"/>
    <w:rsid w:val="0074400F"/>
    <w:rsid w:val="007448FE"/>
    <w:rsid w:val="0074541A"/>
    <w:rsid w:val="007470B1"/>
    <w:rsid w:val="007471E7"/>
    <w:rsid w:val="00753E7F"/>
    <w:rsid w:val="00755A2D"/>
    <w:rsid w:val="0075618D"/>
    <w:rsid w:val="0076100D"/>
    <w:rsid w:val="0076183D"/>
    <w:rsid w:val="0076209C"/>
    <w:rsid w:val="007628CB"/>
    <w:rsid w:val="00762E96"/>
    <w:rsid w:val="00763667"/>
    <w:rsid w:val="0076467A"/>
    <w:rsid w:val="00764B42"/>
    <w:rsid w:val="00765174"/>
    <w:rsid w:val="00765370"/>
    <w:rsid w:val="007654D3"/>
    <w:rsid w:val="007673FB"/>
    <w:rsid w:val="007676B3"/>
    <w:rsid w:val="00767BF0"/>
    <w:rsid w:val="00767DCE"/>
    <w:rsid w:val="00771063"/>
    <w:rsid w:val="00771AFA"/>
    <w:rsid w:val="00771F74"/>
    <w:rsid w:val="00773836"/>
    <w:rsid w:val="00775B42"/>
    <w:rsid w:val="00780B6E"/>
    <w:rsid w:val="00783533"/>
    <w:rsid w:val="00783CB8"/>
    <w:rsid w:val="00785B82"/>
    <w:rsid w:val="00785EBA"/>
    <w:rsid w:val="007909AD"/>
    <w:rsid w:val="00792170"/>
    <w:rsid w:val="0079226D"/>
    <w:rsid w:val="0079248C"/>
    <w:rsid w:val="007926E7"/>
    <w:rsid w:val="0079306E"/>
    <w:rsid w:val="00793F18"/>
    <w:rsid w:val="00796CD9"/>
    <w:rsid w:val="00797088"/>
    <w:rsid w:val="00797CA0"/>
    <w:rsid w:val="007A4CFB"/>
    <w:rsid w:val="007A5A0C"/>
    <w:rsid w:val="007A5E1D"/>
    <w:rsid w:val="007A66D9"/>
    <w:rsid w:val="007B1710"/>
    <w:rsid w:val="007B19F8"/>
    <w:rsid w:val="007B2176"/>
    <w:rsid w:val="007B4990"/>
    <w:rsid w:val="007B5C76"/>
    <w:rsid w:val="007B695C"/>
    <w:rsid w:val="007B7C91"/>
    <w:rsid w:val="007C052D"/>
    <w:rsid w:val="007C17B8"/>
    <w:rsid w:val="007C2D1F"/>
    <w:rsid w:val="007C335D"/>
    <w:rsid w:val="007C396B"/>
    <w:rsid w:val="007C5B33"/>
    <w:rsid w:val="007C601E"/>
    <w:rsid w:val="007C6E23"/>
    <w:rsid w:val="007C7F01"/>
    <w:rsid w:val="007D0705"/>
    <w:rsid w:val="007D1CF1"/>
    <w:rsid w:val="007D2C07"/>
    <w:rsid w:val="007D5632"/>
    <w:rsid w:val="007D64A3"/>
    <w:rsid w:val="007E0E37"/>
    <w:rsid w:val="007E1F14"/>
    <w:rsid w:val="007E4322"/>
    <w:rsid w:val="007E4796"/>
    <w:rsid w:val="007F0747"/>
    <w:rsid w:val="007F09B9"/>
    <w:rsid w:val="007F2364"/>
    <w:rsid w:val="007F35BE"/>
    <w:rsid w:val="007F5C5F"/>
    <w:rsid w:val="007F7038"/>
    <w:rsid w:val="00801E7F"/>
    <w:rsid w:val="008021F4"/>
    <w:rsid w:val="00802778"/>
    <w:rsid w:val="00802A7E"/>
    <w:rsid w:val="00802EAA"/>
    <w:rsid w:val="008038B9"/>
    <w:rsid w:val="0080401E"/>
    <w:rsid w:val="00804168"/>
    <w:rsid w:val="00805162"/>
    <w:rsid w:val="008067CC"/>
    <w:rsid w:val="0080695C"/>
    <w:rsid w:val="0080709B"/>
    <w:rsid w:val="008072F7"/>
    <w:rsid w:val="00807D69"/>
    <w:rsid w:val="00810ACC"/>
    <w:rsid w:val="0081211B"/>
    <w:rsid w:val="00812F0F"/>
    <w:rsid w:val="00813180"/>
    <w:rsid w:val="00814213"/>
    <w:rsid w:val="0081505C"/>
    <w:rsid w:val="008150B7"/>
    <w:rsid w:val="00815158"/>
    <w:rsid w:val="008151F2"/>
    <w:rsid w:val="008158B7"/>
    <w:rsid w:val="00816550"/>
    <w:rsid w:val="00817843"/>
    <w:rsid w:val="0082082B"/>
    <w:rsid w:val="00822829"/>
    <w:rsid w:val="00822988"/>
    <w:rsid w:val="0082352C"/>
    <w:rsid w:val="00823FA3"/>
    <w:rsid w:val="00826A75"/>
    <w:rsid w:val="00831CC1"/>
    <w:rsid w:val="00832A82"/>
    <w:rsid w:val="008339DC"/>
    <w:rsid w:val="00833ABE"/>
    <w:rsid w:val="00833BE3"/>
    <w:rsid w:val="00834B7F"/>
    <w:rsid w:val="008369D6"/>
    <w:rsid w:val="00836EB1"/>
    <w:rsid w:val="00836FE2"/>
    <w:rsid w:val="008409B2"/>
    <w:rsid w:val="00842308"/>
    <w:rsid w:val="00842856"/>
    <w:rsid w:val="0084524E"/>
    <w:rsid w:val="008455F1"/>
    <w:rsid w:val="008470B4"/>
    <w:rsid w:val="00847147"/>
    <w:rsid w:val="00847EE2"/>
    <w:rsid w:val="0085084D"/>
    <w:rsid w:val="00851BA7"/>
    <w:rsid w:val="00852042"/>
    <w:rsid w:val="008538C7"/>
    <w:rsid w:val="00854374"/>
    <w:rsid w:val="00855684"/>
    <w:rsid w:val="008566A7"/>
    <w:rsid w:val="00856CBD"/>
    <w:rsid w:val="0085773F"/>
    <w:rsid w:val="00864D50"/>
    <w:rsid w:val="008679C1"/>
    <w:rsid w:val="008709A2"/>
    <w:rsid w:val="00870D0C"/>
    <w:rsid w:val="008717BF"/>
    <w:rsid w:val="00874DB2"/>
    <w:rsid w:val="00874E00"/>
    <w:rsid w:val="00876685"/>
    <w:rsid w:val="00876FCB"/>
    <w:rsid w:val="0087725A"/>
    <w:rsid w:val="00877710"/>
    <w:rsid w:val="00877C7C"/>
    <w:rsid w:val="00883371"/>
    <w:rsid w:val="00884097"/>
    <w:rsid w:val="008852E4"/>
    <w:rsid w:val="00885D64"/>
    <w:rsid w:val="00885D86"/>
    <w:rsid w:val="00886042"/>
    <w:rsid w:val="008861F0"/>
    <w:rsid w:val="00886EA2"/>
    <w:rsid w:val="00891F13"/>
    <w:rsid w:val="00892362"/>
    <w:rsid w:val="00893A61"/>
    <w:rsid w:val="00896304"/>
    <w:rsid w:val="0089675E"/>
    <w:rsid w:val="008971F6"/>
    <w:rsid w:val="008A01E0"/>
    <w:rsid w:val="008A0D54"/>
    <w:rsid w:val="008A1095"/>
    <w:rsid w:val="008A137E"/>
    <w:rsid w:val="008A1769"/>
    <w:rsid w:val="008A45FD"/>
    <w:rsid w:val="008A46C0"/>
    <w:rsid w:val="008A5356"/>
    <w:rsid w:val="008B0A32"/>
    <w:rsid w:val="008B1E30"/>
    <w:rsid w:val="008B499F"/>
    <w:rsid w:val="008B571C"/>
    <w:rsid w:val="008B7A09"/>
    <w:rsid w:val="008B7C83"/>
    <w:rsid w:val="008C0F04"/>
    <w:rsid w:val="008C0F07"/>
    <w:rsid w:val="008C10AF"/>
    <w:rsid w:val="008C3678"/>
    <w:rsid w:val="008C3993"/>
    <w:rsid w:val="008C3F78"/>
    <w:rsid w:val="008C5BD1"/>
    <w:rsid w:val="008C5CF2"/>
    <w:rsid w:val="008C68D5"/>
    <w:rsid w:val="008C6B6B"/>
    <w:rsid w:val="008C6FC0"/>
    <w:rsid w:val="008C7593"/>
    <w:rsid w:val="008C7DB4"/>
    <w:rsid w:val="008D0656"/>
    <w:rsid w:val="008D0FDF"/>
    <w:rsid w:val="008D11D8"/>
    <w:rsid w:val="008D23EA"/>
    <w:rsid w:val="008D3720"/>
    <w:rsid w:val="008D3A6C"/>
    <w:rsid w:val="008D43F5"/>
    <w:rsid w:val="008D66A8"/>
    <w:rsid w:val="008D6DB2"/>
    <w:rsid w:val="008D70D3"/>
    <w:rsid w:val="008D7309"/>
    <w:rsid w:val="008E0D27"/>
    <w:rsid w:val="008E33C5"/>
    <w:rsid w:val="008E4154"/>
    <w:rsid w:val="008E497F"/>
    <w:rsid w:val="008E579B"/>
    <w:rsid w:val="008E6099"/>
    <w:rsid w:val="008E6726"/>
    <w:rsid w:val="008E6B5B"/>
    <w:rsid w:val="008E70AE"/>
    <w:rsid w:val="008F005D"/>
    <w:rsid w:val="008F1E66"/>
    <w:rsid w:val="008F32FF"/>
    <w:rsid w:val="008F3D68"/>
    <w:rsid w:val="008F4BF5"/>
    <w:rsid w:val="008F536E"/>
    <w:rsid w:val="008F657A"/>
    <w:rsid w:val="008F6810"/>
    <w:rsid w:val="008F7BD6"/>
    <w:rsid w:val="00900ED6"/>
    <w:rsid w:val="009021C0"/>
    <w:rsid w:val="0090643C"/>
    <w:rsid w:val="00906DAE"/>
    <w:rsid w:val="00907CCF"/>
    <w:rsid w:val="00910399"/>
    <w:rsid w:val="009126E4"/>
    <w:rsid w:val="00913422"/>
    <w:rsid w:val="009134B2"/>
    <w:rsid w:val="00916077"/>
    <w:rsid w:val="00916BAF"/>
    <w:rsid w:val="00917C81"/>
    <w:rsid w:val="009200C0"/>
    <w:rsid w:val="00921564"/>
    <w:rsid w:val="009229C3"/>
    <w:rsid w:val="00922B5D"/>
    <w:rsid w:val="0092374E"/>
    <w:rsid w:val="00923C09"/>
    <w:rsid w:val="009259C0"/>
    <w:rsid w:val="009263D5"/>
    <w:rsid w:val="00926AEE"/>
    <w:rsid w:val="00927CC2"/>
    <w:rsid w:val="0093035A"/>
    <w:rsid w:val="00930809"/>
    <w:rsid w:val="00932A17"/>
    <w:rsid w:val="009342E4"/>
    <w:rsid w:val="009342EA"/>
    <w:rsid w:val="0093618E"/>
    <w:rsid w:val="00936400"/>
    <w:rsid w:val="00936815"/>
    <w:rsid w:val="009377E5"/>
    <w:rsid w:val="009422F5"/>
    <w:rsid w:val="00943A8A"/>
    <w:rsid w:val="009443F3"/>
    <w:rsid w:val="00944732"/>
    <w:rsid w:val="00950D76"/>
    <w:rsid w:val="00950E9A"/>
    <w:rsid w:val="00952460"/>
    <w:rsid w:val="00953FAE"/>
    <w:rsid w:val="00956531"/>
    <w:rsid w:val="00956A7C"/>
    <w:rsid w:val="00963FEE"/>
    <w:rsid w:val="0096596C"/>
    <w:rsid w:val="00967F2B"/>
    <w:rsid w:val="00971B25"/>
    <w:rsid w:val="00972020"/>
    <w:rsid w:val="00972227"/>
    <w:rsid w:val="00972F5F"/>
    <w:rsid w:val="00973AD9"/>
    <w:rsid w:val="00974A4B"/>
    <w:rsid w:val="00975C47"/>
    <w:rsid w:val="00977F7A"/>
    <w:rsid w:val="00977FEF"/>
    <w:rsid w:val="00980B9B"/>
    <w:rsid w:val="00982B52"/>
    <w:rsid w:val="00983C57"/>
    <w:rsid w:val="0098469A"/>
    <w:rsid w:val="009846D8"/>
    <w:rsid w:val="00984CB7"/>
    <w:rsid w:val="00985653"/>
    <w:rsid w:val="0098595F"/>
    <w:rsid w:val="009865F7"/>
    <w:rsid w:val="009868EF"/>
    <w:rsid w:val="0098694A"/>
    <w:rsid w:val="00987DCF"/>
    <w:rsid w:val="00990595"/>
    <w:rsid w:val="009911B6"/>
    <w:rsid w:val="00991867"/>
    <w:rsid w:val="00991A19"/>
    <w:rsid w:val="00991BC0"/>
    <w:rsid w:val="00993035"/>
    <w:rsid w:val="009964DC"/>
    <w:rsid w:val="00997729"/>
    <w:rsid w:val="00997DEA"/>
    <w:rsid w:val="009A036B"/>
    <w:rsid w:val="009A1032"/>
    <w:rsid w:val="009A1656"/>
    <w:rsid w:val="009A2272"/>
    <w:rsid w:val="009A2CFA"/>
    <w:rsid w:val="009A3B3D"/>
    <w:rsid w:val="009A4369"/>
    <w:rsid w:val="009A66B4"/>
    <w:rsid w:val="009A73F4"/>
    <w:rsid w:val="009A73F7"/>
    <w:rsid w:val="009B08AB"/>
    <w:rsid w:val="009B1C04"/>
    <w:rsid w:val="009B462D"/>
    <w:rsid w:val="009B4A28"/>
    <w:rsid w:val="009B6105"/>
    <w:rsid w:val="009B6E88"/>
    <w:rsid w:val="009B7548"/>
    <w:rsid w:val="009C21EC"/>
    <w:rsid w:val="009C2C71"/>
    <w:rsid w:val="009C2EA9"/>
    <w:rsid w:val="009C547E"/>
    <w:rsid w:val="009C5DF9"/>
    <w:rsid w:val="009C6221"/>
    <w:rsid w:val="009C642F"/>
    <w:rsid w:val="009D09C6"/>
    <w:rsid w:val="009D131D"/>
    <w:rsid w:val="009D22BC"/>
    <w:rsid w:val="009D23F2"/>
    <w:rsid w:val="009D5DEE"/>
    <w:rsid w:val="009D67F8"/>
    <w:rsid w:val="009D7001"/>
    <w:rsid w:val="009E1048"/>
    <w:rsid w:val="009E19CF"/>
    <w:rsid w:val="009E1CCD"/>
    <w:rsid w:val="009E3D56"/>
    <w:rsid w:val="009E6E24"/>
    <w:rsid w:val="009E7967"/>
    <w:rsid w:val="009E7B5B"/>
    <w:rsid w:val="009F0359"/>
    <w:rsid w:val="009F14D0"/>
    <w:rsid w:val="009F185D"/>
    <w:rsid w:val="009F1CDD"/>
    <w:rsid w:val="009F423E"/>
    <w:rsid w:val="009F51EE"/>
    <w:rsid w:val="009F616E"/>
    <w:rsid w:val="009F696B"/>
    <w:rsid w:val="00A00ADD"/>
    <w:rsid w:val="00A0206C"/>
    <w:rsid w:val="00A020D9"/>
    <w:rsid w:val="00A0251A"/>
    <w:rsid w:val="00A0424A"/>
    <w:rsid w:val="00A051BC"/>
    <w:rsid w:val="00A05C27"/>
    <w:rsid w:val="00A0642B"/>
    <w:rsid w:val="00A10EBA"/>
    <w:rsid w:val="00A119AF"/>
    <w:rsid w:val="00A12EB8"/>
    <w:rsid w:val="00A13199"/>
    <w:rsid w:val="00A136EC"/>
    <w:rsid w:val="00A149FE"/>
    <w:rsid w:val="00A14A5A"/>
    <w:rsid w:val="00A16F32"/>
    <w:rsid w:val="00A171CD"/>
    <w:rsid w:val="00A1734D"/>
    <w:rsid w:val="00A178DE"/>
    <w:rsid w:val="00A17CA0"/>
    <w:rsid w:val="00A207A8"/>
    <w:rsid w:val="00A233D4"/>
    <w:rsid w:val="00A249C1"/>
    <w:rsid w:val="00A25FA3"/>
    <w:rsid w:val="00A26D1D"/>
    <w:rsid w:val="00A274D3"/>
    <w:rsid w:val="00A306F0"/>
    <w:rsid w:val="00A356B5"/>
    <w:rsid w:val="00A359B6"/>
    <w:rsid w:val="00A36791"/>
    <w:rsid w:val="00A36888"/>
    <w:rsid w:val="00A37B88"/>
    <w:rsid w:val="00A37E3D"/>
    <w:rsid w:val="00A4014F"/>
    <w:rsid w:val="00A40376"/>
    <w:rsid w:val="00A421D8"/>
    <w:rsid w:val="00A42215"/>
    <w:rsid w:val="00A42A5F"/>
    <w:rsid w:val="00A445A0"/>
    <w:rsid w:val="00A457E4"/>
    <w:rsid w:val="00A502AF"/>
    <w:rsid w:val="00A52566"/>
    <w:rsid w:val="00A5280D"/>
    <w:rsid w:val="00A52FA4"/>
    <w:rsid w:val="00A53199"/>
    <w:rsid w:val="00A549F6"/>
    <w:rsid w:val="00A5532B"/>
    <w:rsid w:val="00A5715E"/>
    <w:rsid w:val="00A579DD"/>
    <w:rsid w:val="00A61A17"/>
    <w:rsid w:val="00A61E9C"/>
    <w:rsid w:val="00A6304B"/>
    <w:rsid w:val="00A63478"/>
    <w:rsid w:val="00A6354E"/>
    <w:rsid w:val="00A64687"/>
    <w:rsid w:val="00A64907"/>
    <w:rsid w:val="00A64E39"/>
    <w:rsid w:val="00A657C9"/>
    <w:rsid w:val="00A66D59"/>
    <w:rsid w:val="00A712C4"/>
    <w:rsid w:val="00A74213"/>
    <w:rsid w:val="00A764E5"/>
    <w:rsid w:val="00A768DE"/>
    <w:rsid w:val="00A81557"/>
    <w:rsid w:val="00A81C29"/>
    <w:rsid w:val="00A81C80"/>
    <w:rsid w:val="00A83812"/>
    <w:rsid w:val="00A84700"/>
    <w:rsid w:val="00A84A67"/>
    <w:rsid w:val="00A86CC6"/>
    <w:rsid w:val="00A878ED"/>
    <w:rsid w:val="00A87A6C"/>
    <w:rsid w:val="00A90A1C"/>
    <w:rsid w:val="00A93E38"/>
    <w:rsid w:val="00A953DB"/>
    <w:rsid w:val="00A96B5D"/>
    <w:rsid w:val="00AA0A0B"/>
    <w:rsid w:val="00AA1AD0"/>
    <w:rsid w:val="00AA5B9A"/>
    <w:rsid w:val="00AB13E7"/>
    <w:rsid w:val="00AB4188"/>
    <w:rsid w:val="00AB4D95"/>
    <w:rsid w:val="00AB581E"/>
    <w:rsid w:val="00AB597B"/>
    <w:rsid w:val="00AC0CAE"/>
    <w:rsid w:val="00AC0D1E"/>
    <w:rsid w:val="00AC15BF"/>
    <w:rsid w:val="00AC21F1"/>
    <w:rsid w:val="00AC3211"/>
    <w:rsid w:val="00AC45FD"/>
    <w:rsid w:val="00AC463F"/>
    <w:rsid w:val="00AC4C87"/>
    <w:rsid w:val="00AC51C1"/>
    <w:rsid w:val="00AC5650"/>
    <w:rsid w:val="00AC5A4D"/>
    <w:rsid w:val="00AC6046"/>
    <w:rsid w:val="00AC6D1C"/>
    <w:rsid w:val="00AC742A"/>
    <w:rsid w:val="00AC7BE0"/>
    <w:rsid w:val="00AD13EB"/>
    <w:rsid w:val="00AD2372"/>
    <w:rsid w:val="00AD27C1"/>
    <w:rsid w:val="00AD2FDB"/>
    <w:rsid w:val="00AD406F"/>
    <w:rsid w:val="00AD5928"/>
    <w:rsid w:val="00AD7B42"/>
    <w:rsid w:val="00AD7C6C"/>
    <w:rsid w:val="00AE0A5B"/>
    <w:rsid w:val="00AE0E3E"/>
    <w:rsid w:val="00AE166C"/>
    <w:rsid w:val="00AE22C7"/>
    <w:rsid w:val="00AE4108"/>
    <w:rsid w:val="00AE4837"/>
    <w:rsid w:val="00AE6E21"/>
    <w:rsid w:val="00AE6F3C"/>
    <w:rsid w:val="00AF0CEA"/>
    <w:rsid w:val="00AF2334"/>
    <w:rsid w:val="00AF2C7C"/>
    <w:rsid w:val="00AF4581"/>
    <w:rsid w:val="00AF5355"/>
    <w:rsid w:val="00AF5F89"/>
    <w:rsid w:val="00AF6223"/>
    <w:rsid w:val="00AF7152"/>
    <w:rsid w:val="00B00061"/>
    <w:rsid w:val="00B007A1"/>
    <w:rsid w:val="00B02635"/>
    <w:rsid w:val="00B026E1"/>
    <w:rsid w:val="00B04303"/>
    <w:rsid w:val="00B044A4"/>
    <w:rsid w:val="00B060BC"/>
    <w:rsid w:val="00B07FB4"/>
    <w:rsid w:val="00B10A14"/>
    <w:rsid w:val="00B123AE"/>
    <w:rsid w:val="00B142FC"/>
    <w:rsid w:val="00B14757"/>
    <w:rsid w:val="00B16015"/>
    <w:rsid w:val="00B17D52"/>
    <w:rsid w:val="00B21882"/>
    <w:rsid w:val="00B243A5"/>
    <w:rsid w:val="00B257B4"/>
    <w:rsid w:val="00B26953"/>
    <w:rsid w:val="00B26F3C"/>
    <w:rsid w:val="00B31639"/>
    <w:rsid w:val="00B3233F"/>
    <w:rsid w:val="00B32B6C"/>
    <w:rsid w:val="00B33382"/>
    <w:rsid w:val="00B3371E"/>
    <w:rsid w:val="00B33C19"/>
    <w:rsid w:val="00B350DB"/>
    <w:rsid w:val="00B36AF7"/>
    <w:rsid w:val="00B36F85"/>
    <w:rsid w:val="00B4074D"/>
    <w:rsid w:val="00B40975"/>
    <w:rsid w:val="00B41A2D"/>
    <w:rsid w:val="00B420E7"/>
    <w:rsid w:val="00B42B0F"/>
    <w:rsid w:val="00B42CCE"/>
    <w:rsid w:val="00B435CF"/>
    <w:rsid w:val="00B436A7"/>
    <w:rsid w:val="00B43A42"/>
    <w:rsid w:val="00B444EE"/>
    <w:rsid w:val="00B446DF"/>
    <w:rsid w:val="00B44D55"/>
    <w:rsid w:val="00B45412"/>
    <w:rsid w:val="00B46B8F"/>
    <w:rsid w:val="00B52262"/>
    <w:rsid w:val="00B52437"/>
    <w:rsid w:val="00B52491"/>
    <w:rsid w:val="00B55217"/>
    <w:rsid w:val="00B5729E"/>
    <w:rsid w:val="00B609C3"/>
    <w:rsid w:val="00B6113F"/>
    <w:rsid w:val="00B61E24"/>
    <w:rsid w:val="00B6248F"/>
    <w:rsid w:val="00B62A24"/>
    <w:rsid w:val="00B62AA4"/>
    <w:rsid w:val="00B64F17"/>
    <w:rsid w:val="00B6735C"/>
    <w:rsid w:val="00B70AE3"/>
    <w:rsid w:val="00B71757"/>
    <w:rsid w:val="00B71B39"/>
    <w:rsid w:val="00B7274E"/>
    <w:rsid w:val="00B7343D"/>
    <w:rsid w:val="00B7486F"/>
    <w:rsid w:val="00B768CD"/>
    <w:rsid w:val="00B8042B"/>
    <w:rsid w:val="00B824F2"/>
    <w:rsid w:val="00B82545"/>
    <w:rsid w:val="00B83376"/>
    <w:rsid w:val="00B83804"/>
    <w:rsid w:val="00B83CE4"/>
    <w:rsid w:val="00B8631B"/>
    <w:rsid w:val="00B86884"/>
    <w:rsid w:val="00B902A8"/>
    <w:rsid w:val="00B90606"/>
    <w:rsid w:val="00B9077D"/>
    <w:rsid w:val="00B92893"/>
    <w:rsid w:val="00B931FD"/>
    <w:rsid w:val="00B943E5"/>
    <w:rsid w:val="00B94610"/>
    <w:rsid w:val="00B946FA"/>
    <w:rsid w:val="00B96EEE"/>
    <w:rsid w:val="00BA25CE"/>
    <w:rsid w:val="00BA3C93"/>
    <w:rsid w:val="00BA4CA4"/>
    <w:rsid w:val="00BA6174"/>
    <w:rsid w:val="00BA6D3D"/>
    <w:rsid w:val="00BB05C8"/>
    <w:rsid w:val="00BB081A"/>
    <w:rsid w:val="00BB2488"/>
    <w:rsid w:val="00BB320E"/>
    <w:rsid w:val="00BB4521"/>
    <w:rsid w:val="00BB5482"/>
    <w:rsid w:val="00BB5732"/>
    <w:rsid w:val="00BB5F20"/>
    <w:rsid w:val="00BB64A6"/>
    <w:rsid w:val="00BC024B"/>
    <w:rsid w:val="00BC025E"/>
    <w:rsid w:val="00BC06A5"/>
    <w:rsid w:val="00BC50E2"/>
    <w:rsid w:val="00BC5F18"/>
    <w:rsid w:val="00BD0B99"/>
    <w:rsid w:val="00BD2582"/>
    <w:rsid w:val="00BD270B"/>
    <w:rsid w:val="00BD4217"/>
    <w:rsid w:val="00BD5BC9"/>
    <w:rsid w:val="00BD5CFB"/>
    <w:rsid w:val="00BE36AA"/>
    <w:rsid w:val="00BE4430"/>
    <w:rsid w:val="00BE7107"/>
    <w:rsid w:val="00BE7112"/>
    <w:rsid w:val="00BE749F"/>
    <w:rsid w:val="00BE7805"/>
    <w:rsid w:val="00BE794E"/>
    <w:rsid w:val="00BF0A7E"/>
    <w:rsid w:val="00BF1C35"/>
    <w:rsid w:val="00BF238D"/>
    <w:rsid w:val="00BF455E"/>
    <w:rsid w:val="00BF5AC2"/>
    <w:rsid w:val="00BF69B8"/>
    <w:rsid w:val="00BF72BF"/>
    <w:rsid w:val="00BF7AE8"/>
    <w:rsid w:val="00C01107"/>
    <w:rsid w:val="00C01847"/>
    <w:rsid w:val="00C02683"/>
    <w:rsid w:val="00C02FDE"/>
    <w:rsid w:val="00C02FF8"/>
    <w:rsid w:val="00C03384"/>
    <w:rsid w:val="00C033FA"/>
    <w:rsid w:val="00C03571"/>
    <w:rsid w:val="00C03D01"/>
    <w:rsid w:val="00C03E3E"/>
    <w:rsid w:val="00C05CB1"/>
    <w:rsid w:val="00C074A6"/>
    <w:rsid w:val="00C11CB2"/>
    <w:rsid w:val="00C1232D"/>
    <w:rsid w:val="00C12EDC"/>
    <w:rsid w:val="00C13E3D"/>
    <w:rsid w:val="00C14C0E"/>
    <w:rsid w:val="00C14C24"/>
    <w:rsid w:val="00C14E46"/>
    <w:rsid w:val="00C15540"/>
    <w:rsid w:val="00C156DB"/>
    <w:rsid w:val="00C1697E"/>
    <w:rsid w:val="00C2131D"/>
    <w:rsid w:val="00C223FD"/>
    <w:rsid w:val="00C230FB"/>
    <w:rsid w:val="00C23DF9"/>
    <w:rsid w:val="00C24B67"/>
    <w:rsid w:val="00C26B9F"/>
    <w:rsid w:val="00C27FED"/>
    <w:rsid w:val="00C30471"/>
    <w:rsid w:val="00C3078B"/>
    <w:rsid w:val="00C32C2C"/>
    <w:rsid w:val="00C3310D"/>
    <w:rsid w:val="00C3497C"/>
    <w:rsid w:val="00C36D1E"/>
    <w:rsid w:val="00C37446"/>
    <w:rsid w:val="00C401B2"/>
    <w:rsid w:val="00C40A2C"/>
    <w:rsid w:val="00C424D4"/>
    <w:rsid w:val="00C42E3D"/>
    <w:rsid w:val="00C43C04"/>
    <w:rsid w:val="00C454DA"/>
    <w:rsid w:val="00C45D59"/>
    <w:rsid w:val="00C45F70"/>
    <w:rsid w:val="00C46867"/>
    <w:rsid w:val="00C46E93"/>
    <w:rsid w:val="00C50330"/>
    <w:rsid w:val="00C56BEB"/>
    <w:rsid w:val="00C56BF3"/>
    <w:rsid w:val="00C57506"/>
    <w:rsid w:val="00C62225"/>
    <w:rsid w:val="00C62575"/>
    <w:rsid w:val="00C64EEA"/>
    <w:rsid w:val="00C65C79"/>
    <w:rsid w:val="00C65D23"/>
    <w:rsid w:val="00C65F47"/>
    <w:rsid w:val="00C70582"/>
    <w:rsid w:val="00C71A72"/>
    <w:rsid w:val="00C71BED"/>
    <w:rsid w:val="00C72535"/>
    <w:rsid w:val="00C74A0B"/>
    <w:rsid w:val="00C74C67"/>
    <w:rsid w:val="00C752E5"/>
    <w:rsid w:val="00C80903"/>
    <w:rsid w:val="00C831C5"/>
    <w:rsid w:val="00C832DF"/>
    <w:rsid w:val="00C8344B"/>
    <w:rsid w:val="00C83FA2"/>
    <w:rsid w:val="00C907C8"/>
    <w:rsid w:val="00C9100C"/>
    <w:rsid w:val="00C924E3"/>
    <w:rsid w:val="00C94813"/>
    <w:rsid w:val="00C94DBF"/>
    <w:rsid w:val="00C9601F"/>
    <w:rsid w:val="00CA0A01"/>
    <w:rsid w:val="00CA1834"/>
    <w:rsid w:val="00CA1B0A"/>
    <w:rsid w:val="00CA1C3B"/>
    <w:rsid w:val="00CA2524"/>
    <w:rsid w:val="00CA2E3C"/>
    <w:rsid w:val="00CA346C"/>
    <w:rsid w:val="00CA3631"/>
    <w:rsid w:val="00CA4D06"/>
    <w:rsid w:val="00CA54CC"/>
    <w:rsid w:val="00CA580D"/>
    <w:rsid w:val="00CA5A05"/>
    <w:rsid w:val="00CA75CA"/>
    <w:rsid w:val="00CA7DBC"/>
    <w:rsid w:val="00CA7DFA"/>
    <w:rsid w:val="00CB0309"/>
    <w:rsid w:val="00CB070A"/>
    <w:rsid w:val="00CB095B"/>
    <w:rsid w:val="00CB0ACF"/>
    <w:rsid w:val="00CB0DD6"/>
    <w:rsid w:val="00CB12B3"/>
    <w:rsid w:val="00CB174F"/>
    <w:rsid w:val="00CB1EA8"/>
    <w:rsid w:val="00CB1EDA"/>
    <w:rsid w:val="00CB36A9"/>
    <w:rsid w:val="00CB3F1D"/>
    <w:rsid w:val="00CB49B8"/>
    <w:rsid w:val="00CB5B29"/>
    <w:rsid w:val="00CB706B"/>
    <w:rsid w:val="00CB72A9"/>
    <w:rsid w:val="00CC374C"/>
    <w:rsid w:val="00CC5CD4"/>
    <w:rsid w:val="00CC5EAA"/>
    <w:rsid w:val="00CC5F4A"/>
    <w:rsid w:val="00CC6481"/>
    <w:rsid w:val="00CC75E0"/>
    <w:rsid w:val="00CC76D2"/>
    <w:rsid w:val="00CD098B"/>
    <w:rsid w:val="00CD14C3"/>
    <w:rsid w:val="00CD26B7"/>
    <w:rsid w:val="00CD2701"/>
    <w:rsid w:val="00CD3B36"/>
    <w:rsid w:val="00CD40E3"/>
    <w:rsid w:val="00CD4477"/>
    <w:rsid w:val="00CD53F3"/>
    <w:rsid w:val="00CD5A63"/>
    <w:rsid w:val="00CD5E57"/>
    <w:rsid w:val="00CD6018"/>
    <w:rsid w:val="00CD6D7E"/>
    <w:rsid w:val="00CD6F0F"/>
    <w:rsid w:val="00CE0357"/>
    <w:rsid w:val="00CE0377"/>
    <w:rsid w:val="00CE0EDE"/>
    <w:rsid w:val="00CE0F56"/>
    <w:rsid w:val="00CE144F"/>
    <w:rsid w:val="00CE2729"/>
    <w:rsid w:val="00CE3C44"/>
    <w:rsid w:val="00CE42E5"/>
    <w:rsid w:val="00CE4A4B"/>
    <w:rsid w:val="00CE4D56"/>
    <w:rsid w:val="00CE4FA7"/>
    <w:rsid w:val="00CE50A5"/>
    <w:rsid w:val="00CE5F72"/>
    <w:rsid w:val="00CE7ECF"/>
    <w:rsid w:val="00CF0369"/>
    <w:rsid w:val="00CF0DF1"/>
    <w:rsid w:val="00CF2335"/>
    <w:rsid w:val="00CF2D9C"/>
    <w:rsid w:val="00CF2E01"/>
    <w:rsid w:val="00CF37B7"/>
    <w:rsid w:val="00CF38B1"/>
    <w:rsid w:val="00CF38F3"/>
    <w:rsid w:val="00CF3912"/>
    <w:rsid w:val="00CF481E"/>
    <w:rsid w:val="00CF6112"/>
    <w:rsid w:val="00CF6228"/>
    <w:rsid w:val="00CF6942"/>
    <w:rsid w:val="00CF69A5"/>
    <w:rsid w:val="00CF69FA"/>
    <w:rsid w:val="00D020AA"/>
    <w:rsid w:val="00D020AF"/>
    <w:rsid w:val="00D02D38"/>
    <w:rsid w:val="00D032A4"/>
    <w:rsid w:val="00D0362E"/>
    <w:rsid w:val="00D03AB5"/>
    <w:rsid w:val="00D03CB4"/>
    <w:rsid w:val="00D03D2C"/>
    <w:rsid w:val="00D074F2"/>
    <w:rsid w:val="00D0767E"/>
    <w:rsid w:val="00D07AB1"/>
    <w:rsid w:val="00D106A6"/>
    <w:rsid w:val="00D107FD"/>
    <w:rsid w:val="00D113B4"/>
    <w:rsid w:val="00D1151A"/>
    <w:rsid w:val="00D11BBF"/>
    <w:rsid w:val="00D11CE1"/>
    <w:rsid w:val="00D14767"/>
    <w:rsid w:val="00D15C05"/>
    <w:rsid w:val="00D16C74"/>
    <w:rsid w:val="00D20D2C"/>
    <w:rsid w:val="00D20E63"/>
    <w:rsid w:val="00D2160C"/>
    <w:rsid w:val="00D22EF2"/>
    <w:rsid w:val="00D23030"/>
    <w:rsid w:val="00D24834"/>
    <w:rsid w:val="00D24DB3"/>
    <w:rsid w:val="00D26A9C"/>
    <w:rsid w:val="00D26DF2"/>
    <w:rsid w:val="00D27AAE"/>
    <w:rsid w:val="00D306C0"/>
    <w:rsid w:val="00D31496"/>
    <w:rsid w:val="00D32E7C"/>
    <w:rsid w:val="00D332CD"/>
    <w:rsid w:val="00D34338"/>
    <w:rsid w:val="00D352E6"/>
    <w:rsid w:val="00D355D9"/>
    <w:rsid w:val="00D3640E"/>
    <w:rsid w:val="00D36C06"/>
    <w:rsid w:val="00D408F2"/>
    <w:rsid w:val="00D40AA6"/>
    <w:rsid w:val="00D41ACE"/>
    <w:rsid w:val="00D43084"/>
    <w:rsid w:val="00D437BA"/>
    <w:rsid w:val="00D44E9B"/>
    <w:rsid w:val="00D44FB2"/>
    <w:rsid w:val="00D5132A"/>
    <w:rsid w:val="00D51543"/>
    <w:rsid w:val="00D53DD5"/>
    <w:rsid w:val="00D53F7F"/>
    <w:rsid w:val="00D556DA"/>
    <w:rsid w:val="00D565E3"/>
    <w:rsid w:val="00D566D6"/>
    <w:rsid w:val="00D56A79"/>
    <w:rsid w:val="00D6058F"/>
    <w:rsid w:val="00D60DB8"/>
    <w:rsid w:val="00D61249"/>
    <w:rsid w:val="00D61458"/>
    <w:rsid w:val="00D627CE"/>
    <w:rsid w:val="00D62ADE"/>
    <w:rsid w:val="00D63D7F"/>
    <w:rsid w:val="00D64AF0"/>
    <w:rsid w:val="00D65C22"/>
    <w:rsid w:val="00D6630D"/>
    <w:rsid w:val="00D6632E"/>
    <w:rsid w:val="00D66F73"/>
    <w:rsid w:val="00D67641"/>
    <w:rsid w:val="00D703A5"/>
    <w:rsid w:val="00D70C65"/>
    <w:rsid w:val="00D71474"/>
    <w:rsid w:val="00D71A19"/>
    <w:rsid w:val="00D72565"/>
    <w:rsid w:val="00D725AD"/>
    <w:rsid w:val="00D74EE0"/>
    <w:rsid w:val="00D75B99"/>
    <w:rsid w:val="00D761D3"/>
    <w:rsid w:val="00D7777E"/>
    <w:rsid w:val="00D80FA9"/>
    <w:rsid w:val="00D8101A"/>
    <w:rsid w:val="00D83DAE"/>
    <w:rsid w:val="00D84C3D"/>
    <w:rsid w:val="00D86440"/>
    <w:rsid w:val="00D876F3"/>
    <w:rsid w:val="00D90782"/>
    <w:rsid w:val="00D915D5"/>
    <w:rsid w:val="00D92836"/>
    <w:rsid w:val="00D940A9"/>
    <w:rsid w:val="00D968E7"/>
    <w:rsid w:val="00D96BD1"/>
    <w:rsid w:val="00D96DF5"/>
    <w:rsid w:val="00D974B8"/>
    <w:rsid w:val="00D97D38"/>
    <w:rsid w:val="00DA0683"/>
    <w:rsid w:val="00DA0A6A"/>
    <w:rsid w:val="00DA0D85"/>
    <w:rsid w:val="00DA23DA"/>
    <w:rsid w:val="00DA2BE9"/>
    <w:rsid w:val="00DA2D36"/>
    <w:rsid w:val="00DA30A6"/>
    <w:rsid w:val="00DA431C"/>
    <w:rsid w:val="00DA4DA8"/>
    <w:rsid w:val="00DA5BCB"/>
    <w:rsid w:val="00DA707C"/>
    <w:rsid w:val="00DB0018"/>
    <w:rsid w:val="00DB0BA9"/>
    <w:rsid w:val="00DB3A53"/>
    <w:rsid w:val="00DB4D18"/>
    <w:rsid w:val="00DB51B3"/>
    <w:rsid w:val="00DB6737"/>
    <w:rsid w:val="00DB6BFB"/>
    <w:rsid w:val="00DB76D6"/>
    <w:rsid w:val="00DC21A0"/>
    <w:rsid w:val="00DC4D5B"/>
    <w:rsid w:val="00DC73DB"/>
    <w:rsid w:val="00DC7433"/>
    <w:rsid w:val="00DD2B68"/>
    <w:rsid w:val="00DD4183"/>
    <w:rsid w:val="00DD5FDE"/>
    <w:rsid w:val="00DD68DD"/>
    <w:rsid w:val="00DD70D8"/>
    <w:rsid w:val="00DD762A"/>
    <w:rsid w:val="00DD7C99"/>
    <w:rsid w:val="00DD7FBE"/>
    <w:rsid w:val="00DE048E"/>
    <w:rsid w:val="00DE0543"/>
    <w:rsid w:val="00DE05ED"/>
    <w:rsid w:val="00DE15B9"/>
    <w:rsid w:val="00DE20B7"/>
    <w:rsid w:val="00DE2412"/>
    <w:rsid w:val="00DE2D24"/>
    <w:rsid w:val="00DE43A1"/>
    <w:rsid w:val="00DF1F5E"/>
    <w:rsid w:val="00DF3318"/>
    <w:rsid w:val="00DF368F"/>
    <w:rsid w:val="00DF3CD9"/>
    <w:rsid w:val="00DF54FA"/>
    <w:rsid w:val="00DF6FF2"/>
    <w:rsid w:val="00E007F9"/>
    <w:rsid w:val="00E00DD6"/>
    <w:rsid w:val="00E00F2C"/>
    <w:rsid w:val="00E02A3B"/>
    <w:rsid w:val="00E02CA3"/>
    <w:rsid w:val="00E03B34"/>
    <w:rsid w:val="00E03B7F"/>
    <w:rsid w:val="00E04258"/>
    <w:rsid w:val="00E04FD9"/>
    <w:rsid w:val="00E0530A"/>
    <w:rsid w:val="00E05AC1"/>
    <w:rsid w:val="00E05F7C"/>
    <w:rsid w:val="00E06A87"/>
    <w:rsid w:val="00E07730"/>
    <w:rsid w:val="00E109BD"/>
    <w:rsid w:val="00E10F9B"/>
    <w:rsid w:val="00E12127"/>
    <w:rsid w:val="00E12851"/>
    <w:rsid w:val="00E12F25"/>
    <w:rsid w:val="00E13899"/>
    <w:rsid w:val="00E14D36"/>
    <w:rsid w:val="00E15D14"/>
    <w:rsid w:val="00E1671C"/>
    <w:rsid w:val="00E16AAE"/>
    <w:rsid w:val="00E179D5"/>
    <w:rsid w:val="00E2512B"/>
    <w:rsid w:val="00E257E1"/>
    <w:rsid w:val="00E25C6F"/>
    <w:rsid w:val="00E3098A"/>
    <w:rsid w:val="00E30B5A"/>
    <w:rsid w:val="00E31845"/>
    <w:rsid w:val="00E339BA"/>
    <w:rsid w:val="00E41DF4"/>
    <w:rsid w:val="00E41FB6"/>
    <w:rsid w:val="00E42D83"/>
    <w:rsid w:val="00E43BCF"/>
    <w:rsid w:val="00E43FE4"/>
    <w:rsid w:val="00E44DC7"/>
    <w:rsid w:val="00E46388"/>
    <w:rsid w:val="00E47FDC"/>
    <w:rsid w:val="00E50668"/>
    <w:rsid w:val="00E513A8"/>
    <w:rsid w:val="00E53226"/>
    <w:rsid w:val="00E5348E"/>
    <w:rsid w:val="00E53895"/>
    <w:rsid w:val="00E55134"/>
    <w:rsid w:val="00E57476"/>
    <w:rsid w:val="00E57954"/>
    <w:rsid w:val="00E60D2B"/>
    <w:rsid w:val="00E61265"/>
    <w:rsid w:val="00E61DC9"/>
    <w:rsid w:val="00E624B0"/>
    <w:rsid w:val="00E62CB2"/>
    <w:rsid w:val="00E63D92"/>
    <w:rsid w:val="00E66004"/>
    <w:rsid w:val="00E6640F"/>
    <w:rsid w:val="00E70D7C"/>
    <w:rsid w:val="00E71426"/>
    <w:rsid w:val="00E7167A"/>
    <w:rsid w:val="00E719D0"/>
    <w:rsid w:val="00E73DD0"/>
    <w:rsid w:val="00E773B0"/>
    <w:rsid w:val="00E8012C"/>
    <w:rsid w:val="00E81862"/>
    <w:rsid w:val="00E826D7"/>
    <w:rsid w:val="00E82BF7"/>
    <w:rsid w:val="00E82CD8"/>
    <w:rsid w:val="00E83113"/>
    <w:rsid w:val="00E83897"/>
    <w:rsid w:val="00E83B9D"/>
    <w:rsid w:val="00E856FC"/>
    <w:rsid w:val="00E85725"/>
    <w:rsid w:val="00E87E37"/>
    <w:rsid w:val="00E90D15"/>
    <w:rsid w:val="00E90EA0"/>
    <w:rsid w:val="00E94538"/>
    <w:rsid w:val="00E94D9D"/>
    <w:rsid w:val="00E94E3E"/>
    <w:rsid w:val="00E952D8"/>
    <w:rsid w:val="00E963FB"/>
    <w:rsid w:val="00E979F1"/>
    <w:rsid w:val="00EA1E63"/>
    <w:rsid w:val="00EA2B9C"/>
    <w:rsid w:val="00EA2ED6"/>
    <w:rsid w:val="00EA7D92"/>
    <w:rsid w:val="00EB1DD2"/>
    <w:rsid w:val="00EB22BD"/>
    <w:rsid w:val="00EB22F3"/>
    <w:rsid w:val="00EB579A"/>
    <w:rsid w:val="00EB6C27"/>
    <w:rsid w:val="00EC049E"/>
    <w:rsid w:val="00EC0979"/>
    <w:rsid w:val="00EC0FAC"/>
    <w:rsid w:val="00EC1850"/>
    <w:rsid w:val="00EC252D"/>
    <w:rsid w:val="00EC3016"/>
    <w:rsid w:val="00EC3D61"/>
    <w:rsid w:val="00EC46A5"/>
    <w:rsid w:val="00EC67FF"/>
    <w:rsid w:val="00EC6D94"/>
    <w:rsid w:val="00EC7EF1"/>
    <w:rsid w:val="00ED16B6"/>
    <w:rsid w:val="00ED1D59"/>
    <w:rsid w:val="00ED2B83"/>
    <w:rsid w:val="00ED2C29"/>
    <w:rsid w:val="00ED2DCA"/>
    <w:rsid w:val="00ED3352"/>
    <w:rsid w:val="00ED385A"/>
    <w:rsid w:val="00ED48FC"/>
    <w:rsid w:val="00ED6BE2"/>
    <w:rsid w:val="00ED7667"/>
    <w:rsid w:val="00EE279A"/>
    <w:rsid w:val="00EE3876"/>
    <w:rsid w:val="00EE46DB"/>
    <w:rsid w:val="00EE75CA"/>
    <w:rsid w:val="00EF1F18"/>
    <w:rsid w:val="00EF5E42"/>
    <w:rsid w:val="00EF7EAE"/>
    <w:rsid w:val="00F001D2"/>
    <w:rsid w:val="00F00536"/>
    <w:rsid w:val="00F01591"/>
    <w:rsid w:val="00F0160A"/>
    <w:rsid w:val="00F02941"/>
    <w:rsid w:val="00F04446"/>
    <w:rsid w:val="00F04FD7"/>
    <w:rsid w:val="00F06D8E"/>
    <w:rsid w:val="00F073F6"/>
    <w:rsid w:val="00F10CB3"/>
    <w:rsid w:val="00F12602"/>
    <w:rsid w:val="00F12688"/>
    <w:rsid w:val="00F144A5"/>
    <w:rsid w:val="00F1465A"/>
    <w:rsid w:val="00F15806"/>
    <w:rsid w:val="00F1598F"/>
    <w:rsid w:val="00F15EC3"/>
    <w:rsid w:val="00F16891"/>
    <w:rsid w:val="00F20980"/>
    <w:rsid w:val="00F20C0A"/>
    <w:rsid w:val="00F21B30"/>
    <w:rsid w:val="00F22A1E"/>
    <w:rsid w:val="00F23836"/>
    <w:rsid w:val="00F24C97"/>
    <w:rsid w:val="00F25677"/>
    <w:rsid w:val="00F30346"/>
    <w:rsid w:val="00F30541"/>
    <w:rsid w:val="00F30A85"/>
    <w:rsid w:val="00F312AA"/>
    <w:rsid w:val="00F31AC6"/>
    <w:rsid w:val="00F31FF7"/>
    <w:rsid w:val="00F32390"/>
    <w:rsid w:val="00F34168"/>
    <w:rsid w:val="00F353A3"/>
    <w:rsid w:val="00F36061"/>
    <w:rsid w:val="00F379B0"/>
    <w:rsid w:val="00F408B1"/>
    <w:rsid w:val="00F40FCE"/>
    <w:rsid w:val="00F4105F"/>
    <w:rsid w:val="00F41706"/>
    <w:rsid w:val="00F43C61"/>
    <w:rsid w:val="00F446A8"/>
    <w:rsid w:val="00F446E0"/>
    <w:rsid w:val="00F446EC"/>
    <w:rsid w:val="00F44AD6"/>
    <w:rsid w:val="00F44CC4"/>
    <w:rsid w:val="00F45B8C"/>
    <w:rsid w:val="00F4644E"/>
    <w:rsid w:val="00F46499"/>
    <w:rsid w:val="00F46BC7"/>
    <w:rsid w:val="00F471B5"/>
    <w:rsid w:val="00F477BC"/>
    <w:rsid w:val="00F50FAF"/>
    <w:rsid w:val="00F53D38"/>
    <w:rsid w:val="00F57583"/>
    <w:rsid w:val="00F57608"/>
    <w:rsid w:val="00F6169C"/>
    <w:rsid w:val="00F61EF8"/>
    <w:rsid w:val="00F62553"/>
    <w:rsid w:val="00F63139"/>
    <w:rsid w:val="00F636FD"/>
    <w:rsid w:val="00F65EDC"/>
    <w:rsid w:val="00F66044"/>
    <w:rsid w:val="00F66300"/>
    <w:rsid w:val="00F6654F"/>
    <w:rsid w:val="00F670C1"/>
    <w:rsid w:val="00F7007F"/>
    <w:rsid w:val="00F70A04"/>
    <w:rsid w:val="00F71394"/>
    <w:rsid w:val="00F7228D"/>
    <w:rsid w:val="00F728E2"/>
    <w:rsid w:val="00F738C0"/>
    <w:rsid w:val="00F747A3"/>
    <w:rsid w:val="00F75540"/>
    <w:rsid w:val="00F76685"/>
    <w:rsid w:val="00F76CA1"/>
    <w:rsid w:val="00F777D0"/>
    <w:rsid w:val="00F81C86"/>
    <w:rsid w:val="00F822DB"/>
    <w:rsid w:val="00F824F4"/>
    <w:rsid w:val="00F854C3"/>
    <w:rsid w:val="00F860FC"/>
    <w:rsid w:val="00F87493"/>
    <w:rsid w:val="00F8760A"/>
    <w:rsid w:val="00F879EA"/>
    <w:rsid w:val="00F87A94"/>
    <w:rsid w:val="00F930F8"/>
    <w:rsid w:val="00F949EF"/>
    <w:rsid w:val="00F9553D"/>
    <w:rsid w:val="00F95609"/>
    <w:rsid w:val="00FA07CF"/>
    <w:rsid w:val="00FA0F40"/>
    <w:rsid w:val="00FA19A1"/>
    <w:rsid w:val="00FA19AA"/>
    <w:rsid w:val="00FA1CF2"/>
    <w:rsid w:val="00FA2688"/>
    <w:rsid w:val="00FA3BB0"/>
    <w:rsid w:val="00FA3FE2"/>
    <w:rsid w:val="00FA4154"/>
    <w:rsid w:val="00FA4867"/>
    <w:rsid w:val="00FA4D74"/>
    <w:rsid w:val="00FA556D"/>
    <w:rsid w:val="00FA56AF"/>
    <w:rsid w:val="00FA6132"/>
    <w:rsid w:val="00FA66C8"/>
    <w:rsid w:val="00FA713F"/>
    <w:rsid w:val="00FB116C"/>
    <w:rsid w:val="00FB4577"/>
    <w:rsid w:val="00FB46B4"/>
    <w:rsid w:val="00FB7D13"/>
    <w:rsid w:val="00FC0624"/>
    <w:rsid w:val="00FC1E37"/>
    <w:rsid w:val="00FC22F3"/>
    <w:rsid w:val="00FC2897"/>
    <w:rsid w:val="00FC4B3C"/>
    <w:rsid w:val="00FC5143"/>
    <w:rsid w:val="00FC68A8"/>
    <w:rsid w:val="00FC6CEA"/>
    <w:rsid w:val="00FC6CEF"/>
    <w:rsid w:val="00FC7AB1"/>
    <w:rsid w:val="00FC7ACE"/>
    <w:rsid w:val="00FC7F38"/>
    <w:rsid w:val="00FD07ED"/>
    <w:rsid w:val="00FD0EB3"/>
    <w:rsid w:val="00FD20A1"/>
    <w:rsid w:val="00FD21A6"/>
    <w:rsid w:val="00FD6509"/>
    <w:rsid w:val="00FD6BBF"/>
    <w:rsid w:val="00FD72C2"/>
    <w:rsid w:val="00FE14ED"/>
    <w:rsid w:val="00FE42E9"/>
    <w:rsid w:val="00FE4342"/>
    <w:rsid w:val="00FE4D50"/>
    <w:rsid w:val="00FE5C60"/>
    <w:rsid w:val="00FE76B0"/>
    <w:rsid w:val="00FE7B56"/>
    <w:rsid w:val="00FF1061"/>
    <w:rsid w:val="00FF27E6"/>
    <w:rsid w:val="00FF3120"/>
    <w:rsid w:val="00FF3561"/>
    <w:rsid w:val="00FF3649"/>
    <w:rsid w:val="00FF526F"/>
    <w:rsid w:val="00F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9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iPriority="0"/>
    <w:lsdException w:name="annotation text" w:uiPriority="0"/>
    <w:lsdException w:name="index heading" w:unhideWhenUsed="1"/>
    <w:lsdException w:name="caption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iPriority="0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0" w:qFormat="1"/>
    <w:lsdException w:name="Closing" w:unhideWhenUsed="1"/>
    <w:lsdException w:name="Signature" w:unhideWhenUsed="1"/>
    <w:lsdException w:name="Body Text" w:uiPriority="0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iPriority="0"/>
    <w:lsdException w:name="Body Text 3" w:unhideWhenUsed="1"/>
    <w:lsdException w:name="Body Text Indent 2" w:uiPriority="0"/>
    <w:lsdException w:name="Body Text Indent 3" w:uiPriority="0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iPriority="0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iPriority="0"/>
    <w:lsdException w:name="Table List 1" w:uiPriority="0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iPriority="0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iPriority="0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iPriority="0"/>
    <w:lsdException w:name="Balloon Text" w:uiPriority="0"/>
    <w:lsdException w:name="Table Grid" w:semiHidden="0" w:uiPriority="59"/>
    <w:lsdException w:name="Table Theme" w:uiPriority="0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410E3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561610"/>
    <w:pPr>
      <w:keepNext/>
      <w:numPr>
        <w:numId w:val="2"/>
      </w:numPr>
      <w:jc w:val="center"/>
      <w:outlineLvl w:val="0"/>
    </w:pPr>
    <w:rPr>
      <w:rFonts w:ascii="Arial" w:hAnsi="Arial"/>
      <w:b/>
      <w:bCs/>
      <w:sz w:val="16"/>
      <w:szCs w:val="16"/>
    </w:rPr>
  </w:style>
  <w:style w:type="paragraph" w:styleId="Heading2">
    <w:name w:val="heading 2"/>
    <w:aliases w:val="Char, Char"/>
    <w:basedOn w:val="Normal"/>
    <w:next w:val="Normal"/>
    <w:link w:val="Heading2Char"/>
    <w:uiPriority w:val="9"/>
    <w:qFormat/>
    <w:rsid w:val="00561610"/>
    <w:pPr>
      <w:keepNext/>
      <w:numPr>
        <w:ilvl w:val="1"/>
        <w:numId w:val="2"/>
      </w:numPr>
      <w:outlineLvl w:val="1"/>
    </w:pPr>
    <w:rPr>
      <w:b/>
      <w:bCs/>
      <w:lang w:val="sr-Latn-CS"/>
    </w:rPr>
  </w:style>
  <w:style w:type="paragraph" w:styleId="Heading3">
    <w:name w:val="heading 3"/>
    <w:basedOn w:val="Normal"/>
    <w:next w:val="Normal"/>
    <w:link w:val="Heading3Char"/>
    <w:qFormat/>
    <w:rsid w:val="008409B2"/>
    <w:pPr>
      <w:keepNext/>
      <w:numPr>
        <w:ilvl w:val="2"/>
        <w:numId w:val="2"/>
      </w:numPr>
      <w:outlineLvl w:val="2"/>
    </w:pPr>
    <w:rPr>
      <w:b/>
      <w:bCs/>
      <w:lang w:val="sr-Latn-CS"/>
    </w:rPr>
  </w:style>
  <w:style w:type="paragraph" w:styleId="Heading4">
    <w:name w:val="heading 4"/>
    <w:basedOn w:val="Normal"/>
    <w:next w:val="Normal"/>
    <w:link w:val="Heading4Char"/>
    <w:qFormat/>
    <w:rsid w:val="00561610"/>
    <w:pPr>
      <w:keepNext/>
      <w:numPr>
        <w:ilvl w:val="3"/>
        <w:numId w:val="2"/>
      </w:numPr>
      <w:jc w:val="both"/>
      <w:outlineLvl w:val="3"/>
    </w:pPr>
    <w:rPr>
      <w:b/>
      <w:bCs/>
      <w:lang w:val="sr-Latn-CS"/>
    </w:rPr>
  </w:style>
  <w:style w:type="paragraph" w:styleId="Heading5">
    <w:name w:val="heading 5"/>
    <w:basedOn w:val="Normal"/>
    <w:next w:val="Normal"/>
    <w:link w:val="Heading5Char"/>
    <w:qFormat/>
    <w:rsid w:val="00A14A5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A14A5A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14A5A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14A5A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A14A5A"/>
    <w:pPr>
      <w:numPr>
        <w:ilvl w:val="8"/>
        <w:numId w:val="2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F2364"/>
    <w:rPr>
      <w:rFonts w:ascii="Arial" w:hAnsi="Arial"/>
      <w:b/>
      <w:bCs/>
      <w:sz w:val="16"/>
      <w:szCs w:val="16"/>
      <w:lang w:eastAsia="ar-SA"/>
    </w:rPr>
  </w:style>
  <w:style w:type="character" w:customStyle="1" w:styleId="Heading2Char">
    <w:name w:val="Heading 2 Char"/>
    <w:aliases w:val="Char Char, Char Char"/>
    <w:link w:val="Heading2"/>
    <w:uiPriority w:val="9"/>
    <w:rsid w:val="0040367D"/>
    <w:rPr>
      <w:b/>
      <w:bCs/>
      <w:sz w:val="24"/>
      <w:szCs w:val="24"/>
      <w:lang w:val="sr-Latn-CS" w:eastAsia="ar-SA"/>
    </w:rPr>
  </w:style>
  <w:style w:type="character" w:customStyle="1" w:styleId="Heading3Char">
    <w:name w:val="Heading 3 Char"/>
    <w:link w:val="Heading3"/>
    <w:rsid w:val="008409B2"/>
    <w:rPr>
      <w:b/>
      <w:bCs/>
      <w:sz w:val="24"/>
      <w:szCs w:val="24"/>
      <w:lang w:val="sr-Latn-CS" w:eastAsia="ar-SA"/>
    </w:rPr>
  </w:style>
  <w:style w:type="character" w:customStyle="1" w:styleId="Heading4Char">
    <w:name w:val="Heading 4 Char"/>
    <w:link w:val="Heading4"/>
    <w:rsid w:val="009868EF"/>
    <w:rPr>
      <w:b/>
      <w:bCs/>
      <w:sz w:val="24"/>
      <w:szCs w:val="24"/>
      <w:lang w:val="sr-Latn-CS" w:eastAsia="ar-SA"/>
    </w:rPr>
  </w:style>
  <w:style w:type="character" w:customStyle="1" w:styleId="Heading5Char">
    <w:name w:val="Heading 5 Char"/>
    <w:link w:val="Heading5"/>
    <w:rsid w:val="009868EF"/>
    <w:rPr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link w:val="Heading6"/>
    <w:rsid w:val="009868EF"/>
    <w:rPr>
      <w:b/>
      <w:bCs/>
      <w:sz w:val="22"/>
      <w:szCs w:val="22"/>
      <w:lang w:eastAsia="ar-SA"/>
    </w:rPr>
  </w:style>
  <w:style w:type="character" w:customStyle="1" w:styleId="Heading7Char">
    <w:name w:val="Heading 7 Char"/>
    <w:link w:val="Heading7"/>
    <w:rsid w:val="009868EF"/>
    <w:rPr>
      <w:sz w:val="24"/>
      <w:szCs w:val="24"/>
      <w:lang w:eastAsia="ar-SA"/>
    </w:rPr>
  </w:style>
  <w:style w:type="character" w:customStyle="1" w:styleId="Heading8Char">
    <w:name w:val="Heading 8 Char"/>
    <w:link w:val="Heading8"/>
    <w:rsid w:val="009868EF"/>
    <w:rPr>
      <w:i/>
      <w:iCs/>
      <w:sz w:val="24"/>
      <w:szCs w:val="24"/>
      <w:lang w:eastAsia="ar-SA"/>
    </w:rPr>
  </w:style>
  <w:style w:type="character" w:customStyle="1" w:styleId="Heading9Char">
    <w:name w:val="Heading 9 Char"/>
    <w:link w:val="Heading9"/>
    <w:rsid w:val="009868EF"/>
    <w:rPr>
      <w:rFonts w:ascii="Arial" w:hAnsi="Arial"/>
      <w:sz w:val="22"/>
      <w:szCs w:val="22"/>
      <w:lang w:eastAsia="ar-SA"/>
    </w:rPr>
  </w:style>
  <w:style w:type="character" w:customStyle="1" w:styleId="WW8Num2z0">
    <w:name w:val="WW8Num2z0"/>
    <w:rsid w:val="00561610"/>
    <w:rPr>
      <w:rFonts w:ascii="Symbol" w:hAnsi="Symbol" w:cs="Symbol"/>
      <w:color w:val="auto"/>
      <w:sz w:val="24"/>
      <w:szCs w:val="24"/>
    </w:rPr>
  </w:style>
  <w:style w:type="character" w:customStyle="1" w:styleId="WW8Num4z0">
    <w:name w:val="WW8Num4z0"/>
    <w:rsid w:val="00561610"/>
    <w:rPr>
      <w:rFonts w:ascii="Wingdings" w:hAnsi="Wingdings" w:cs="Wingdings"/>
    </w:rPr>
  </w:style>
  <w:style w:type="character" w:customStyle="1" w:styleId="WW8Num5z0">
    <w:name w:val="WW8Num5z0"/>
    <w:rsid w:val="00561610"/>
    <w:rPr>
      <w:rFonts w:ascii="Symbol" w:hAnsi="Symbol" w:cs="Symbol"/>
    </w:rPr>
  </w:style>
  <w:style w:type="character" w:customStyle="1" w:styleId="WW8Num5z1">
    <w:name w:val="WW8Num5z1"/>
    <w:rsid w:val="00561610"/>
    <w:rPr>
      <w:rFonts w:ascii="Times New Roman" w:hAnsi="Times New Roman" w:cs="Times New Roman"/>
    </w:rPr>
  </w:style>
  <w:style w:type="character" w:customStyle="1" w:styleId="WW8Num5z2">
    <w:name w:val="WW8Num5z2"/>
    <w:rsid w:val="00561610"/>
    <w:rPr>
      <w:rFonts w:ascii="Wingdings" w:hAnsi="Wingdings" w:cs="Wingdings"/>
    </w:rPr>
  </w:style>
  <w:style w:type="character" w:customStyle="1" w:styleId="WW8Num5z4">
    <w:name w:val="WW8Num5z4"/>
    <w:rsid w:val="0056161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561610"/>
  </w:style>
  <w:style w:type="character" w:customStyle="1" w:styleId="WW8Num1z0">
    <w:name w:val="WW8Num1z0"/>
    <w:rsid w:val="00561610"/>
    <w:rPr>
      <w:rFonts w:ascii="Symbol" w:hAnsi="Symbol" w:cs="Symbol"/>
    </w:rPr>
  </w:style>
  <w:style w:type="character" w:customStyle="1" w:styleId="WW8Num1z1">
    <w:name w:val="WW8Num1z1"/>
    <w:rsid w:val="00561610"/>
    <w:rPr>
      <w:rFonts w:ascii="Courier New" w:hAnsi="Courier New" w:cs="Courier New"/>
    </w:rPr>
  </w:style>
  <w:style w:type="character" w:customStyle="1" w:styleId="WW8Num1z2">
    <w:name w:val="WW8Num1z2"/>
    <w:rsid w:val="00561610"/>
    <w:rPr>
      <w:rFonts w:ascii="Wingdings" w:hAnsi="Wingdings" w:cs="Wingdings"/>
    </w:rPr>
  </w:style>
  <w:style w:type="character" w:customStyle="1" w:styleId="WW8Num2z1">
    <w:name w:val="WW8Num2z1"/>
    <w:rsid w:val="00561610"/>
    <w:rPr>
      <w:rFonts w:ascii="Courier New" w:hAnsi="Courier New" w:cs="Courier New"/>
    </w:rPr>
  </w:style>
  <w:style w:type="character" w:customStyle="1" w:styleId="WW8Num2z2">
    <w:name w:val="WW8Num2z2"/>
    <w:rsid w:val="00561610"/>
    <w:rPr>
      <w:rFonts w:ascii="Wingdings" w:hAnsi="Wingdings" w:cs="Wingdings"/>
    </w:rPr>
  </w:style>
  <w:style w:type="character" w:customStyle="1" w:styleId="WW8Num2z3">
    <w:name w:val="WW8Num2z3"/>
    <w:rsid w:val="00561610"/>
    <w:rPr>
      <w:rFonts w:ascii="Symbol" w:hAnsi="Symbol" w:cs="Symbol"/>
    </w:rPr>
  </w:style>
  <w:style w:type="character" w:customStyle="1" w:styleId="WW8Num3z0">
    <w:name w:val="WW8Num3z0"/>
    <w:rsid w:val="00561610"/>
    <w:rPr>
      <w:u w:val="none"/>
    </w:rPr>
  </w:style>
  <w:style w:type="character" w:customStyle="1" w:styleId="WW8Num4z1">
    <w:name w:val="WW8Num4z1"/>
    <w:rsid w:val="00561610"/>
    <w:rPr>
      <w:rFonts w:ascii="Courier New" w:hAnsi="Courier New" w:cs="Courier New"/>
    </w:rPr>
  </w:style>
  <w:style w:type="character" w:customStyle="1" w:styleId="WW8Num4z3">
    <w:name w:val="WW8Num4z3"/>
    <w:rsid w:val="00561610"/>
    <w:rPr>
      <w:rFonts w:ascii="Symbol" w:hAnsi="Symbol" w:cs="Symbol"/>
    </w:rPr>
  </w:style>
  <w:style w:type="character" w:customStyle="1" w:styleId="WW8Num7z0">
    <w:name w:val="WW8Num7z0"/>
    <w:rsid w:val="00561610"/>
    <w:rPr>
      <w:rFonts w:ascii="Symbol" w:hAnsi="Symbol" w:cs="Symbol"/>
    </w:rPr>
  </w:style>
  <w:style w:type="character" w:customStyle="1" w:styleId="WW8Num8z0">
    <w:name w:val="WW8Num8z0"/>
    <w:rsid w:val="00561610"/>
    <w:rPr>
      <w:rFonts w:ascii="Times New Roman" w:hAnsi="Times New Roman" w:cs="Times New Roman"/>
    </w:rPr>
  </w:style>
  <w:style w:type="character" w:customStyle="1" w:styleId="WW8Num8z1">
    <w:name w:val="WW8Num8z1"/>
    <w:rsid w:val="00561610"/>
    <w:rPr>
      <w:rFonts w:ascii="Courier New" w:hAnsi="Courier New" w:cs="Courier New"/>
    </w:rPr>
  </w:style>
  <w:style w:type="character" w:customStyle="1" w:styleId="WW8Num8z2">
    <w:name w:val="WW8Num8z2"/>
    <w:rsid w:val="00561610"/>
    <w:rPr>
      <w:rFonts w:ascii="Wingdings" w:hAnsi="Wingdings" w:cs="Wingdings"/>
    </w:rPr>
  </w:style>
  <w:style w:type="character" w:customStyle="1" w:styleId="WW8Num8z3">
    <w:name w:val="WW8Num8z3"/>
    <w:rsid w:val="00561610"/>
    <w:rPr>
      <w:rFonts w:ascii="Symbol" w:hAnsi="Symbol" w:cs="Symbol"/>
    </w:rPr>
  </w:style>
  <w:style w:type="character" w:customStyle="1" w:styleId="WW8Num9z0">
    <w:name w:val="WW8Num9z0"/>
    <w:rsid w:val="00561610"/>
    <w:rPr>
      <w:rFonts w:ascii="Symbol" w:hAnsi="Symbol" w:cs="Symbol"/>
    </w:rPr>
  </w:style>
  <w:style w:type="character" w:customStyle="1" w:styleId="WW8Num9z1">
    <w:name w:val="WW8Num9z1"/>
    <w:rsid w:val="00561610"/>
    <w:rPr>
      <w:rFonts w:ascii="Times New Roman" w:hAnsi="Times New Roman" w:cs="Times New Roman"/>
    </w:rPr>
  </w:style>
  <w:style w:type="character" w:customStyle="1" w:styleId="WW8Num9z2">
    <w:name w:val="WW8Num9z2"/>
    <w:rsid w:val="00561610"/>
    <w:rPr>
      <w:rFonts w:ascii="Wingdings" w:hAnsi="Wingdings" w:cs="Wingdings"/>
    </w:rPr>
  </w:style>
  <w:style w:type="character" w:customStyle="1" w:styleId="WW8Num9z4">
    <w:name w:val="WW8Num9z4"/>
    <w:rsid w:val="00561610"/>
    <w:rPr>
      <w:rFonts w:ascii="Courier New" w:hAnsi="Courier New" w:cs="Courier New"/>
    </w:rPr>
  </w:style>
  <w:style w:type="character" w:customStyle="1" w:styleId="WW-DefaultParagraphFont">
    <w:name w:val="WW-Default Paragraph Font"/>
    <w:rsid w:val="00561610"/>
  </w:style>
  <w:style w:type="character" w:styleId="PageNumber">
    <w:name w:val="page number"/>
    <w:basedOn w:val="WW-DefaultParagraphFont"/>
    <w:uiPriority w:val="99"/>
    <w:rsid w:val="00561610"/>
  </w:style>
  <w:style w:type="character" w:customStyle="1" w:styleId="NumberingSymbols">
    <w:name w:val="Numbering Symbols"/>
    <w:rsid w:val="00561610"/>
  </w:style>
  <w:style w:type="paragraph" w:customStyle="1" w:styleId="Heading">
    <w:name w:val="Heading"/>
    <w:basedOn w:val="Normal"/>
    <w:next w:val="BodyText"/>
    <w:rsid w:val="00561610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BodyText">
    <w:name w:val="Body Text"/>
    <w:aliases w:val="Char1"/>
    <w:basedOn w:val="Normal"/>
    <w:link w:val="BodyTextChar"/>
    <w:rsid w:val="00561610"/>
    <w:pPr>
      <w:jc w:val="both"/>
    </w:pPr>
    <w:rPr>
      <w:lang w:val="sr-Latn-CS"/>
    </w:rPr>
  </w:style>
  <w:style w:type="character" w:customStyle="1" w:styleId="BodyTextChar">
    <w:name w:val="Body Text Char"/>
    <w:aliases w:val="Char1 Char"/>
    <w:link w:val="BodyText"/>
    <w:rsid w:val="006964C1"/>
    <w:rPr>
      <w:sz w:val="24"/>
      <w:szCs w:val="24"/>
      <w:lang w:val="sr-Latn-CS" w:eastAsia="ar-SA" w:bidi="ar-SA"/>
    </w:rPr>
  </w:style>
  <w:style w:type="paragraph" w:styleId="List">
    <w:name w:val="List"/>
    <w:basedOn w:val="BodyText"/>
    <w:rsid w:val="00561610"/>
  </w:style>
  <w:style w:type="paragraph" w:styleId="Caption">
    <w:name w:val="caption"/>
    <w:basedOn w:val="Normal"/>
    <w:qFormat/>
    <w:rsid w:val="0056161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561610"/>
    <w:pPr>
      <w:suppressLineNumbers/>
    </w:pPr>
  </w:style>
  <w:style w:type="paragraph" w:styleId="NormalWeb">
    <w:name w:val="Normal (Web)"/>
    <w:basedOn w:val="Normal"/>
    <w:rsid w:val="00561610"/>
    <w:pPr>
      <w:spacing w:before="280" w:after="280"/>
    </w:pPr>
  </w:style>
  <w:style w:type="paragraph" w:styleId="BalloonText">
    <w:name w:val="Balloon Text"/>
    <w:basedOn w:val="Normal"/>
    <w:link w:val="BalloonTextChar"/>
    <w:semiHidden/>
    <w:rsid w:val="00561610"/>
    <w:rPr>
      <w:sz w:val="2"/>
      <w:szCs w:val="2"/>
    </w:rPr>
  </w:style>
  <w:style w:type="character" w:customStyle="1" w:styleId="BalloonTextChar">
    <w:name w:val="Balloon Text Char"/>
    <w:link w:val="BalloonText"/>
    <w:semiHidden/>
    <w:rsid w:val="009868EF"/>
    <w:rPr>
      <w:sz w:val="2"/>
      <w:szCs w:val="2"/>
      <w:lang w:val="en-US" w:eastAsia="ar-SA" w:bidi="ar-SA"/>
    </w:rPr>
  </w:style>
  <w:style w:type="paragraph" w:styleId="Title">
    <w:name w:val="Title"/>
    <w:basedOn w:val="Normal"/>
    <w:next w:val="Subtitle"/>
    <w:link w:val="TitleChar"/>
    <w:qFormat/>
    <w:rsid w:val="00561610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Heading"/>
    <w:next w:val="BodyText"/>
    <w:link w:val="SubtitleChar"/>
    <w:uiPriority w:val="11"/>
    <w:qFormat/>
    <w:rsid w:val="00561610"/>
    <w:pPr>
      <w:jc w:val="center"/>
    </w:pPr>
    <w:rPr>
      <w:rFonts w:ascii="Cambria" w:eastAsia="Times New Roman" w:hAnsi="Cambria" w:cs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9868EF"/>
    <w:rPr>
      <w:rFonts w:ascii="Cambria" w:hAnsi="Cambria" w:cs="Cambria"/>
      <w:sz w:val="24"/>
      <w:szCs w:val="24"/>
      <w:lang w:val="en-US" w:eastAsia="ar-SA" w:bidi="ar-SA"/>
    </w:rPr>
  </w:style>
  <w:style w:type="character" w:customStyle="1" w:styleId="TitleChar">
    <w:name w:val="Title Char"/>
    <w:link w:val="Title"/>
    <w:rsid w:val="009868EF"/>
    <w:rPr>
      <w:rFonts w:ascii="Cambria" w:hAnsi="Cambria" w:cs="Cambria"/>
      <w:b/>
      <w:bCs/>
      <w:kern w:val="28"/>
      <w:sz w:val="32"/>
      <w:szCs w:val="32"/>
      <w:lang w:val="en-US" w:eastAsia="ar-SA" w:bidi="ar-SA"/>
    </w:rPr>
  </w:style>
  <w:style w:type="paragraph" w:styleId="BodyText2">
    <w:name w:val="Body Text 2"/>
    <w:basedOn w:val="Normal"/>
    <w:link w:val="BodyText2Char"/>
    <w:rsid w:val="00492B60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9868EF"/>
    <w:rPr>
      <w:sz w:val="24"/>
      <w:szCs w:val="24"/>
      <w:lang w:val="en-US" w:eastAsia="ar-SA" w:bidi="ar-SA"/>
    </w:rPr>
  </w:style>
  <w:style w:type="paragraph" w:styleId="BodyTextIndent2">
    <w:name w:val="Body Text Indent 2"/>
    <w:basedOn w:val="Normal"/>
    <w:link w:val="BodyTextIndent2Char"/>
    <w:rsid w:val="00561610"/>
    <w:pPr>
      <w:ind w:left="720"/>
      <w:jc w:val="both"/>
    </w:pPr>
  </w:style>
  <w:style w:type="character" w:customStyle="1" w:styleId="BodyTextIndent2Char">
    <w:name w:val="Body Text Indent 2 Char"/>
    <w:link w:val="BodyTextIndent2"/>
    <w:semiHidden/>
    <w:rsid w:val="009868EF"/>
    <w:rPr>
      <w:sz w:val="24"/>
      <w:szCs w:val="24"/>
      <w:lang w:val="en-US" w:eastAsia="ar-SA" w:bidi="ar-SA"/>
    </w:rPr>
  </w:style>
  <w:style w:type="paragraph" w:styleId="BodyTextIndent3">
    <w:name w:val="Body Text Indent 3"/>
    <w:basedOn w:val="Normal"/>
    <w:link w:val="BodyTextIndent3Char"/>
    <w:rsid w:val="00561610"/>
    <w:pPr>
      <w:ind w:left="1080"/>
      <w:jc w:val="both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9868EF"/>
    <w:rPr>
      <w:sz w:val="16"/>
      <w:szCs w:val="16"/>
      <w:lang w:val="en-US" w:eastAsia="ar-SA" w:bidi="ar-SA"/>
    </w:rPr>
  </w:style>
  <w:style w:type="paragraph" w:styleId="Footer">
    <w:name w:val="footer"/>
    <w:basedOn w:val="Normal"/>
    <w:link w:val="FooterChar"/>
    <w:uiPriority w:val="99"/>
    <w:rsid w:val="00561610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F62553"/>
    <w:rPr>
      <w:sz w:val="24"/>
      <w:szCs w:val="24"/>
      <w:lang w:eastAsia="ar-SA" w:bidi="ar-SA"/>
    </w:rPr>
  </w:style>
  <w:style w:type="paragraph" w:customStyle="1" w:styleId="TableContents">
    <w:name w:val="Table Contents"/>
    <w:basedOn w:val="Normal"/>
    <w:rsid w:val="00561610"/>
    <w:pPr>
      <w:suppressLineNumbers/>
    </w:pPr>
  </w:style>
  <w:style w:type="paragraph" w:customStyle="1" w:styleId="TableHeading">
    <w:name w:val="Table Heading"/>
    <w:basedOn w:val="TableContents"/>
    <w:rsid w:val="00561610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rsid w:val="00561610"/>
  </w:style>
  <w:style w:type="paragraph" w:styleId="Header">
    <w:name w:val="header"/>
    <w:basedOn w:val="Normal"/>
    <w:link w:val="HeaderChar"/>
    <w:uiPriority w:val="99"/>
    <w:rsid w:val="00CE144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62553"/>
    <w:rPr>
      <w:sz w:val="24"/>
      <w:szCs w:val="24"/>
      <w:lang w:eastAsia="ar-SA" w:bidi="ar-SA"/>
    </w:rPr>
  </w:style>
  <w:style w:type="character" w:customStyle="1" w:styleId="Style105pt">
    <w:name w:val="Style 105 pt"/>
    <w:rsid w:val="00187736"/>
    <w:rPr>
      <w:rFonts w:ascii="Times New Roman Bold" w:hAnsi="Times New Roman Bold" w:cs="Times New Roman Bold"/>
      <w:b/>
      <w:bCs/>
      <w:color w:val="auto"/>
      <w:sz w:val="24"/>
      <w:szCs w:val="24"/>
    </w:rPr>
  </w:style>
  <w:style w:type="table" w:styleId="TableWeb3">
    <w:name w:val="Table Web 3"/>
    <w:basedOn w:val="TableNormal"/>
    <w:rsid w:val="006C766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Text">
    <w:name w:val="annotation text"/>
    <w:basedOn w:val="Normal"/>
    <w:link w:val="CommentTextChar"/>
    <w:semiHidden/>
    <w:rsid w:val="00D106A6"/>
    <w:pPr>
      <w:tabs>
        <w:tab w:val="left" w:pos="-720"/>
      </w:tabs>
    </w:pPr>
    <w:rPr>
      <w:rFonts w:ascii="Helvetica 11pt" w:hAnsi="Helvetica 11pt"/>
      <w:snapToGrid w:val="0"/>
    </w:rPr>
  </w:style>
  <w:style w:type="character" w:customStyle="1" w:styleId="CommentTextChar">
    <w:name w:val="Comment Text Char"/>
    <w:link w:val="CommentText"/>
    <w:semiHidden/>
    <w:rsid w:val="00385EE5"/>
    <w:rPr>
      <w:rFonts w:ascii="Helvetica 11pt" w:hAnsi="Helvetica 11pt" w:cs="Helvetica 11pt"/>
      <w:snapToGrid w:val="0"/>
      <w:sz w:val="24"/>
      <w:szCs w:val="24"/>
    </w:rPr>
  </w:style>
  <w:style w:type="paragraph" w:customStyle="1" w:styleId="Style1">
    <w:name w:val="Style1"/>
    <w:basedOn w:val="Heading"/>
    <w:rsid w:val="00524C11"/>
    <w:rPr>
      <w:rFonts w:ascii="Tahoma" w:hAnsi="Tahoma" w:cs="Tahoma"/>
      <w:b/>
      <w:bCs/>
      <w:sz w:val="24"/>
      <w:szCs w:val="24"/>
    </w:rPr>
  </w:style>
  <w:style w:type="paragraph" w:customStyle="1" w:styleId="Style2">
    <w:name w:val="Style2"/>
    <w:basedOn w:val="Heading1"/>
    <w:rsid w:val="00524C11"/>
    <w:pPr>
      <w:numPr>
        <w:numId w:val="1"/>
      </w:numPr>
      <w:jc w:val="left"/>
    </w:pPr>
    <w:rPr>
      <w:rFonts w:ascii="Tahoma" w:hAnsi="Tahoma" w:cs="Tahoma"/>
      <w:b w:val="0"/>
      <w:bCs w:val="0"/>
      <w:sz w:val="24"/>
      <w:szCs w:val="24"/>
    </w:rPr>
  </w:style>
  <w:style w:type="character" w:styleId="LineNumber">
    <w:name w:val="line number"/>
    <w:basedOn w:val="DefaultParagraphFont"/>
    <w:uiPriority w:val="99"/>
    <w:rsid w:val="003C124B"/>
  </w:style>
  <w:style w:type="character" w:customStyle="1" w:styleId="Bullets">
    <w:name w:val="Bullets"/>
    <w:rsid w:val="00360B8B"/>
    <w:rPr>
      <w:rFonts w:ascii="StarSymbol" w:eastAsia="StarSymbol" w:cs="StarSymbol"/>
      <w:sz w:val="18"/>
      <w:szCs w:val="18"/>
    </w:rPr>
  </w:style>
  <w:style w:type="table" w:styleId="TableGrid">
    <w:name w:val="Table Grid"/>
    <w:basedOn w:val="TableNormal"/>
    <w:uiPriority w:val="59"/>
    <w:rsid w:val="00360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360B8B"/>
    <w:pPr>
      <w:widowControl w:val="0"/>
    </w:pPr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9868EF"/>
    <w:rPr>
      <w:sz w:val="20"/>
      <w:szCs w:val="20"/>
      <w:lang w:val="en-US" w:eastAsia="ar-SA" w:bidi="ar-SA"/>
    </w:rPr>
  </w:style>
  <w:style w:type="character" w:styleId="FootnoteReference">
    <w:name w:val="footnote reference"/>
    <w:semiHidden/>
    <w:rsid w:val="00360B8B"/>
    <w:rPr>
      <w:vertAlign w:val="superscript"/>
    </w:rPr>
  </w:style>
  <w:style w:type="table" w:styleId="TableList1">
    <w:name w:val="Table List 1"/>
    <w:basedOn w:val="TableNormal"/>
    <w:rsid w:val="00A63478"/>
    <w:pPr>
      <w:widowControl w:val="0"/>
      <w:suppressAutoHyphens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  <w:insideH w:val="single" w:sz="6" w:space="0" w:color="008080"/>
        <w:insideV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60B8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8">
    <w:name w:val="Table Grid 8"/>
    <w:basedOn w:val="TableNormal"/>
    <w:rsid w:val="00360B8B"/>
    <w:pPr>
      <w:widowControl w:val="0"/>
      <w:suppressAutoHyphens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rsid w:val="00360B8B"/>
    <w:pPr>
      <w:widowControl w:val="0"/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List6">
    <w:name w:val="Table List 6"/>
    <w:basedOn w:val="TableNormal"/>
    <w:rsid w:val="008150B7"/>
    <w:pPr>
      <w:suppressAutoHyphens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Char2">
    <w:name w:val="Char2"/>
    <w:rsid w:val="00CE4A4B"/>
    <w:rPr>
      <w:b/>
      <w:bCs/>
      <w:sz w:val="24"/>
      <w:szCs w:val="24"/>
      <w:lang w:val="en-US" w:eastAsia="ar-SA" w:bidi="ar-SA"/>
    </w:rPr>
  </w:style>
  <w:style w:type="table" w:styleId="TableGrid1">
    <w:name w:val="Table Grid 1"/>
    <w:basedOn w:val="TableNormal"/>
    <w:rsid w:val="00161A8B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uiPriority w:val="99"/>
    <w:rsid w:val="00B33C19"/>
    <w:rPr>
      <w:color w:val="333366"/>
      <w:u w:val="none"/>
      <w:effect w:val="none"/>
    </w:rPr>
  </w:style>
  <w:style w:type="paragraph" w:styleId="NoSpacing">
    <w:name w:val="No Spacing"/>
    <w:link w:val="NoSpacingChar"/>
    <w:uiPriority w:val="1"/>
    <w:qFormat/>
    <w:rsid w:val="00432B26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D3640E"/>
    <w:rPr>
      <w:rFonts w:ascii="Calibri" w:hAnsi="Calibri"/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rsid w:val="004728E6"/>
    <w:rPr>
      <w:color w:val="800080"/>
      <w:u w:val="single"/>
    </w:rPr>
  </w:style>
  <w:style w:type="paragraph" w:styleId="ListParagraph">
    <w:name w:val="List Paragraph"/>
    <w:basedOn w:val="Normal"/>
    <w:link w:val="ListParagraphChar"/>
    <w:qFormat/>
    <w:rsid w:val="00514643"/>
    <w:pPr>
      <w:ind w:left="720"/>
    </w:pPr>
  </w:style>
  <w:style w:type="character" w:customStyle="1" w:styleId="ListParagraphChar">
    <w:name w:val="List Paragraph Char"/>
    <w:link w:val="ListParagraph"/>
    <w:locked/>
    <w:rsid w:val="004767CA"/>
    <w:rPr>
      <w:sz w:val="24"/>
      <w:szCs w:val="24"/>
      <w:lang w:val="en-US" w:eastAsia="ar-SA"/>
    </w:rPr>
  </w:style>
  <w:style w:type="table" w:customStyle="1" w:styleId="LightShading-Accent11">
    <w:name w:val="Light Shading - Accent 11"/>
    <w:uiPriority w:val="60"/>
    <w:rsid w:val="00460CA9"/>
    <w:rPr>
      <w:color w:val="365F91"/>
      <w:lang w:val="sr-Latn-CS" w:eastAsia="sr-Latn-C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udarek">
    <w:name w:val="Poudarek"/>
    <w:basedOn w:val="Normal"/>
    <w:uiPriority w:val="99"/>
    <w:rsid w:val="00D64AF0"/>
    <w:pPr>
      <w:suppressAutoHyphens w:val="0"/>
      <w:jc w:val="right"/>
    </w:pPr>
    <w:rPr>
      <w:rFonts w:ascii="Arial" w:hAnsi="Arial" w:cs="Arial"/>
      <w:b/>
      <w:bCs/>
      <w:color w:val="000080"/>
      <w:sz w:val="16"/>
      <w:szCs w:val="16"/>
      <w:lang w:val="sl-SI" w:eastAsia="en-US"/>
    </w:rPr>
  </w:style>
  <w:style w:type="character" w:styleId="CommentReference">
    <w:name w:val="annotation reference"/>
    <w:uiPriority w:val="99"/>
    <w:semiHidden/>
    <w:rsid w:val="00385EE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85EE5"/>
    <w:pPr>
      <w:tabs>
        <w:tab w:val="clear" w:pos="-720"/>
      </w:tabs>
    </w:pPr>
  </w:style>
  <w:style w:type="character" w:customStyle="1" w:styleId="CommentSubjectChar">
    <w:name w:val="Comment Subject Char"/>
    <w:link w:val="CommentSubject"/>
    <w:uiPriority w:val="99"/>
    <w:rsid w:val="00385EE5"/>
    <w:rPr>
      <w:rFonts w:ascii="Helvetica 11pt" w:hAnsi="Helvetica 11pt" w:cs="Helvetica 11pt"/>
      <w:snapToGrid w:val="0"/>
      <w:sz w:val="24"/>
      <w:szCs w:val="24"/>
    </w:rPr>
  </w:style>
  <w:style w:type="character" w:styleId="BookTitle">
    <w:name w:val="Book Title"/>
    <w:uiPriority w:val="99"/>
    <w:qFormat/>
    <w:rsid w:val="008409B2"/>
    <w:rPr>
      <w:b/>
      <w:bCs/>
      <w:smallCaps/>
      <w:spacing w:val="5"/>
    </w:rPr>
  </w:style>
  <w:style w:type="table" w:customStyle="1" w:styleId="LightShading-Accent12">
    <w:name w:val="Light Shading - Accent 12"/>
    <w:uiPriority w:val="99"/>
    <w:rsid w:val="00C56BEB"/>
    <w:rPr>
      <w:color w:val="365F91"/>
      <w:lang w:val="sr-Latn-CS" w:eastAsia="sr-Latn-C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5">
    <w:name w:val="Medium Shading 2 Accent 5"/>
    <w:basedOn w:val="TableNormal"/>
    <w:uiPriority w:val="99"/>
    <w:rsid w:val="00C56BE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99"/>
    <w:rsid w:val="00C56BE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Shading-Accent13">
    <w:name w:val="Light Shading - Accent 13"/>
    <w:uiPriority w:val="99"/>
    <w:rsid w:val="00376DB8"/>
    <w:rPr>
      <w:color w:val="365F91"/>
      <w:lang w:val="sr-Latn-CS" w:eastAsia="sr-Latn-C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99"/>
    <w:rsid w:val="00DB0BA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SubtleEmphasis">
    <w:name w:val="Subtle Emphasis"/>
    <w:uiPriority w:val="19"/>
    <w:qFormat/>
    <w:rsid w:val="00442B36"/>
    <w:rPr>
      <w:i/>
      <w:iCs/>
      <w:color w:val="808080"/>
    </w:rPr>
  </w:style>
  <w:style w:type="character" w:styleId="Emphasis">
    <w:name w:val="Emphasis"/>
    <w:uiPriority w:val="20"/>
    <w:qFormat/>
    <w:rsid w:val="00442B36"/>
    <w:rPr>
      <w:i/>
      <w:iCs/>
    </w:rPr>
  </w:style>
  <w:style w:type="paragraph" w:customStyle="1" w:styleId="Default">
    <w:name w:val="Default"/>
    <w:rsid w:val="00F029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r-Latn-CS"/>
    </w:rPr>
  </w:style>
  <w:style w:type="table" w:customStyle="1" w:styleId="LightShading-Accent14">
    <w:name w:val="Light Shading - Accent 14"/>
    <w:basedOn w:val="TableNormal"/>
    <w:uiPriority w:val="60"/>
    <w:rsid w:val="00F0294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Grid-Accent11">
    <w:name w:val="Light Grid - Accent 11"/>
    <w:basedOn w:val="TableNormal"/>
    <w:uiPriority w:val="62"/>
    <w:rsid w:val="00F0294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F0294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F0294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F02941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-Accent1">
    <w:name w:val="Medium List 2 Accent 1"/>
    <w:basedOn w:val="TableNormal"/>
    <w:uiPriority w:val="66"/>
    <w:rsid w:val="00F0294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BodyTextIndentChar">
    <w:name w:val="Body Text Indent Char"/>
    <w:link w:val="BodyTextIndent"/>
    <w:semiHidden/>
    <w:rsid w:val="00F23836"/>
    <w:rPr>
      <w:sz w:val="24"/>
      <w:szCs w:val="24"/>
      <w:lang w:eastAsia="ar-SA"/>
    </w:rPr>
  </w:style>
  <w:style w:type="paragraph" w:styleId="BodyTextIndent">
    <w:name w:val="Body Text Indent"/>
    <w:basedOn w:val="Normal"/>
    <w:link w:val="BodyTextIndentChar"/>
    <w:semiHidden/>
    <w:unhideWhenUsed/>
    <w:rsid w:val="00F23836"/>
    <w:pPr>
      <w:ind w:firstLine="360"/>
      <w:jc w:val="both"/>
    </w:pPr>
  </w:style>
  <w:style w:type="paragraph" w:styleId="TOCHeading">
    <w:name w:val="TOC Heading"/>
    <w:basedOn w:val="Heading1"/>
    <w:next w:val="Normal"/>
    <w:uiPriority w:val="39"/>
    <w:unhideWhenUsed/>
    <w:qFormat/>
    <w:rsid w:val="00F04446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F04446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1A33"/>
    <w:pPr>
      <w:tabs>
        <w:tab w:val="left" w:pos="709"/>
        <w:tab w:val="right" w:leader="dot" w:pos="9396"/>
      </w:tabs>
      <w:suppressAutoHyphens w:val="0"/>
      <w:spacing w:after="20" w:line="276" w:lineRule="auto"/>
      <w:ind w:left="709" w:hanging="709"/>
    </w:pPr>
    <w:rPr>
      <w:rFonts w:ascii="Verdana" w:hAnsi="Verdana" w:cs="Tahoma"/>
      <w:b/>
      <w:noProof/>
      <w:color w:val="4F81BD" w:themeColor="accent1"/>
      <w:szCs w:val="28"/>
      <w:lang w:val="sr-Cyrl-R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A1656"/>
    <w:pPr>
      <w:tabs>
        <w:tab w:val="left" w:pos="1320"/>
        <w:tab w:val="right" w:leader="dot" w:pos="9396"/>
      </w:tabs>
      <w:suppressAutoHyphens w:val="0"/>
      <w:spacing w:after="20" w:line="276" w:lineRule="auto"/>
      <w:ind w:left="1276" w:hanging="836"/>
    </w:pPr>
    <w:rPr>
      <w:rFonts w:ascii="Verdana" w:hAnsi="Verdana" w:cs="Tahoma"/>
      <w:i/>
      <w:iCs/>
      <w:noProof/>
      <w:color w:val="4F81BD" w:themeColor="accent1"/>
      <w:sz w:val="20"/>
      <w:lang w:val="sr-Cyrl-CS" w:eastAsia="ja-JP"/>
    </w:rPr>
  </w:style>
  <w:style w:type="character" w:styleId="IntenseEmphasis">
    <w:name w:val="Intense Emphasis"/>
    <w:basedOn w:val="DefaultParagraphFont"/>
    <w:uiPriority w:val="21"/>
    <w:qFormat/>
    <w:rsid w:val="00FA3FE2"/>
    <w:rPr>
      <w:b/>
      <w:bCs/>
      <w:i/>
      <w:iCs/>
      <w:color w:val="4F81BD"/>
    </w:rPr>
  </w:style>
  <w:style w:type="table" w:customStyle="1" w:styleId="MediumList1-Accent111">
    <w:name w:val="Medium List 1 - Accent 111"/>
    <w:basedOn w:val="TableNormal"/>
    <w:uiPriority w:val="65"/>
    <w:rsid w:val="00FA3FE2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character" w:customStyle="1" w:styleId="shorttext">
    <w:name w:val="short_text"/>
    <w:basedOn w:val="DefaultParagraphFont"/>
    <w:rsid w:val="00F50FAF"/>
  </w:style>
  <w:style w:type="character" w:customStyle="1" w:styleId="hps">
    <w:name w:val="hps"/>
    <w:basedOn w:val="DefaultParagraphFont"/>
    <w:rsid w:val="00F50FAF"/>
  </w:style>
  <w:style w:type="paragraph" w:customStyle="1" w:styleId="StyleHeading3Tahoma11ptChar">
    <w:name w:val="Style Heading 3 + Tahoma 11 pt Char"/>
    <w:basedOn w:val="Heading3"/>
    <w:link w:val="StyleHeading3Tahoma11ptCharChar"/>
    <w:autoRedefine/>
    <w:rsid w:val="00401D9D"/>
    <w:pPr>
      <w:tabs>
        <w:tab w:val="clear" w:pos="6870"/>
        <w:tab w:val="left" w:pos="993"/>
        <w:tab w:val="num" w:pos="1146"/>
        <w:tab w:val="num" w:pos="1530"/>
      </w:tabs>
      <w:spacing w:before="100" w:beforeAutospacing="1" w:after="100" w:afterAutospacing="1"/>
      <w:ind w:left="1468"/>
      <w:jc w:val="both"/>
    </w:pPr>
    <w:rPr>
      <w:rFonts w:ascii="Tahoma" w:hAnsi="Tahoma"/>
      <w:sz w:val="22"/>
    </w:rPr>
  </w:style>
  <w:style w:type="character" w:customStyle="1" w:styleId="StyleHeading3Tahoma11ptCharChar">
    <w:name w:val="Style Heading 3 + Tahoma 11 pt Char Char"/>
    <w:link w:val="StyleHeading3Tahoma11ptChar"/>
    <w:rsid w:val="00401D9D"/>
    <w:rPr>
      <w:rFonts w:ascii="Tahoma" w:hAnsi="Tahoma"/>
      <w:b/>
      <w:bCs/>
      <w:sz w:val="22"/>
      <w:szCs w:val="24"/>
      <w:lang w:val="sr-Latn-CS" w:eastAsia="ar-SA"/>
    </w:rPr>
  </w:style>
  <w:style w:type="table" w:customStyle="1" w:styleId="MediumShading2-Accent12">
    <w:name w:val="Medium Shading 2 - Accent 12"/>
    <w:basedOn w:val="TableNormal"/>
    <w:uiPriority w:val="64"/>
    <w:rsid w:val="006920E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-Accent12">
    <w:name w:val="Medium List 1 - Accent 12"/>
    <w:basedOn w:val="TableNormal"/>
    <w:uiPriority w:val="65"/>
    <w:rsid w:val="00546F56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9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iPriority="0"/>
    <w:lsdException w:name="annotation text" w:uiPriority="0"/>
    <w:lsdException w:name="index heading" w:unhideWhenUsed="1"/>
    <w:lsdException w:name="caption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iPriority="0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0" w:qFormat="1"/>
    <w:lsdException w:name="Closing" w:unhideWhenUsed="1"/>
    <w:lsdException w:name="Signature" w:unhideWhenUsed="1"/>
    <w:lsdException w:name="Body Text" w:uiPriority="0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iPriority="0"/>
    <w:lsdException w:name="Body Text 3" w:unhideWhenUsed="1"/>
    <w:lsdException w:name="Body Text Indent 2" w:uiPriority="0"/>
    <w:lsdException w:name="Body Text Indent 3" w:uiPriority="0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iPriority="0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iPriority="0"/>
    <w:lsdException w:name="Table List 1" w:uiPriority="0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iPriority="0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iPriority="0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iPriority="0"/>
    <w:lsdException w:name="Balloon Text" w:uiPriority="0"/>
    <w:lsdException w:name="Table Grid" w:semiHidden="0" w:uiPriority="59"/>
    <w:lsdException w:name="Table Theme" w:uiPriority="0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410E3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561610"/>
    <w:pPr>
      <w:keepNext/>
      <w:numPr>
        <w:numId w:val="2"/>
      </w:numPr>
      <w:jc w:val="center"/>
      <w:outlineLvl w:val="0"/>
    </w:pPr>
    <w:rPr>
      <w:rFonts w:ascii="Arial" w:hAnsi="Arial"/>
      <w:b/>
      <w:bCs/>
      <w:sz w:val="16"/>
      <w:szCs w:val="16"/>
    </w:rPr>
  </w:style>
  <w:style w:type="paragraph" w:styleId="Heading2">
    <w:name w:val="heading 2"/>
    <w:aliases w:val="Char, Char"/>
    <w:basedOn w:val="Normal"/>
    <w:next w:val="Normal"/>
    <w:link w:val="Heading2Char"/>
    <w:uiPriority w:val="9"/>
    <w:qFormat/>
    <w:rsid w:val="00561610"/>
    <w:pPr>
      <w:keepNext/>
      <w:numPr>
        <w:ilvl w:val="1"/>
        <w:numId w:val="2"/>
      </w:numPr>
      <w:outlineLvl w:val="1"/>
    </w:pPr>
    <w:rPr>
      <w:b/>
      <w:bCs/>
      <w:lang w:val="sr-Latn-CS"/>
    </w:rPr>
  </w:style>
  <w:style w:type="paragraph" w:styleId="Heading3">
    <w:name w:val="heading 3"/>
    <w:basedOn w:val="Normal"/>
    <w:next w:val="Normal"/>
    <w:link w:val="Heading3Char"/>
    <w:qFormat/>
    <w:rsid w:val="008409B2"/>
    <w:pPr>
      <w:keepNext/>
      <w:numPr>
        <w:ilvl w:val="2"/>
        <w:numId w:val="2"/>
      </w:numPr>
      <w:outlineLvl w:val="2"/>
    </w:pPr>
    <w:rPr>
      <w:b/>
      <w:bCs/>
      <w:lang w:val="sr-Latn-CS"/>
    </w:rPr>
  </w:style>
  <w:style w:type="paragraph" w:styleId="Heading4">
    <w:name w:val="heading 4"/>
    <w:basedOn w:val="Normal"/>
    <w:next w:val="Normal"/>
    <w:link w:val="Heading4Char"/>
    <w:qFormat/>
    <w:rsid w:val="00561610"/>
    <w:pPr>
      <w:keepNext/>
      <w:numPr>
        <w:ilvl w:val="3"/>
        <w:numId w:val="2"/>
      </w:numPr>
      <w:jc w:val="both"/>
      <w:outlineLvl w:val="3"/>
    </w:pPr>
    <w:rPr>
      <w:b/>
      <w:bCs/>
      <w:lang w:val="sr-Latn-CS"/>
    </w:rPr>
  </w:style>
  <w:style w:type="paragraph" w:styleId="Heading5">
    <w:name w:val="heading 5"/>
    <w:basedOn w:val="Normal"/>
    <w:next w:val="Normal"/>
    <w:link w:val="Heading5Char"/>
    <w:qFormat/>
    <w:rsid w:val="00A14A5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A14A5A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14A5A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14A5A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A14A5A"/>
    <w:pPr>
      <w:numPr>
        <w:ilvl w:val="8"/>
        <w:numId w:val="2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F2364"/>
    <w:rPr>
      <w:rFonts w:ascii="Arial" w:hAnsi="Arial"/>
      <w:b/>
      <w:bCs/>
      <w:sz w:val="16"/>
      <w:szCs w:val="16"/>
      <w:lang w:eastAsia="ar-SA"/>
    </w:rPr>
  </w:style>
  <w:style w:type="character" w:customStyle="1" w:styleId="Heading2Char">
    <w:name w:val="Heading 2 Char"/>
    <w:aliases w:val="Char Char, Char Char"/>
    <w:link w:val="Heading2"/>
    <w:uiPriority w:val="9"/>
    <w:rsid w:val="0040367D"/>
    <w:rPr>
      <w:b/>
      <w:bCs/>
      <w:sz w:val="24"/>
      <w:szCs w:val="24"/>
      <w:lang w:val="sr-Latn-CS" w:eastAsia="ar-SA"/>
    </w:rPr>
  </w:style>
  <w:style w:type="character" w:customStyle="1" w:styleId="Heading3Char">
    <w:name w:val="Heading 3 Char"/>
    <w:link w:val="Heading3"/>
    <w:rsid w:val="008409B2"/>
    <w:rPr>
      <w:b/>
      <w:bCs/>
      <w:sz w:val="24"/>
      <w:szCs w:val="24"/>
      <w:lang w:val="sr-Latn-CS" w:eastAsia="ar-SA"/>
    </w:rPr>
  </w:style>
  <w:style w:type="character" w:customStyle="1" w:styleId="Heading4Char">
    <w:name w:val="Heading 4 Char"/>
    <w:link w:val="Heading4"/>
    <w:rsid w:val="009868EF"/>
    <w:rPr>
      <w:b/>
      <w:bCs/>
      <w:sz w:val="24"/>
      <w:szCs w:val="24"/>
      <w:lang w:val="sr-Latn-CS" w:eastAsia="ar-SA"/>
    </w:rPr>
  </w:style>
  <w:style w:type="character" w:customStyle="1" w:styleId="Heading5Char">
    <w:name w:val="Heading 5 Char"/>
    <w:link w:val="Heading5"/>
    <w:rsid w:val="009868EF"/>
    <w:rPr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link w:val="Heading6"/>
    <w:rsid w:val="009868EF"/>
    <w:rPr>
      <w:b/>
      <w:bCs/>
      <w:sz w:val="22"/>
      <w:szCs w:val="22"/>
      <w:lang w:eastAsia="ar-SA"/>
    </w:rPr>
  </w:style>
  <w:style w:type="character" w:customStyle="1" w:styleId="Heading7Char">
    <w:name w:val="Heading 7 Char"/>
    <w:link w:val="Heading7"/>
    <w:rsid w:val="009868EF"/>
    <w:rPr>
      <w:sz w:val="24"/>
      <w:szCs w:val="24"/>
      <w:lang w:eastAsia="ar-SA"/>
    </w:rPr>
  </w:style>
  <w:style w:type="character" w:customStyle="1" w:styleId="Heading8Char">
    <w:name w:val="Heading 8 Char"/>
    <w:link w:val="Heading8"/>
    <w:rsid w:val="009868EF"/>
    <w:rPr>
      <w:i/>
      <w:iCs/>
      <w:sz w:val="24"/>
      <w:szCs w:val="24"/>
      <w:lang w:eastAsia="ar-SA"/>
    </w:rPr>
  </w:style>
  <w:style w:type="character" w:customStyle="1" w:styleId="Heading9Char">
    <w:name w:val="Heading 9 Char"/>
    <w:link w:val="Heading9"/>
    <w:rsid w:val="009868EF"/>
    <w:rPr>
      <w:rFonts w:ascii="Arial" w:hAnsi="Arial"/>
      <w:sz w:val="22"/>
      <w:szCs w:val="22"/>
      <w:lang w:eastAsia="ar-SA"/>
    </w:rPr>
  </w:style>
  <w:style w:type="character" w:customStyle="1" w:styleId="WW8Num2z0">
    <w:name w:val="WW8Num2z0"/>
    <w:rsid w:val="00561610"/>
    <w:rPr>
      <w:rFonts w:ascii="Symbol" w:hAnsi="Symbol" w:cs="Symbol"/>
      <w:color w:val="auto"/>
      <w:sz w:val="24"/>
      <w:szCs w:val="24"/>
    </w:rPr>
  </w:style>
  <w:style w:type="character" w:customStyle="1" w:styleId="WW8Num4z0">
    <w:name w:val="WW8Num4z0"/>
    <w:rsid w:val="00561610"/>
    <w:rPr>
      <w:rFonts w:ascii="Wingdings" w:hAnsi="Wingdings" w:cs="Wingdings"/>
    </w:rPr>
  </w:style>
  <w:style w:type="character" w:customStyle="1" w:styleId="WW8Num5z0">
    <w:name w:val="WW8Num5z0"/>
    <w:rsid w:val="00561610"/>
    <w:rPr>
      <w:rFonts w:ascii="Symbol" w:hAnsi="Symbol" w:cs="Symbol"/>
    </w:rPr>
  </w:style>
  <w:style w:type="character" w:customStyle="1" w:styleId="WW8Num5z1">
    <w:name w:val="WW8Num5z1"/>
    <w:rsid w:val="00561610"/>
    <w:rPr>
      <w:rFonts w:ascii="Times New Roman" w:hAnsi="Times New Roman" w:cs="Times New Roman"/>
    </w:rPr>
  </w:style>
  <w:style w:type="character" w:customStyle="1" w:styleId="WW8Num5z2">
    <w:name w:val="WW8Num5z2"/>
    <w:rsid w:val="00561610"/>
    <w:rPr>
      <w:rFonts w:ascii="Wingdings" w:hAnsi="Wingdings" w:cs="Wingdings"/>
    </w:rPr>
  </w:style>
  <w:style w:type="character" w:customStyle="1" w:styleId="WW8Num5z4">
    <w:name w:val="WW8Num5z4"/>
    <w:rsid w:val="0056161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561610"/>
  </w:style>
  <w:style w:type="character" w:customStyle="1" w:styleId="WW8Num1z0">
    <w:name w:val="WW8Num1z0"/>
    <w:rsid w:val="00561610"/>
    <w:rPr>
      <w:rFonts w:ascii="Symbol" w:hAnsi="Symbol" w:cs="Symbol"/>
    </w:rPr>
  </w:style>
  <w:style w:type="character" w:customStyle="1" w:styleId="WW8Num1z1">
    <w:name w:val="WW8Num1z1"/>
    <w:rsid w:val="00561610"/>
    <w:rPr>
      <w:rFonts w:ascii="Courier New" w:hAnsi="Courier New" w:cs="Courier New"/>
    </w:rPr>
  </w:style>
  <w:style w:type="character" w:customStyle="1" w:styleId="WW8Num1z2">
    <w:name w:val="WW8Num1z2"/>
    <w:rsid w:val="00561610"/>
    <w:rPr>
      <w:rFonts w:ascii="Wingdings" w:hAnsi="Wingdings" w:cs="Wingdings"/>
    </w:rPr>
  </w:style>
  <w:style w:type="character" w:customStyle="1" w:styleId="WW8Num2z1">
    <w:name w:val="WW8Num2z1"/>
    <w:rsid w:val="00561610"/>
    <w:rPr>
      <w:rFonts w:ascii="Courier New" w:hAnsi="Courier New" w:cs="Courier New"/>
    </w:rPr>
  </w:style>
  <w:style w:type="character" w:customStyle="1" w:styleId="WW8Num2z2">
    <w:name w:val="WW8Num2z2"/>
    <w:rsid w:val="00561610"/>
    <w:rPr>
      <w:rFonts w:ascii="Wingdings" w:hAnsi="Wingdings" w:cs="Wingdings"/>
    </w:rPr>
  </w:style>
  <w:style w:type="character" w:customStyle="1" w:styleId="WW8Num2z3">
    <w:name w:val="WW8Num2z3"/>
    <w:rsid w:val="00561610"/>
    <w:rPr>
      <w:rFonts w:ascii="Symbol" w:hAnsi="Symbol" w:cs="Symbol"/>
    </w:rPr>
  </w:style>
  <w:style w:type="character" w:customStyle="1" w:styleId="WW8Num3z0">
    <w:name w:val="WW8Num3z0"/>
    <w:rsid w:val="00561610"/>
    <w:rPr>
      <w:u w:val="none"/>
    </w:rPr>
  </w:style>
  <w:style w:type="character" w:customStyle="1" w:styleId="WW8Num4z1">
    <w:name w:val="WW8Num4z1"/>
    <w:rsid w:val="00561610"/>
    <w:rPr>
      <w:rFonts w:ascii="Courier New" w:hAnsi="Courier New" w:cs="Courier New"/>
    </w:rPr>
  </w:style>
  <w:style w:type="character" w:customStyle="1" w:styleId="WW8Num4z3">
    <w:name w:val="WW8Num4z3"/>
    <w:rsid w:val="00561610"/>
    <w:rPr>
      <w:rFonts w:ascii="Symbol" w:hAnsi="Symbol" w:cs="Symbol"/>
    </w:rPr>
  </w:style>
  <w:style w:type="character" w:customStyle="1" w:styleId="WW8Num7z0">
    <w:name w:val="WW8Num7z0"/>
    <w:rsid w:val="00561610"/>
    <w:rPr>
      <w:rFonts w:ascii="Symbol" w:hAnsi="Symbol" w:cs="Symbol"/>
    </w:rPr>
  </w:style>
  <w:style w:type="character" w:customStyle="1" w:styleId="WW8Num8z0">
    <w:name w:val="WW8Num8z0"/>
    <w:rsid w:val="00561610"/>
    <w:rPr>
      <w:rFonts w:ascii="Times New Roman" w:hAnsi="Times New Roman" w:cs="Times New Roman"/>
    </w:rPr>
  </w:style>
  <w:style w:type="character" w:customStyle="1" w:styleId="WW8Num8z1">
    <w:name w:val="WW8Num8z1"/>
    <w:rsid w:val="00561610"/>
    <w:rPr>
      <w:rFonts w:ascii="Courier New" w:hAnsi="Courier New" w:cs="Courier New"/>
    </w:rPr>
  </w:style>
  <w:style w:type="character" w:customStyle="1" w:styleId="WW8Num8z2">
    <w:name w:val="WW8Num8z2"/>
    <w:rsid w:val="00561610"/>
    <w:rPr>
      <w:rFonts w:ascii="Wingdings" w:hAnsi="Wingdings" w:cs="Wingdings"/>
    </w:rPr>
  </w:style>
  <w:style w:type="character" w:customStyle="1" w:styleId="WW8Num8z3">
    <w:name w:val="WW8Num8z3"/>
    <w:rsid w:val="00561610"/>
    <w:rPr>
      <w:rFonts w:ascii="Symbol" w:hAnsi="Symbol" w:cs="Symbol"/>
    </w:rPr>
  </w:style>
  <w:style w:type="character" w:customStyle="1" w:styleId="WW8Num9z0">
    <w:name w:val="WW8Num9z0"/>
    <w:rsid w:val="00561610"/>
    <w:rPr>
      <w:rFonts w:ascii="Symbol" w:hAnsi="Symbol" w:cs="Symbol"/>
    </w:rPr>
  </w:style>
  <w:style w:type="character" w:customStyle="1" w:styleId="WW8Num9z1">
    <w:name w:val="WW8Num9z1"/>
    <w:rsid w:val="00561610"/>
    <w:rPr>
      <w:rFonts w:ascii="Times New Roman" w:hAnsi="Times New Roman" w:cs="Times New Roman"/>
    </w:rPr>
  </w:style>
  <w:style w:type="character" w:customStyle="1" w:styleId="WW8Num9z2">
    <w:name w:val="WW8Num9z2"/>
    <w:rsid w:val="00561610"/>
    <w:rPr>
      <w:rFonts w:ascii="Wingdings" w:hAnsi="Wingdings" w:cs="Wingdings"/>
    </w:rPr>
  </w:style>
  <w:style w:type="character" w:customStyle="1" w:styleId="WW8Num9z4">
    <w:name w:val="WW8Num9z4"/>
    <w:rsid w:val="00561610"/>
    <w:rPr>
      <w:rFonts w:ascii="Courier New" w:hAnsi="Courier New" w:cs="Courier New"/>
    </w:rPr>
  </w:style>
  <w:style w:type="character" w:customStyle="1" w:styleId="WW-DefaultParagraphFont">
    <w:name w:val="WW-Default Paragraph Font"/>
    <w:rsid w:val="00561610"/>
  </w:style>
  <w:style w:type="character" w:styleId="PageNumber">
    <w:name w:val="page number"/>
    <w:basedOn w:val="WW-DefaultParagraphFont"/>
    <w:uiPriority w:val="99"/>
    <w:rsid w:val="00561610"/>
  </w:style>
  <w:style w:type="character" w:customStyle="1" w:styleId="NumberingSymbols">
    <w:name w:val="Numbering Symbols"/>
    <w:rsid w:val="00561610"/>
  </w:style>
  <w:style w:type="paragraph" w:customStyle="1" w:styleId="Heading">
    <w:name w:val="Heading"/>
    <w:basedOn w:val="Normal"/>
    <w:next w:val="BodyText"/>
    <w:rsid w:val="00561610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BodyText">
    <w:name w:val="Body Text"/>
    <w:aliases w:val="Char1"/>
    <w:basedOn w:val="Normal"/>
    <w:link w:val="BodyTextChar"/>
    <w:rsid w:val="00561610"/>
    <w:pPr>
      <w:jc w:val="both"/>
    </w:pPr>
    <w:rPr>
      <w:lang w:val="sr-Latn-CS"/>
    </w:rPr>
  </w:style>
  <w:style w:type="character" w:customStyle="1" w:styleId="BodyTextChar">
    <w:name w:val="Body Text Char"/>
    <w:aliases w:val="Char1 Char"/>
    <w:link w:val="BodyText"/>
    <w:rsid w:val="006964C1"/>
    <w:rPr>
      <w:sz w:val="24"/>
      <w:szCs w:val="24"/>
      <w:lang w:val="sr-Latn-CS" w:eastAsia="ar-SA" w:bidi="ar-SA"/>
    </w:rPr>
  </w:style>
  <w:style w:type="paragraph" w:styleId="List">
    <w:name w:val="List"/>
    <w:basedOn w:val="BodyText"/>
    <w:rsid w:val="00561610"/>
  </w:style>
  <w:style w:type="paragraph" w:styleId="Caption">
    <w:name w:val="caption"/>
    <w:basedOn w:val="Normal"/>
    <w:qFormat/>
    <w:rsid w:val="0056161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561610"/>
    <w:pPr>
      <w:suppressLineNumbers/>
    </w:pPr>
  </w:style>
  <w:style w:type="paragraph" w:styleId="NormalWeb">
    <w:name w:val="Normal (Web)"/>
    <w:basedOn w:val="Normal"/>
    <w:rsid w:val="00561610"/>
    <w:pPr>
      <w:spacing w:before="280" w:after="280"/>
    </w:pPr>
  </w:style>
  <w:style w:type="paragraph" w:styleId="BalloonText">
    <w:name w:val="Balloon Text"/>
    <w:basedOn w:val="Normal"/>
    <w:link w:val="BalloonTextChar"/>
    <w:semiHidden/>
    <w:rsid w:val="00561610"/>
    <w:rPr>
      <w:sz w:val="2"/>
      <w:szCs w:val="2"/>
    </w:rPr>
  </w:style>
  <w:style w:type="character" w:customStyle="1" w:styleId="BalloonTextChar">
    <w:name w:val="Balloon Text Char"/>
    <w:link w:val="BalloonText"/>
    <w:semiHidden/>
    <w:rsid w:val="009868EF"/>
    <w:rPr>
      <w:sz w:val="2"/>
      <w:szCs w:val="2"/>
      <w:lang w:val="en-US" w:eastAsia="ar-SA" w:bidi="ar-SA"/>
    </w:rPr>
  </w:style>
  <w:style w:type="paragraph" w:styleId="Title">
    <w:name w:val="Title"/>
    <w:basedOn w:val="Normal"/>
    <w:next w:val="Subtitle"/>
    <w:link w:val="TitleChar"/>
    <w:qFormat/>
    <w:rsid w:val="00561610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Heading"/>
    <w:next w:val="BodyText"/>
    <w:link w:val="SubtitleChar"/>
    <w:uiPriority w:val="11"/>
    <w:qFormat/>
    <w:rsid w:val="00561610"/>
    <w:pPr>
      <w:jc w:val="center"/>
    </w:pPr>
    <w:rPr>
      <w:rFonts w:ascii="Cambria" w:eastAsia="Times New Roman" w:hAnsi="Cambria" w:cs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9868EF"/>
    <w:rPr>
      <w:rFonts w:ascii="Cambria" w:hAnsi="Cambria" w:cs="Cambria"/>
      <w:sz w:val="24"/>
      <w:szCs w:val="24"/>
      <w:lang w:val="en-US" w:eastAsia="ar-SA" w:bidi="ar-SA"/>
    </w:rPr>
  </w:style>
  <w:style w:type="character" w:customStyle="1" w:styleId="TitleChar">
    <w:name w:val="Title Char"/>
    <w:link w:val="Title"/>
    <w:rsid w:val="009868EF"/>
    <w:rPr>
      <w:rFonts w:ascii="Cambria" w:hAnsi="Cambria" w:cs="Cambria"/>
      <w:b/>
      <w:bCs/>
      <w:kern w:val="28"/>
      <w:sz w:val="32"/>
      <w:szCs w:val="32"/>
      <w:lang w:val="en-US" w:eastAsia="ar-SA" w:bidi="ar-SA"/>
    </w:rPr>
  </w:style>
  <w:style w:type="paragraph" w:styleId="BodyText2">
    <w:name w:val="Body Text 2"/>
    <w:basedOn w:val="Normal"/>
    <w:link w:val="BodyText2Char"/>
    <w:rsid w:val="00492B60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9868EF"/>
    <w:rPr>
      <w:sz w:val="24"/>
      <w:szCs w:val="24"/>
      <w:lang w:val="en-US" w:eastAsia="ar-SA" w:bidi="ar-SA"/>
    </w:rPr>
  </w:style>
  <w:style w:type="paragraph" w:styleId="BodyTextIndent2">
    <w:name w:val="Body Text Indent 2"/>
    <w:basedOn w:val="Normal"/>
    <w:link w:val="BodyTextIndent2Char"/>
    <w:rsid w:val="00561610"/>
    <w:pPr>
      <w:ind w:left="720"/>
      <w:jc w:val="both"/>
    </w:pPr>
  </w:style>
  <w:style w:type="character" w:customStyle="1" w:styleId="BodyTextIndent2Char">
    <w:name w:val="Body Text Indent 2 Char"/>
    <w:link w:val="BodyTextIndent2"/>
    <w:semiHidden/>
    <w:rsid w:val="009868EF"/>
    <w:rPr>
      <w:sz w:val="24"/>
      <w:szCs w:val="24"/>
      <w:lang w:val="en-US" w:eastAsia="ar-SA" w:bidi="ar-SA"/>
    </w:rPr>
  </w:style>
  <w:style w:type="paragraph" w:styleId="BodyTextIndent3">
    <w:name w:val="Body Text Indent 3"/>
    <w:basedOn w:val="Normal"/>
    <w:link w:val="BodyTextIndent3Char"/>
    <w:rsid w:val="00561610"/>
    <w:pPr>
      <w:ind w:left="1080"/>
      <w:jc w:val="both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9868EF"/>
    <w:rPr>
      <w:sz w:val="16"/>
      <w:szCs w:val="16"/>
      <w:lang w:val="en-US" w:eastAsia="ar-SA" w:bidi="ar-SA"/>
    </w:rPr>
  </w:style>
  <w:style w:type="paragraph" w:styleId="Footer">
    <w:name w:val="footer"/>
    <w:basedOn w:val="Normal"/>
    <w:link w:val="FooterChar"/>
    <w:uiPriority w:val="99"/>
    <w:rsid w:val="00561610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F62553"/>
    <w:rPr>
      <w:sz w:val="24"/>
      <w:szCs w:val="24"/>
      <w:lang w:eastAsia="ar-SA" w:bidi="ar-SA"/>
    </w:rPr>
  </w:style>
  <w:style w:type="paragraph" w:customStyle="1" w:styleId="TableContents">
    <w:name w:val="Table Contents"/>
    <w:basedOn w:val="Normal"/>
    <w:rsid w:val="00561610"/>
    <w:pPr>
      <w:suppressLineNumbers/>
    </w:pPr>
  </w:style>
  <w:style w:type="paragraph" w:customStyle="1" w:styleId="TableHeading">
    <w:name w:val="Table Heading"/>
    <w:basedOn w:val="TableContents"/>
    <w:rsid w:val="00561610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rsid w:val="00561610"/>
  </w:style>
  <w:style w:type="paragraph" w:styleId="Header">
    <w:name w:val="header"/>
    <w:basedOn w:val="Normal"/>
    <w:link w:val="HeaderChar"/>
    <w:uiPriority w:val="99"/>
    <w:rsid w:val="00CE144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62553"/>
    <w:rPr>
      <w:sz w:val="24"/>
      <w:szCs w:val="24"/>
      <w:lang w:eastAsia="ar-SA" w:bidi="ar-SA"/>
    </w:rPr>
  </w:style>
  <w:style w:type="character" w:customStyle="1" w:styleId="Style105pt">
    <w:name w:val="Style 105 pt"/>
    <w:rsid w:val="00187736"/>
    <w:rPr>
      <w:rFonts w:ascii="Times New Roman Bold" w:hAnsi="Times New Roman Bold" w:cs="Times New Roman Bold"/>
      <w:b/>
      <w:bCs/>
      <w:color w:val="auto"/>
      <w:sz w:val="24"/>
      <w:szCs w:val="24"/>
    </w:rPr>
  </w:style>
  <w:style w:type="table" w:styleId="TableWeb3">
    <w:name w:val="Table Web 3"/>
    <w:basedOn w:val="TableNormal"/>
    <w:rsid w:val="006C766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Text">
    <w:name w:val="annotation text"/>
    <w:basedOn w:val="Normal"/>
    <w:link w:val="CommentTextChar"/>
    <w:semiHidden/>
    <w:rsid w:val="00D106A6"/>
    <w:pPr>
      <w:tabs>
        <w:tab w:val="left" w:pos="-720"/>
      </w:tabs>
    </w:pPr>
    <w:rPr>
      <w:rFonts w:ascii="Helvetica 11pt" w:hAnsi="Helvetica 11pt"/>
      <w:snapToGrid w:val="0"/>
    </w:rPr>
  </w:style>
  <w:style w:type="character" w:customStyle="1" w:styleId="CommentTextChar">
    <w:name w:val="Comment Text Char"/>
    <w:link w:val="CommentText"/>
    <w:semiHidden/>
    <w:rsid w:val="00385EE5"/>
    <w:rPr>
      <w:rFonts w:ascii="Helvetica 11pt" w:hAnsi="Helvetica 11pt" w:cs="Helvetica 11pt"/>
      <w:snapToGrid w:val="0"/>
      <w:sz w:val="24"/>
      <w:szCs w:val="24"/>
    </w:rPr>
  </w:style>
  <w:style w:type="paragraph" w:customStyle="1" w:styleId="Style1">
    <w:name w:val="Style1"/>
    <w:basedOn w:val="Heading"/>
    <w:rsid w:val="00524C11"/>
    <w:rPr>
      <w:rFonts w:ascii="Tahoma" w:hAnsi="Tahoma" w:cs="Tahoma"/>
      <w:b/>
      <w:bCs/>
      <w:sz w:val="24"/>
      <w:szCs w:val="24"/>
    </w:rPr>
  </w:style>
  <w:style w:type="paragraph" w:customStyle="1" w:styleId="Style2">
    <w:name w:val="Style2"/>
    <w:basedOn w:val="Heading1"/>
    <w:rsid w:val="00524C11"/>
    <w:pPr>
      <w:numPr>
        <w:numId w:val="1"/>
      </w:numPr>
      <w:jc w:val="left"/>
    </w:pPr>
    <w:rPr>
      <w:rFonts w:ascii="Tahoma" w:hAnsi="Tahoma" w:cs="Tahoma"/>
      <w:b w:val="0"/>
      <w:bCs w:val="0"/>
      <w:sz w:val="24"/>
      <w:szCs w:val="24"/>
    </w:rPr>
  </w:style>
  <w:style w:type="character" w:styleId="LineNumber">
    <w:name w:val="line number"/>
    <w:basedOn w:val="DefaultParagraphFont"/>
    <w:uiPriority w:val="99"/>
    <w:rsid w:val="003C124B"/>
  </w:style>
  <w:style w:type="character" w:customStyle="1" w:styleId="Bullets">
    <w:name w:val="Bullets"/>
    <w:rsid w:val="00360B8B"/>
    <w:rPr>
      <w:rFonts w:ascii="StarSymbol" w:eastAsia="StarSymbol" w:cs="StarSymbol"/>
      <w:sz w:val="18"/>
      <w:szCs w:val="18"/>
    </w:rPr>
  </w:style>
  <w:style w:type="table" w:styleId="TableGrid">
    <w:name w:val="Table Grid"/>
    <w:basedOn w:val="TableNormal"/>
    <w:uiPriority w:val="59"/>
    <w:rsid w:val="00360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360B8B"/>
    <w:pPr>
      <w:widowControl w:val="0"/>
    </w:pPr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9868EF"/>
    <w:rPr>
      <w:sz w:val="20"/>
      <w:szCs w:val="20"/>
      <w:lang w:val="en-US" w:eastAsia="ar-SA" w:bidi="ar-SA"/>
    </w:rPr>
  </w:style>
  <w:style w:type="character" w:styleId="FootnoteReference">
    <w:name w:val="footnote reference"/>
    <w:semiHidden/>
    <w:rsid w:val="00360B8B"/>
    <w:rPr>
      <w:vertAlign w:val="superscript"/>
    </w:rPr>
  </w:style>
  <w:style w:type="table" w:styleId="TableList1">
    <w:name w:val="Table List 1"/>
    <w:basedOn w:val="TableNormal"/>
    <w:rsid w:val="00A63478"/>
    <w:pPr>
      <w:widowControl w:val="0"/>
      <w:suppressAutoHyphens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  <w:insideH w:val="single" w:sz="6" w:space="0" w:color="008080"/>
        <w:insideV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60B8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8">
    <w:name w:val="Table Grid 8"/>
    <w:basedOn w:val="TableNormal"/>
    <w:rsid w:val="00360B8B"/>
    <w:pPr>
      <w:widowControl w:val="0"/>
      <w:suppressAutoHyphens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rsid w:val="00360B8B"/>
    <w:pPr>
      <w:widowControl w:val="0"/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List6">
    <w:name w:val="Table List 6"/>
    <w:basedOn w:val="TableNormal"/>
    <w:rsid w:val="008150B7"/>
    <w:pPr>
      <w:suppressAutoHyphens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Char2">
    <w:name w:val="Char2"/>
    <w:rsid w:val="00CE4A4B"/>
    <w:rPr>
      <w:b/>
      <w:bCs/>
      <w:sz w:val="24"/>
      <w:szCs w:val="24"/>
      <w:lang w:val="en-US" w:eastAsia="ar-SA" w:bidi="ar-SA"/>
    </w:rPr>
  </w:style>
  <w:style w:type="table" w:styleId="TableGrid1">
    <w:name w:val="Table Grid 1"/>
    <w:basedOn w:val="TableNormal"/>
    <w:rsid w:val="00161A8B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uiPriority w:val="99"/>
    <w:rsid w:val="00B33C19"/>
    <w:rPr>
      <w:color w:val="333366"/>
      <w:u w:val="none"/>
      <w:effect w:val="none"/>
    </w:rPr>
  </w:style>
  <w:style w:type="paragraph" w:styleId="NoSpacing">
    <w:name w:val="No Spacing"/>
    <w:link w:val="NoSpacingChar"/>
    <w:uiPriority w:val="1"/>
    <w:qFormat/>
    <w:rsid w:val="00432B26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D3640E"/>
    <w:rPr>
      <w:rFonts w:ascii="Calibri" w:hAnsi="Calibri"/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rsid w:val="004728E6"/>
    <w:rPr>
      <w:color w:val="800080"/>
      <w:u w:val="single"/>
    </w:rPr>
  </w:style>
  <w:style w:type="paragraph" w:styleId="ListParagraph">
    <w:name w:val="List Paragraph"/>
    <w:basedOn w:val="Normal"/>
    <w:link w:val="ListParagraphChar"/>
    <w:qFormat/>
    <w:rsid w:val="00514643"/>
    <w:pPr>
      <w:ind w:left="720"/>
    </w:pPr>
  </w:style>
  <w:style w:type="character" w:customStyle="1" w:styleId="ListParagraphChar">
    <w:name w:val="List Paragraph Char"/>
    <w:link w:val="ListParagraph"/>
    <w:locked/>
    <w:rsid w:val="004767CA"/>
    <w:rPr>
      <w:sz w:val="24"/>
      <w:szCs w:val="24"/>
      <w:lang w:val="en-US" w:eastAsia="ar-SA"/>
    </w:rPr>
  </w:style>
  <w:style w:type="table" w:customStyle="1" w:styleId="LightShading-Accent11">
    <w:name w:val="Light Shading - Accent 11"/>
    <w:uiPriority w:val="60"/>
    <w:rsid w:val="00460CA9"/>
    <w:rPr>
      <w:color w:val="365F91"/>
      <w:lang w:val="sr-Latn-CS" w:eastAsia="sr-Latn-C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udarek">
    <w:name w:val="Poudarek"/>
    <w:basedOn w:val="Normal"/>
    <w:uiPriority w:val="99"/>
    <w:rsid w:val="00D64AF0"/>
    <w:pPr>
      <w:suppressAutoHyphens w:val="0"/>
      <w:jc w:val="right"/>
    </w:pPr>
    <w:rPr>
      <w:rFonts w:ascii="Arial" w:hAnsi="Arial" w:cs="Arial"/>
      <w:b/>
      <w:bCs/>
      <w:color w:val="000080"/>
      <w:sz w:val="16"/>
      <w:szCs w:val="16"/>
      <w:lang w:val="sl-SI" w:eastAsia="en-US"/>
    </w:rPr>
  </w:style>
  <w:style w:type="character" w:styleId="CommentReference">
    <w:name w:val="annotation reference"/>
    <w:uiPriority w:val="99"/>
    <w:semiHidden/>
    <w:rsid w:val="00385EE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85EE5"/>
    <w:pPr>
      <w:tabs>
        <w:tab w:val="clear" w:pos="-720"/>
      </w:tabs>
    </w:pPr>
  </w:style>
  <w:style w:type="character" w:customStyle="1" w:styleId="CommentSubjectChar">
    <w:name w:val="Comment Subject Char"/>
    <w:link w:val="CommentSubject"/>
    <w:uiPriority w:val="99"/>
    <w:rsid w:val="00385EE5"/>
    <w:rPr>
      <w:rFonts w:ascii="Helvetica 11pt" w:hAnsi="Helvetica 11pt" w:cs="Helvetica 11pt"/>
      <w:snapToGrid w:val="0"/>
      <w:sz w:val="24"/>
      <w:szCs w:val="24"/>
    </w:rPr>
  </w:style>
  <w:style w:type="character" w:styleId="BookTitle">
    <w:name w:val="Book Title"/>
    <w:uiPriority w:val="99"/>
    <w:qFormat/>
    <w:rsid w:val="008409B2"/>
    <w:rPr>
      <w:b/>
      <w:bCs/>
      <w:smallCaps/>
      <w:spacing w:val="5"/>
    </w:rPr>
  </w:style>
  <w:style w:type="table" w:customStyle="1" w:styleId="LightShading-Accent12">
    <w:name w:val="Light Shading - Accent 12"/>
    <w:uiPriority w:val="99"/>
    <w:rsid w:val="00C56BEB"/>
    <w:rPr>
      <w:color w:val="365F91"/>
      <w:lang w:val="sr-Latn-CS" w:eastAsia="sr-Latn-C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5">
    <w:name w:val="Medium Shading 2 Accent 5"/>
    <w:basedOn w:val="TableNormal"/>
    <w:uiPriority w:val="99"/>
    <w:rsid w:val="00C56BE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99"/>
    <w:rsid w:val="00C56BE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Shading-Accent13">
    <w:name w:val="Light Shading - Accent 13"/>
    <w:uiPriority w:val="99"/>
    <w:rsid w:val="00376DB8"/>
    <w:rPr>
      <w:color w:val="365F91"/>
      <w:lang w:val="sr-Latn-CS" w:eastAsia="sr-Latn-C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99"/>
    <w:rsid w:val="00DB0BA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SubtleEmphasis">
    <w:name w:val="Subtle Emphasis"/>
    <w:uiPriority w:val="19"/>
    <w:qFormat/>
    <w:rsid w:val="00442B36"/>
    <w:rPr>
      <w:i/>
      <w:iCs/>
      <w:color w:val="808080"/>
    </w:rPr>
  </w:style>
  <w:style w:type="character" w:styleId="Emphasis">
    <w:name w:val="Emphasis"/>
    <w:uiPriority w:val="20"/>
    <w:qFormat/>
    <w:rsid w:val="00442B36"/>
    <w:rPr>
      <w:i/>
      <w:iCs/>
    </w:rPr>
  </w:style>
  <w:style w:type="paragraph" w:customStyle="1" w:styleId="Default">
    <w:name w:val="Default"/>
    <w:rsid w:val="00F029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r-Latn-CS"/>
    </w:rPr>
  </w:style>
  <w:style w:type="table" w:customStyle="1" w:styleId="LightShading-Accent14">
    <w:name w:val="Light Shading - Accent 14"/>
    <w:basedOn w:val="TableNormal"/>
    <w:uiPriority w:val="60"/>
    <w:rsid w:val="00F0294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Grid-Accent11">
    <w:name w:val="Light Grid - Accent 11"/>
    <w:basedOn w:val="TableNormal"/>
    <w:uiPriority w:val="62"/>
    <w:rsid w:val="00F0294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F0294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F0294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F02941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-Accent1">
    <w:name w:val="Medium List 2 Accent 1"/>
    <w:basedOn w:val="TableNormal"/>
    <w:uiPriority w:val="66"/>
    <w:rsid w:val="00F0294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BodyTextIndentChar">
    <w:name w:val="Body Text Indent Char"/>
    <w:link w:val="BodyTextIndent"/>
    <w:semiHidden/>
    <w:rsid w:val="00F23836"/>
    <w:rPr>
      <w:sz w:val="24"/>
      <w:szCs w:val="24"/>
      <w:lang w:eastAsia="ar-SA"/>
    </w:rPr>
  </w:style>
  <w:style w:type="paragraph" w:styleId="BodyTextIndent">
    <w:name w:val="Body Text Indent"/>
    <w:basedOn w:val="Normal"/>
    <w:link w:val="BodyTextIndentChar"/>
    <w:semiHidden/>
    <w:unhideWhenUsed/>
    <w:rsid w:val="00F23836"/>
    <w:pPr>
      <w:ind w:firstLine="360"/>
      <w:jc w:val="both"/>
    </w:pPr>
  </w:style>
  <w:style w:type="paragraph" w:styleId="TOCHeading">
    <w:name w:val="TOC Heading"/>
    <w:basedOn w:val="Heading1"/>
    <w:next w:val="Normal"/>
    <w:uiPriority w:val="39"/>
    <w:unhideWhenUsed/>
    <w:qFormat/>
    <w:rsid w:val="00F04446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F04446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1A33"/>
    <w:pPr>
      <w:tabs>
        <w:tab w:val="left" w:pos="709"/>
        <w:tab w:val="right" w:leader="dot" w:pos="9396"/>
      </w:tabs>
      <w:suppressAutoHyphens w:val="0"/>
      <w:spacing w:after="20" w:line="276" w:lineRule="auto"/>
      <w:ind w:left="709" w:hanging="709"/>
    </w:pPr>
    <w:rPr>
      <w:rFonts w:ascii="Verdana" w:hAnsi="Verdana" w:cs="Tahoma"/>
      <w:b/>
      <w:noProof/>
      <w:color w:val="4F81BD" w:themeColor="accent1"/>
      <w:szCs w:val="28"/>
      <w:lang w:val="sr-Cyrl-R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A1656"/>
    <w:pPr>
      <w:tabs>
        <w:tab w:val="left" w:pos="1320"/>
        <w:tab w:val="right" w:leader="dot" w:pos="9396"/>
      </w:tabs>
      <w:suppressAutoHyphens w:val="0"/>
      <w:spacing w:after="20" w:line="276" w:lineRule="auto"/>
      <w:ind w:left="1276" w:hanging="836"/>
    </w:pPr>
    <w:rPr>
      <w:rFonts w:ascii="Verdana" w:hAnsi="Verdana" w:cs="Tahoma"/>
      <w:i/>
      <w:iCs/>
      <w:noProof/>
      <w:color w:val="4F81BD" w:themeColor="accent1"/>
      <w:sz w:val="20"/>
      <w:lang w:val="sr-Cyrl-CS" w:eastAsia="ja-JP"/>
    </w:rPr>
  </w:style>
  <w:style w:type="character" w:styleId="IntenseEmphasis">
    <w:name w:val="Intense Emphasis"/>
    <w:basedOn w:val="DefaultParagraphFont"/>
    <w:uiPriority w:val="21"/>
    <w:qFormat/>
    <w:rsid w:val="00FA3FE2"/>
    <w:rPr>
      <w:b/>
      <w:bCs/>
      <w:i/>
      <w:iCs/>
      <w:color w:val="4F81BD"/>
    </w:rPr>
  </w:style>
  <w:style w:type="table" w:customStyle="1" w:styleId="MediumList1-Accent111">
    <w:name w:val="Medium List 1 - Accent 111"/>
    <w:basedOn w:val="TableNormal"/>
    <w:uiPriority w:val="65"/>
    <w:rsid w:val="00FA3FE2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character" w:customStyle="1" w:styleId="shorttext">
    <w:name w:val="short_text"/>
    <w:basedOn w:val="DefaultParagraphFont"/>
    <w:rsid w:val="00F50FAF"/>
  </w:style>
  <w:style w:type="character" w:customStyle="1" w:styleId="hps">
    <w:name w:val="hps"/>
    <w:basedOn w:val="DefaultParagraphFont"/>
    <w:rsid w:val="00F50FAF"/>
  </w:style>
  <w:style w:type="paragraph" w:customStyle="1" w:styleId="StyleHeading3Tahoma11ptChar">
    <w:name w:val="Style Heading 3 + Tahoma 11 pt Char"/>
    <w:basedOn w:val="Heading3"/>
    <w:link w:val="StyleHeading3Tahoma11ptCharChar"/>
    <w:autoRedefine/>
    <w:rsid w:val="00401D9D"/>
    <w:pPr>
      <w:tabs>
        <w:tab w:val="clear" w:pos="6870"/>
        <w:tab w:val="left" w:pos="993"/>
        <w:tab w:val="num" w:pos="1146"/>
        <w:tab w:val="num" w:pos="1530"/>
      </w:tabs>
      <w:spacing w:before="100" w:beforeAutospacing="1" w:after="100" w:afterAutospacing="1"/>
      <w:ind w:left="1468"/>
      <w:jc w:val="both"/>
    </w:pPr>
    <w:rPr>
      <w:rFonts w:ascii="Tahoma" w:hAnsi="Tahoma"/>
      <w:sz w:val="22"/>
    </w:rPr>
  </w:style>
  <w:style w:type="character" w:customStyle="1" w:styleId="StyleHeading3Tahoma11ptCharChar">
    <w:name w:val="Style Heading 3 + Tahoma 11 pt Char Char"/>
    <w:link w:val="StyleHeading3Tahoma11ptChar"/>
    <w:rsid w:val="00401D9D"/>
    <w:rPr>
      <w:rFonts w:ascii="Tahoma" w:hAnsi="Tahoma"/>
      <w:b/>
      <w:bCs/>
      <w:sz w:val="22"/>
      <w:szCs w:val="24"/>
      <w:lang w:val="sr-Latn-CS" w:eastAsia="ar-SA"/>
    </w:rPr>
  </w:style>
  <w:style w:type="table" w:customStyle="1" w:styleId="MediumShading2-Accent12">
    <w:name w:val="Medium Shading 2 - Accent 12"/>
    <w:basedOn w:val="TableNormal"/>
    <w:uiPriority w:val="64"/>
    <w:rsid w:val="006920E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-Accent12">
    <w:name w:val="Medium List 1 - Accent 12"/>
    <w:basedOn w:val="TableNormal"/>
    <w:uiPriority w:val="65"/>
    <w:rsid w:val="00546F56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7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5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156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521892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837541">
                          <w:marLeft w:val="18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45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8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7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77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44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9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42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667261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685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57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76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62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55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005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6234418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759267">
          <w:marLeft w:val="1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3285">
          <w:marLeft w:val="0"/>
          <w:marRight w:val="0"/>
          <w:marTop w:val="0"/>
          <w:marBottom w:val="300"/>
          <w:divBdr>
            <w:top w:val="single" w:sz="6" w:space="0" w:color="EAE3D4"/>
            <w:left w:val="single" w:sz="6" w:space="0" w:color="EAE3D4"/>
            <w:bottom w:val="single" w:sz="6" w:space="15" w:color="DED4BF"/>
            <w:right w:val="single" w:sz="6" w:space="0" w:color="EAE3D4"/>
          </w:divBdr>
          <w:divsChild>
            <w:div w:id="41301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02829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527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57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899272">
                          <w:marLeft w:val="0"/>
                          <w:marRight w:val="135"/>
                          <w:marTop w:val="0"/>
                          <w:marBottom w:val="0"/>
                          <w:divBdr>
                            <w:top w:val="single" w:sz="12" w:space="0" w:color="C6C2BE"/>
                            <w:left w:val="single" w:sz="12" w:space="0" w:color="C6C2BE"/>
                            <w:bottom w:val="single" w:sz="12" w:space="0" w:color="C6C2BE"/>
                            <w:right w:val="single" w:sz="12" w:space="0" w:color="C6C2BE"/>
                          </w:divBdr>
                        </w:div>
                      </w:divsChild>
                    </w:div>
                  </w:divsChild>
                </w:div>
                <w:div w:id="38209687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41344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78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4409">
                          <w:marLeft w:val="0"/>
                          <w:marRight w:val="135"/>
                          <w:marTop w:val="0"/>
                          <w:marBottom w:val="0"/>
                          <w:divBdr>
                            <w:top w:val="single" w:sz="12" w:space="0" w:color="C6C2BE"/>
                            <w:left w:val="single" w:sz="12" w:space="0" w:color="C6C2BE"/>
                            <w:bottom w:val="single" w:sz="12" w:space="0" w:color="C6C2BE"/>
                            <w:right w:val="single" w:sz="12" w:space="0" w:color="C6C2BE"/>
                          </w:divBdr>
                        </w:div>
                      </w:divsChild>
                    </w:div>
                  </w:divsChild>
                </w:div>
                <w:div w:id="13888403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92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380152">
                          <w:marLeft w:val="0"/>
                          <w:marRight w:val="135"/>
                          <w:marTop w:val="0"/>
                          <w:marBottom w:val="0"/>
                          <w:divBdr>
                            <w:top w:val="single" w:sz="12" w:space="0" w:color="C6C2BE"/>
                            <w:left w:val="single" w:sz="12" w:space="0" w:color="C6C2BE"/>
                            <w:bottom w:val="single" w:sz="12" w:space="0" w:color="C6C2BE"/>
                            <w:right w:val="single" w:sz="12" w:space="0" w:color="C6C2BE"/>
                          </w:divBdr>
                        </w:div>
                      </w:divsChild>
                    </w:div>
                  </w:divsChild>
                </w:div>
                <w:div w:id="158048377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0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863144">
                          <w:marLeft w:val="0"/>
                          <w:marRight w:val="135"/>
                          <w:marTop w:val="0"/>
                          <w:marBottom w:val="0"/>
                          <w:divBdr>
                            <w:top w:val="single" w:sz="12" w:space="0" w:color="C6C2BE"/>
                            <w:left w:val="single" w:sz="12" w:space="0" w:color="C6C2BE"/>
                            <w:bottom w:val="single" w:sz="12" w:space="0" w:color="C6C2BE"/>
                            <w:right w:val="single" w:sz="12" w:space="0" w:color="C6C2BE"/>
                          </w:divBdr>
                        </w:div>
                      </w:divsChild>
                    </w:div>
                  </w:divsChild>
                </w:div>
                <w:div w:id="169719188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053510">
                          <w:marLeft w:val="0"/>
                          <w:marRight w:val="135"/>
                          <w:marTop w:val="0"/>
                          <w:marBottom w:val="0"/>
                          <w:divBdr>
                            <w:top w:val="single" w:sz="12" w:space="0" w:color="C6C2BE"/>
                            <w:left w:val="single" w:sz="12" w:space="0" w:color="C6C2BE"/>
                            <w:bottom w:val="single" w:sz="12" w:space="0" w:color="C6C2BE"/>
                            <w:right w:val="single" w:sz="12" w:space="0" w:color="C6C2BE"/>
                          </w:divBdr>
                        </w:div>
                      </w:divsChild>
                    </w:div>
                  </w:divsChild>
                </w:div>
                <w:div w:id="209755291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1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813863">
                          <w:marLeft w:val="0"/>
                          <w:marRight w:val="135"/>
                          <w:marTop w:val="0"/>
                          <w:marBottom w:val="0"/>
                          <w:divBdr>
                            <w:top w:val="single" w:sz="12" w:space="0" w:color="C6C2BE"/>
                            <w:left w:val="single" w:sz="12" w:space="0" w:color="C6C2BE"/>
                            <w:bottom w:val="single" w:sz="12" w:space="0" w:color="C6C2BE"/>
                            <w:right w:val="single" w:sz="12" w:space="0" w:color="C6C2BE"/>
                          </w:divBdr>
                        </w:div>
                      </w:divsChild>
                    </w:div>
                  </w:divsChild>
                </w:div>
              </w:divsChild>
            </w:div>
            <w:div w:id="1559627897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BE9E6"/>
                <w:right w:val="none" w:sz="0" w:space="0" w:color="auto"/>
              </w:divBdr>
              <w:divsChild>
                <w:div w:id="186011907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07478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5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288">
      <w:bodyDiv w:val="1"/>
      <w:marLeft w:val="0"/>
      <w:marRight w:val="0"/>
      <w:marTop w:val="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83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8" w:space="4" w:color="68686A"/>
                <w:right w:val="none" w:sz="0" w:space="0" w:color="auto"/>
              </w:divBdr>
              <w:divsChild>
                <w:div w:id="6111327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28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9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35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1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21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1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0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8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6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.blecic.INTERNAL\Desktop\Copy%20of%204_premija%20reosiguranja%20po%20vrstama%20osiguranja%2031.12.2014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.blecic.INTERNAL\AppData\Local\Microsoft\Windows\Temporary%20Internet%20Files\Content.Outlook\TS49V8D0\Copy%20of%2020151007%20projekcija%202016_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.blecic.INTERNAL\AppData\Local\Microsoft\Windows\Temporary%20Internet%20Files\Content.Outlook\TS49V8D0\Copy%20of%2020151007%20projekcija%202016_2019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.blecic.INTERNAL\AppData\Local\Microsoft\Windows\Temporary%20Internet%20Files\Content.Outlook\TS49V8D0\Copy%20of%2020151007%20projekcija%202016_2019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.blecic.INTERNAL\AppData\Local\Microsoft\Windows\Temporary%20Internet%20Files\Content.Outlook\TS49V8D0\Copy%20of%2020151007%20projekcija%202016_2019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.blecic.INTERNAL\AppData\Local\Microsoft\Windows\Temporary%20Internet%20Files\Content.Outlook\TS49V8D0\Copy%20of%20Projekcija%20-%20Finasijski%20plan%20za%202015-oktobar%2015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invertIfNegative val="0"/>
          <c:cat>
            <c:strRef>
              <c:f>'premija i prenosna premija'!$B$14:$B$31</c:f>
              <c:strCache>
                <c:ptCount val="18"/>
                <c:pt idx="0">
                  <c:v>01</c:v>
                </c:pt>
                <c:pt idx="1">
                  <c:v>03</c:v>
                </c:pt>
                <c:pt idx="2">
                  <c:v>04</c:v>
                </c:pt>
                <c:pt idx="3">
                  <c:v>05</c:v>
                </c:pt>
                <c:pt idx="4">
                  <c:v>06</c:v>
                </c:pt>
                <c:pt idx="5">
                  <c:v>07</c:v>
                </c:pt>
                <c:pt idx="6">
                  <c:v>08</c:v>
                </c:pt>
                <c:pt idx="7">
                  <c:v>09</c:v>
                </c:pt>
                <c:pt idx="8">
                  <c:v>10</c:v>
                </c:pt>
                <c:pt idx="9">
                  <c:v>11</c:v>
                </c:pt>
                <c:pt idx="10">
                  <c:v>12</c:v>
                </c:pt>
                <c:pt idx="11">
                  <c:v>13</c:v>
                </c:pt>
                <c:pt idx="12">
                  <c:v>14</c:v>
                </c:pt>
                <c:pt idx="13">
                  <c:v>15</c:v>
                </c:pt>
                <c:pt idx="14">
                  <c:v>16</c:v>
                </c:pt>
                <c:pt idx="15">
                  <c:v>17</c:v>
                </c:pt>
                <c:pt idx="16">
                  <c:v>20</c:v>
                </c:pt>
                <c:pt idx="17">
                  <c:v>2201</c:v>
                </c:pt>
              </c:strCache>
            </c:strRef>
          </c:cat>
          <c:val>
            <c:numRef>
              <c:f>'premija i prenosna premija'!$E$14:$E$31</c:f>
              <c:numCache>
                <c:formatCode>#,##0.00</c:formatCode>
                <c:ptCount val="18"/>
                <c:pt idx="0">
                  <c:v>13424819.279999996</c:v>
                </c:pt>
                <c:pt idx="1">
                  <c:v>123131.42</c:v>
                </c:pt>
                <c:pt idx="2">
                  <c:v>3207454.46</c:v>
                </c:pt>
                <c:pt idx="3">
                  <c:v>49128520.700000003</c:v>
                </c:pt>
                <c:pt idx="4">
                  <c:v>62640</c:v>
                </c:pt>
                <c:pt idx="5">
                  <c:v>67536334.019999996</c:v>
                </c:pt>
                <c:pt idx="6">
                  <c:v>483119515.57999986</c:v>
                </c:pt>
                <c:pt idx="7">
                  <c:v>739711915.83999979</c:v>
                </c:pt>
                <c:pt idx="8">
                  <c:v>126039709.59999999</c:v>
                </c:pt>
                <c:pt idx="9">
                  <c:v>75485919.129999965</c:v>
                </c:pt>
                <c:pt idx="10">
                  <c:v>0</c:v>
                </c:pt>
                <c:pt idx="11">
                  <c:v>244836706.96000001</c:v>
                </c:pt>
                <c:pt idx="12">
                  <c:v>0</c:v>
                </c:pt>
                <c:pt idx="13">
                  <c:v>18605902.870000001</c:v>
                </c:pt>
                <c:pt idx="14">
                  <c:v>33139573.199999999</c:v>
                </c:pt>
                <c:pt idx="15">
                  <c:v>1277852.57</c:v>
                </c:pt>
                <c:pt idx="16">
                  <c:v>43733822.200000003</c:v>
                </c:pt>
                <c:pt idx="17">
                  <c:v>58202848.630000003</c:v>
                </c:pt>
              </c:numCache>
            </c:numRef>
          </c:val>
        </c:ser>
        <c:ser>
          <c:idx val="1"/>
          <c:order val="1"/>
          <c:spPr>
            <a:solidFill>
              <a:schemeClr val="accent1">
                <a:lumMod val="20000"/>
                <a:lumOff val="80000"/>
              </a:schemeClr>
            </a:solidFill>
          </c:spPr>
          <c:invertIfNegative val="0"/>
          <c:cat>
            <c:strRef>
              <c:f>'premija i prenosna premija'!$B$14:$B$31</c:f>
              <c:strCache>
                <c:ptCount val="18"/>
                <c:pt idx="0">
                  <c:v>01</c:v>
                </c:pt>
                <c:pt idx="1">
                  <c:v>03</c:v>
                </c:pt>
                <c:pt idx="2">
                  <c:v>04</c:v>
                </c:pt>
                <c:pt idx="3">
                  <c:v>05</c:v>
                </c:pt>
                <c:pt idx="4">
                  <c:v>06</c:v>
                </c:pt>
                <c:pt idx="5">
                  <c:v>07</c:v>
                </c:pt>
                <c:pt idx="6">
                  <c:v>08</c:v>
                </c:pt>
                <c:pt idx="7">
                  <c:v>09</c:v>
                </c:pt>
                <c:pt idx="8">
                  <c:v>10</c:v>
                </c:pt>
                <c:pt idx="9">
                  <c:v>11</c:v>
                </c:pt>
                <c:pt idx="10">
                  <c:v>12</c:v>
                </c:pt>
                <c:pt idx="11">
                  <c:v>13</c:v>
                </c:pt>
                <c:pt idx="12">
                  <c:v>14</c:v>
                </c:pt>
                <c:pt idx="13">
                  <c:v>15</c:v>
                </c:pt>
                <c:pt idx="14">
                  <c:v>16</c:v>
                </c:pt>
                <c:pt idx="15">
                  <c:v>17</c:v>
                </c:pt>
                <c:pt idx="16">
                  <c:v>20</c:v>
                </c:pt>
                <c:pt idx="17">
                  <c:v>2201</c:v>
                </c:pt>
              </c:strCache>
            </c:strRef>
          </c:cat>
          <c:val>
            <c:numRef>
              <c:f>'premija i prenosna premija'!$F$14:$F$31</c:f>
              <c:numCache>
                <c:formatCode>#,##0.00</c:formatCode>
                <c:ptCount val="18"/>
                <c:pt idx="0">
                  <c:v>5948879.4400000013</c:v>
                </c:pt>
                <c:pt idx="1">
                  <c:v>103273754.26000002</c:v>
                </c:pt>
                <c:pt idx="2">
                  <c:v>8849147.9899999946</c:v>
                </c:pt>
                <c:pt idx="3">
                  <c:v>7729179.6199999973</c:v>
                </c:pt>
                <c:pt idx="4">
                  <c:v>1060374.6400000006</c:v>
                </c:pt>
                <c:pt idx="5">
                  <c:v>6615731.4100000113</c:v>
                </c:pt>
                <c:pt idx="6">
                  <c:v>102398187.43000002</c:v>
                </c:pt>
                <c:pt idx="7">
                  <c:v>94118840.079999909</c:v>
                </c:pt>
                <c:pt idx="8">
                  <c:v>12407224.090000004</c:v>
                </c:pt>
                <c:pt idx="9">
                  <c:v>435126.53000000125</c:v>
                </c:pt>
                <c:pt idx="10">
                  <c:v>123409.19</c:v>
                </c:pt>
                <c:pt idx="11">
                  <c:v>5256648.1399999857</c:v>
                </c:pt>
                <c:pt idx="12">
                  <c:v>310479.67</c:v>
                </c:pt>
                <c:pt idx="13">
                  <c:v>206279.5</c:v>
                </c:pt>
                <c:pt idx="14">
                  <c:v>2695016.3099999987</c:v>
                </c:pt>
                <c:pt idx="15">
                  <c:v>319462.15999999986</c:v>
                </c:pt>
                <c:pt idx="16">
                  <c:v>9437881.2999999933</c:v>
                </c:pt>
                <c:pt idx="17">
                  <c:v>6068178.8999999994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209421056"/>
        <c:axId val="209422592"/>
      </c:barChart>
      <c:catAx>
        <c:axId val="209421056"/>
        <c:scaling>
          <c:orientation val="minMax"/>
        </c:scaling>
        <c:delete val="0"/>
        <c:axPos val="b"/>
        <c:majorTickMark val="out"/>
        <c:minorTickMark val="none"/>
        <c:tickLblPos val="nextTo"/>
        <c:crossAx val="209422592"/>
        <c:crosses val="autoZero"/>
        <c:auto val="1"/>
        <c:lblAlgn val="ctr"/>
        <c:lblOffset val="100"/>
        <c:noMultiLvlLbl val="0"/>
      </c:catAx>
      <c:valAx>
        <c:axId val="20942259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20942105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v>Самопридржај</c:v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sr-Latn-R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'[Copy of 20151007 projekcija 2016_2019.xlsx]Sheet2'!$B$2:$E$2</c:f>
              <c:numCache>
                <c:formatCode>General</c:formatCode>
                <c:ptCount val="4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</c:numCache>
            </c:numRef>
          </c:cat>
          <c:val>
            <c:numRef>
              <c:f>'[Copy of 20151007 projekcija 2016_2019.xlsx]Sheet2'!$B$4:$E$4</c:f>
              <c:numCache>
                <c:formatCode>#,##0</c:formatCode>
                <c:ptCount val="4"/>
                <c:pt idx="0">
                  <c:v>420767358</c:v>
                </c:pt>
                <c:pt idx="1">
                  <c:v>466904756</c:v>
                </c:pt>
                <c:pt idx="2">
                  <c:v>501259375</c:v>
                </c:pt>
                <c:pt idx="3">
                  <c:v>535613994</c:v>
                </c:pt>
              </c:numCache>
            </c:numRef>
          </c:val>
        </c:ser>
        <c:ser>
          <c:idx val="1"/>
          <c:order val="1"/>
          <c:tx>
            <c:v>пасивна премија</c:v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sr-Latn-R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'[Copy of 20151007 projekcija 2016_2019.xlsx]Sheet2'!$B$2:$E$2</c:f>
              <c:numCache>
                <c:formatCode>General</c:formatCode>
                <c:ptCount val="4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</c:numCache>
            </c:numRef>
          </c:cat>
          <c:val>
            <c:numRef>
              <c:f>'[Copy of 20151007 projekcija 2016_2019.xlsx]Sheet2'!$B$5:$E$5</c:f>
              <c:numCache>
                <c:formatCode>#,##0</c:formatCode>
                <c:ptCount val="4"/>
                <c:pt idx="0">
                  <c:v>2355203736</c:v>
                </c:pt>
                <c:pt idx="1">
                  <c:v>2469766814</c:v>
                </c:pt>
                <c:pt idx="2">
                  <c:v>2515503237</c:v>
                </c:pt>
                <c:pt idx="3">
                  <c:v>2561239660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8"/>
        <c:overlap val="100"/>
        <c:axId val="209440128"/>
        <c:axId val="209446016"/>
      </c:barChart>
      <c:catAx>
        <c:axId val="209440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09446016"/>
        <c:crosses val="autoZero"/>
        <c:auto val="1"/>
        <c:lblAlgn val="ctr"/>
        <c:lblOffset val="100"/>
        <c:noMultiLvlLbl val="0"/>
      </c:catAx>
      <c:valAx>
        <c:axId val="209446016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20944012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0494455885322038"/>
          <c:y val="3.8366728812212841E-2"/>
          <c:w val="0.21385552190591556"/>
          <c:h val="0.13527214049520153"/>
        </c:manualLayout>
      </c:layout>
      <c:overlay val="1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Verdana" panose="020B0604030504040204" pitchFamily="34" charset="0"/>
          <a:ea typeface="Verdana" panose="020B0604030504040204" pitchFamily="34" charset="0"/>
          <a:cs typeface="Verdana" panose="020B0604030504040204" pitchFamily="34" charset="0"/>
        </a:defRPr>
      </a:pPr>
      <a:endParaRPr lang="sr-Latn-R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'[Copy of 20151007 projekcija 2016_2019.xlsx]Sheet3'!$A$35</c:f>
              <c:strCache>
                <c:ptCount val="1"/>
                <c:pt idx="0">
                  <c:v>Активне ликвидиране штете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sr-Latn-R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'[Copy of 20151007 projekcija 2016_2019.xlsx]Sheet3'!$C$2:$F$2</c:f>
              <c:numCache>
                <c:formatCode>General</c:formatCode>
                <c:ptCount val="4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</c:numCache>
            </c:numRef>
          </c:cat>
          <c:val>
            <c:numRef>
              <c:f>'[Copy of 20151007 projekcija 2016_2019.xlsx]Sheet3'!$C$35:$F$35</c:f>
              <c:numCache>
                <c:formatCode>#,##0</c:formatCode>
                <c:ptCount val="4"/>
                <c:pt idx="0">
                  <c:v>525169105</c:v>
                </c:pt>
                <c:pt idx="1">
                  <c:v>471076217</c:v>
                </c:pt>
                <c:pt idx="2">
                  <c:v>507624611</c:v>
                </c:pt>
                <c:pt idx="3">
                  <c:v>544173005</c:v>
                </c:pt>
              </c:numCache>
            </c:numRef>
          </c:val>
        </c:ser>
        <c:ser>
          <c:idx val="1"/>
          <c:order val="1"/>
          <c:tx>
            <c:strRef>
              <c:f>'[Copy of 20151007 projekcija 2016_2019.xlsx]Sheet3'!$A$36</c:f>
              <c:strCache>
                <c:ptCount val="1"/>
                <c:pt idx="0">
                  <c:v>Активне резервисане штете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sr-Latn-R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'[Copy of 20151007 projekcija 2016_2019.xlsx]Sheet3'!$C$2:$F$2</c:f>
              <c:numCache>
                <c:formatCode>General</c:formatCode>
                <c:ptCount val="4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</c:numCache>
            </c:numRef>
          </c:cat>
          <c:val>
            <c:numRef>
              <c:f>'[Copy of 20151007 projekcija 2016_2019.xlsx]Sheet3'!$C$36:$F$36</c:f>
              <c:numCache>
                <c:formatCode>#,##0</c:formatCode>
                <c:ptCount val="4"/>
                <c:pt idx="0">
                  <c:v>1672019501</c:v>
                </c:pt>
                <c:pt idx="1">
                  <c:v>1769007503</c:v>
                </c:pt>
                <c:pt idx="2">
                  <c:v>1758762115</c:v>
                </c:pt>
                <c:pt idx="3">
                  <c:v>1774266737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8"/>
        <c:overlap val="100"/>
        <c:axId val="174401792"/>
        <c:axId val="174415872"/>
      </c:barChart>
      <c:catAx>
        <c:axId val="174401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74415872"/>
        <c:crosses val="autoZero"/>
        <c:auto val="1"/>
        <c:lblAlgn val="ctr"/>
        <c:lblOffset val="100"/>
        <c:noMultiLvlLbl val="0"/>
      </c:catAx>
      <c:valAx>
        <c:axId val="174415872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1744017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2955994346860489"/>
          <c:y val="8.6086298339376041E-4"/>
          <c:w val="0.67129141934181347"/>
          <c:h val="4.1507475923153729E-2"/>
        </c:manualLayout>
      </c:layout>
      <c:overlay val="1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Verdana" panose="020B0604030504040204" pitchFamily="34" charset="0"/>
          <a:ea typeface="Verdana" panose="020B0604030504040204" pitchFamily="34" charset="0"/>
          <a:cs typeface="Verdana" panose="020B0604030504040204" pitchFamily="34" charset="0"/>
        </a:defRPr>
      </a:pPr>
      <a:endParaRPr lang="sr-Latn-R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'[Copy of 20151007 projekcija 2016_2019.xlsx]Sheet3'!$A$64</c:f>
              <c:strCache>
                <c:ptCount val="1"/>
                <c:pt idx="0">
                  <c:v>ликвидиране штете у самопридржају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sr-Latn-R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'[Copy of 20151007 projekcija 2016_2019.xlsx]Sheet3'!$C$18:$F$18</c:f>
              <c:numCache>
                <c:formatCode>General</c:formatCode>
                <c:ptCount val="4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</c:numCache>
            </c:numRef>
          </c:cat>
          <c:val>
            <c:numRef>
              <c:f>'[Copy of 20151007 projekcija 2016_2019.xlsx]Sheet3'!$C$64:$F$64</c:f>
              <c:numCache>
                <c:formatCode>#,##0</c:formatCode>
                <c:ptCount val="4"/>
                <c:pt idx="0">
                  <c:v>192478334</c:v>
                </c:pt>
                <c:pt idx="1">
                  <c:v>191775327</c:v>
                </c:pt>
                <c:pt idx="2">
                  <c:v>200041477</c:v>
                </c:pt>
                <c:pt idx="3">
                  <c:v>208307627</c:v>
                </c:pt>
              </c:numCache>
            </c:numRef>
          </c:val>
        </c:ser>
        <c:ser>
          <c:idx val="1"/>
          <c:order val="1"/>
          <c:tx>
            <c:strRef>
              <c:f>'[Copy of 20151007 projekcija 2016_2019.xlsx]Sheet3'!$A$65</c:f>
              <c:strCache>
                <c:ptCount val="1"/>
                <c:pt idx="0">
                  <c:v>резервисане штете у самопридржају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/>
                </a:pPr>
                <a:endParaRPr lang="sr-Latn-R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'[Copy of 20151007 projekcija 2016_2019.xlsx]Sheet3'!$C$18:$F$18</c:f>
              <c:numCache>
                <c:formatCode>General</c:formatCode>
                <c:ptCount val="4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</c:numCache>
            </c:numRef>
          </c:cat>
          <c:val>
            <c:numRef>
              <c:f>'[Copy of 20151007 projekcija 2016_2019.xlsx]Sheet3'!$C$65:$F$65</c:f>
              <c:numCache>
                <c:formatCode>#,##0</c:formatCode>
                <c:ptCount val="4"/>
                <c:pt idx="0">
                  <c:v>483602099</c:v>
                </c:pt>
                <c:pt idx="1">
                  <c:v>505952206</c:v>
                </c:pt>
                <c:pt idx="2">
                  <c:v>505954167</c:v>
                </c:pt>
                <c:pt idx="3">
                  <c:v>511106145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8"/>
        <c:overlap val="100"/>
        <c:axId val="210269312"/>
        <c:axId val="210270848"/>
      </c:barChart>
      <c:catAx>
        <c:axId val="210269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0270848"/>
        <c:crosses val="autoZero"/>
        <c:auto val="1"/>
        <c:lblAlgn val="ctr"/>
        <c:lblOffset val="100"/>
        <c:noMultiLvlLbl val="0"/>
      </c:catAx>
      <c:valAx>
        <c:axId val="210270848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2102693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2955994346860489"/>
          <c:y val="8.6086298339376041E-4"/>
          <c:w val="0.66491545976586408"/>
          <c:h val="0.10764299362741557"/>
        </c:manualLayout>
      </c:layout>
      <c:overlay val="1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Verdana" panose="020B0604030504040204" pitchFamily="34" charset="0"/>
          <a:ea typeface="Verdana" panose="020B0604030504040204" pitchFamily="34" charset="0"/>
          <a:cs typeface="Verdana" panose="020B0604030504040204" pitchFamily="34" charset="0"/>
        </a:defRPr>
      </a:pPr>
      <a:endParaRPr lang="sr-Latn-R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v>ликвидиране и резервисане штете у самопридржају</c:v>
          </c:tx>
          <c:invertIfNegative val="0"/>
          <c:cat>
            <c:numRef>
              <c:f>'[Copy of 20151007 projekcija 2016_2019.xlsx]Sheet4'!$A$136:$A$147</c:f>
              <c:numCache>
                <c:formatCode>General</c:formatCode>
                <c:ptCount val="12"/>
                <c:pt idx="0">
                  <c:v>1</c:v>
                </c:pt>
                <c:pt idx="1">
                  <c:v>3</c:v>
                </c:pt>
                <c:pt idx="2">
                  <c:v>5</c:v>
                </c:pt>
                <c:pt idx="3">
                  <c:v>7</c:v>
                </c:pt>
                <c:pt idx="4">
                  <c:v>8</c:v>
                </c:pt>
                <c:pt idx="5">
                  <c:v>9</c:v>
                </c:pt>
                <c:pt idx="6">
                  <c:v>10</c:v>
                </c:pt>
                <c:pt idx="7">
                  <c:v>13</c:v>
                </c:pt>
                <c:pt idx="8">
                  <c:v>16</c:v>
                </c:pt>
                <c:pt idx="9">
                  <c:v>17</c:v>
                </c:pt>
                <c:pt idx="10">
                  <c:v>20</c:v>
                </c:pt>
                <c:pt idx="11">
                  <c:v>22</c:v>
                </c:pt>
              </c:numCache>
            </c:numRef>
          </c:cat>
          <c:val>
            <c:numRef>
              <c:f>'[Copy of 20151007 projekcija 2016_2019.xlsx]Sheet4'!$C$136:$C$147</c:f>
              <c:numCache>
                <c:formatCode>0.00%</c:formatCode>
                <c:ptCount val="12"/>
                <c:pt idx="0">
                  <c:v>0.6000000000000002</c:v>
                </c:pt>
                <c:pt idx="1">
                  <c:v>0.99</c:v>
                </c:pt>
                <c:pt idx="2">
                  <c:v>0.05</c:v>
                </c:pt>
                <c:pt idx="3">
                  <c:v>0.63000000000000023</c:v>
                </c:pt>
                <c:pt idx="4">
                  <c:v>0.45</c:v>
                </c:pt>
                <c:pt idx="5">
                  <c:v>0.35000000000000009</c:v>
                </c:pt>
                <c:pt idx="6">
                  <c:v>0.17</c:v>
                </c:pt>
                <c:pt idx="7">
                  <c:v>8.0000000000000029E-2</c:v>
                </c:pt>
                <c:pt idx="8">
                  <c:v>0.05</c:v>
                </c:pt>
                <c:pt idx="9">
                  <c:v>0.22</c:v>
                </c:pt>
                <c:pt idx="10">
                  <c:v>0.11</c:v>
                </c:pt>
                <c:pt idx="11">
                  <c:v>0.16</c:v>
                </c:pt>
              </c:numCache>
            </c:numRef>
          </c:val>
        </c:ser>
        <c:ser>
          <c:idx val="1"/>
          <c:order val="1"/>
          <c:tx>
            <c:v>ликвидиране и резервисане штете ретроцесије</c:v>
          </c:tx>
          <c:invertIfNegative val="0"/>
          <c:cat>
            <c:numRef>
              <c:f>'[Copy of 20151007 projekcija 2016_2019.xlsx]Sheet4'!$A$136:$A$147</c:f>
              <c:numCache>
                <c:formatCode>General</c:formatCode>
                <c:ptCount val="12"/>
                <c:pt idx="0">
                  <c:v>1</c:v>
                </c:pt>
                <c:pt idx="1">
                  <c:v>3</c:v>
                </c:pt>
                <c:pt idx="2">
                  <c:v>5</c:v>
                </c:pt>
                <c:pt idx="3">
                  <c:v>7</c:v>
                </c:pt>
                <c:pt idx="4">
                  <c:v>8</c:v>
                </c:pt>
                <c:pt idx="5">
                  <c:v>9</c:v>
                </c:pt>
                <c:pt idx="6">
                  <c:v>10</c:v>
                </c:pt>
                <c:pt idx="7">
                  <c:v>13</c:v>
                </c:pt>
                <c:pt idx="8">
                  <c:v>16</c:v>
                </c:pt>
                <c:pt idx="9">
                  <c:v>17</c:v>
                </c:pt>
                <c:pt idx="10">
                  <c:v>20</c:v>
                </c:pt>
                <c:pt idx="11">
                  <c:v>22</c:v>
                </c:pt>
              </c:numCache>
            </c:numRef>
          </c:cat>
          <c:val>
            <c:numRef>
              <c:f>'[Copy of 20151007 projekcija 2016_2019.xlsx]Sheet4'!$D$136:$D$147</c:f>
              <c:numCache>
                <c:formatCode>0.00%</c:formatCode>
                <c:ptCount val="12"/>
                <c:pt idx="0">
                  <c:v>0.4022</c:v>
                </c:pt>
                <c:pt idx="1">
                  <c:v>5.8000000000000013E-3</c:v>
                </c:pt>
                <c:pt idx="2">
                  <c:v>0.94910000000000005</c:v>
                </c:pt>
                <c:pt idx="3">
                  <c:v>0.37190000000000012</c:v>
                </c:pt>
                <c:pt idx="4">
                  <c:v>0.54959999999999998</c:v>
                </c:pt>
                <c:pt idx="5">
                  <c:v>0.64900000000000024</c:v>
                </c:pt>
                <c:pt idx="6">
                  <c:v>0.82760000000000022</c:v>
                </c:pt>
                <c:pt idx="7">
                  <c:v>0.91579999999999995</c:v>
                </c:pt>
                <c:pt idx="8">
                  <c:v>0.95300000000000018</c:v>
                </c:pt>
                <c:pt idx="9">
                  <c:v>0.7833</c:v>
                </c:pt>
                <c:pt idx="10">
                  <c:v>0.88990000000000002</c:v>
                </c:pt>
                <c:pt idx="11">
                  <c:v>0.84230000000000005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5"/>
        <c:overlap val="100"/>
        <c:axId val="210488320"/>
        <c:axId val="174195456"/>
      </c:barChart>
      <c:catAx>
        <c:axId val="210488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74195456"/>
        <c:crosses val="autoZero"/>
        <c:auto val="1"/>
        <c:lblAlgn val="ctr"/>
        <c:lblOffset val="100"/>
        <c:noMultiLvlLbl val="0"/>
      </c:catAx>
      <c:valAx>
        <c:axId val="17419545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210488320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r-Latn-R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Sheet2!$A$3</c:f>
              <c:strCache>
                <c:ptCount val="1"/>
                <c:pt idx="0">
                  <c:v>Учешћа у капиталу других правних лица (акције)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sr-Latn-R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Sheet2!$B$2:$E$2</c:f>
              <c:numCache>
                <c:formatCode>General</c:formatCode>
                <c:ptCount val="4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</c:numCache>
            </c:numRef>
          </c:cat>
          <c:val>
            <c:numRef>
              <c:f>Sheet2!$B$3:$E$3</c:f>
              <c:numCache>
                <c:formatCode>#,##0</c:formatCode>
                <c:ptCount val="4"/>
                <c:pt idx="0">
                  <c:v>156673901</c:v>
                </c:pt>
                <c:pt idx="1">
                  <c:v>156853462</c:v>
                </c:pt>
                <c:pt idx="2">
                  <c:v>157212579</c:v>
                </c:pt>
                <c:pt idx="3">
                  <c:v>157451991</c:v>
                </c:pt>
              </c:numCache>
            </c:numRef>
          </c:val>
        </c:ser>
        <c:ser>
          <c:idx val="1"/>
          <c:order val="1"/>
          <c:tx>
            <c:strRef>
              <c:f>Sheet2!$A$4</c:f>
              <c:strCache>
                <c:ptCount val="1"/>
                <c:pt idx="0">
                  <c:v>Државне хартије од вредности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sr-Latn-R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Sheet2!$B$2:$E$2</c:f>
              <c:numCache>
                <c:formatCode>General</c:formatCode>
                <c:ptCount val="4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</c:numCache>
            </c:numRef>
          </c:cat>
          <c:val>
            <c:numRef>
              <c:f>Sheet2!$B$4:$E$4</c:f>
              <c:numCache>
                <c:formatCode>#,##0</c:formatCode>
                <c:ptCount val="4"/>
                <c:pt idx="0">
                  <c:v>1525267465</c:v>
                </c:pt>
                <c:pt idx="1">
                  <c:v>1537046975</c:v>
                </c:pt>
                <c:pt idx="2">
                  <c:v>1573048438</c:v>
                </c:pt>
                <c:pt idx="3">
                  <c:v>1598217213</c:v>
                </c:pt>
              </c:numCache>
            </c:numRef>
          </c:val>
        </c:ser>
        <c:ser>
          <c:idx val="2"/>
          <c:order val="2"/>
          <c:tx>
            <c:strRef>
              <c:f>Sheet2!$A$5</c:f>
              <c:strCache>
                <c:ptCount val="1"/>
                <c:pt idx="0">
                  <c:v>Орочени банкарски депозити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sr-Latn-R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Sheet2!$B$2:$E$2</c:f>
              <c:numCache>
                <c:formatCode>General</c:formatCode>
                <c:ptCount val="4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</c:numCache>
            </c:numRef>
          </c:cat>
          <c:val>
            <c:numRef>
              <c:f>Sheet2!$B$5:$E$5</c:f>
              <c:numCache>
                <c:formatCode>#,##0</c:formatCode>
                <c:ptCount val="4"/>
                <c:pt idx="0">
                  <c:v>424700000</c:v>
                </c:pt>
                <c:pt idx="1">
                  <c:v>429800000</c:v>
                </c:pt>
                <c:pt idx="2">
                  <c:v>440000000</c:v>
                </c:pt>
                <c:pt idx="3">
                  <c:v>446800000</c:v>
                </c:pt>
              </c:numCache>
            </c:numRef>
          </c:val>
        </c:ser>
        <c:ser>
          <c:idx val="3"/>
          <c:order val="3"/>
          <c:tx>
            <c:strRef>
              <c:f>Sheet2!$A$6</c:f>
              <c:strCache>
                <c:ptCount val="1"/>
                <c:pt idx="0">
                  <c:v>Депозити по виђењу (готовина)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sr-Latn-R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Sheet2!$B$2:$E$2</c:f>
              <c:numCache>
                <c:formatCode>General</c:formatCode>
                <c:ptCount val="4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</c:numCache>
            </c:numRef>
          </c:cat>
          <c:val>
            <c:numRef>
              <c:f>Sheet2!$B$6:$E$6</c:f>
              <c:numCache>
                <c:formatCode>#,##0</c:formatCode>
                <c:ptCount val="4"/>
                <c:pt idx="0">
                  <c:v>345117748</c:v>
                </c:pt>
                <c:pt idx="1">
                  <c:v>350532878</c:v>
                </c:pt>
                <c:pt idx="2">
                  <c:v>359241957</c:v>
                </c:pt>
                <c:pt idx="3">
                  <c:v>365332248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"/>
        <c:overlap val="100"/>
        <c:axId val="174432256"/>
        <c:axId val="174433792"/>
      </c:barChart>
      <c:catAx>
        <c:axId val="174432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sr-Latn-RS"/>
          </a:p>
        </c:txPr>
        <c:crossAx val="174433792"/>
        <c:crosses val="autoZero"/>
        <c:auto val="1"/>
        <c:lblAlgn val="ctr"/>
        <c:lblOffset val="100"/>
        <c:noMultiLvlLbl val="0"/>
      </c:catAx>
      <c:valAx>
        <c:axId val="174433792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sr-Latn-RS"/>
          </a:p>
        </c:txPr>
        <c:crossAx val="17443225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1202100816867409"/>
          <c:y val="0"/>
          <c:w val="0.87961756588566997"/>
          <c:h val="0.1714706759060477"/>
        </c:manualLayout>
      </c:layout>
      <c:overlay val="1"/>
      <c:txPr>
        <a:bodyPr/>
        <a:lstStyle/>
        <a:p>
          <a:pPr>
            <a:defRPr sz="800"/>
          </a:pPr>
          <a:endParaRPr lang="sr-Latn-RS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Verdana" panose="020B0604030504040204" pitchFamily="34" charset="0"/>
          <a:ea typeface="Verdana" panose="020B0604030504040204" pitchFamily="34" charset="0"/>
          <a:cs typeface="Verdana" panose="020B0604030504040204" pitchFamily="34" charset="0"/>
        </a:defRPr>
      </a:pPr>
      <a:endParaRPr lang="sr-Latn-R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24A60-FC00-4437-BFC9-2E0419E65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38</Pages>
  <Words>11234</Words>
  <Characters>64035</Characters>
  <Application>Microsoft Office Word</Application>
  <DocSecurity>0</DocSecurity>
  <Lines>533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Извештај о пословању</vt:lpstr>
    </vt:vector>
  </TitlesOfParts>
  <Company>dunavre</Company>
  <LinksUpToDate>false</LinksUpToDate>
  <CharactersWithSpaces>75119</CharactersWithSpaces>
  <SharedDoc>false</SharedDoc>
  <HLinks>
    <vt:vector size="156" baseType="variant">
      <vt:variant>
        <vt:i4>1310781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_Toc377397003</vt:lpwstr>
      </vt:variant>
      <vt:variant>
        <vt:i4>1310781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_Toc377397002</vt:lpwstr>
      </vt:variant>
      <vt:variant>
        <vt:i4>1310781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_Toc377397001</vt:lpwstr>
      </vt:variant>
      <vt:variant>
        <vt:i4>1310781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_Toc377397000</vt:lpwstr>
      </vt:variant>
      <vt:variant>
        <vt:i4>1835060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_Toc377396999</vt:lpwstr>
      </vt:variant>
      <vt:variant>
        <vt:i4>1835060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_Toc377396998</vt:lpwstr>
      </vt:variant>
      <vt:variant>
        <vt:i4>1835060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_Toc377396997</vt:lpwstr>
      </vt:variant>
      <vt:variant>
        <vt:i4>1835060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_Toc377396996</vt:lpwstr>
      </vt:variant>
      <vt:variant>
        <vt:i4>1835060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_Toc377396995</vt:lpwstr>
      </vt:variant>
      <vt:variant>
        <vt:i4>1835060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_Toc377396994</vt:lpwstr>
      </vt:variant>
      <vt:variant>
        <vt:i4>1835060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_Toc377396993</vt:lpwstr>
      </vt:variant>
      <vt:variant>
        <vt:i4>1835060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_Toc377396992</vt:lpwstr>
      </vt:variant>
      <vt:variant>
        <vt:i4>1835060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_Toc377396991</vt:lpwstr>
      </vt:variant>
      <vt:variant>
        <vt:i4>1835060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_Toc377396990</vt:lpwstr>
      </vt:variant>
      <vt:variant>
        <vt:i4>1900596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_Toc377396989</vt:lpwstr>
      </vt:variant>
      <vt:variant>
        <vt:i4>1900596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_Toc377396988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_Toc377396987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_Toc377396986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_Toc377396985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_Toc377396984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_Toc377396983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_Toc377396982</vt:lpwstr>
      </vt:variant>
      <vt:variant>
        <vt:i4>1900596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_Toc377396981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_Toc377396980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_Toc377396979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_Toc377396978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о пословању</dc:title>
  <dc:subject>за период од 01.01.-30.09.2011.</dc:subject>
  <dc:creator>User</dc:creator>
  <cp:lastModifiedBy>Bojan Maricic</cp:lastModifiedBy>
  <cp:revision>3</cp:revision>
  <cp:lastPrinted>2015-09-30T10:12:00Z</cp:lastPrinted>
  <dcterms:created xsi:type="dcterms:W3CDTF">2015-10-22T10:07:00Z</dcterms:created>
  <dcterms:modified xsi:type="dcterms:W3CDTF">2015-10-27T15:55:00Z</dcterms:modified>
</cp:coreProperties>
</file>